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rPr>
      </w:pPr>
      <w:bookmarkStart w:id="0" w:name="OLE_LINK9"/>
      <w:r>
        <w:rPr>
          <w:rFonts w:hint="eastAsia" w:asciiTheme="minorEastAsia" w:hAnsiTheme="minorEastAsia" w:cstheme="minorEastAsia"/>
          <w:b/>
          <w:sz w:val="28"/>
          <w:szCs w:val="28"/>
        </w:rPr>
        <w:t>政府采购项目</w:t>
      </w:r>
    </w:p>
    <w:p>
      <w:pPr>
        <w:adjustRightInd w:val="0"/>
        <w:snapToGrid w:val="0"/>
        <w:spacing w:line="360" w:lineRule="auto"/>
        <w:jc w:val="left"/>
        <w:rPr>
          <w:rFonts w:hint="default" w:asciiTheme="minorEastAsia" w:hAnsiTheme="minorEastAsia" w:eastAsiaTheme="minorEastAsia" w:cstheme="minorEastAsia"/>
          <w:b/>
          <w:sz w:val="28"/>
          <w:szCs w:val="28"/>
          <w:lang w:val="en-US" w:eastAsia="zh-CN"/>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SXWZ2023ZB-DWYY-193</w:t>
      </w:r>
    </w:p>
    <w:p>
      <w:pPr>
        <w:adjustRightInd w:val="0"/>
        <w:snapToGrid w:val="0"/>
        <w:spacing w:line="360" w:lineRule="auto"/>
        <w:rPr>
          <w:rFonts w:asciiTheme="minorEastAsia" w:hAnsiTheme="minorEastAsia" w:cstheme="minorEastAsia"/>
          <w:b/>
          <w:sz w:val="44"/>
          <w:szCs w:val="44"/>
        </w:rPr>
      </w:pPr>
    </w:p>
    <w:p>
      <w:pPr>
        <w:adjustRightInd w:val="0"/>
        <w:snapToGrid w:val="0"/>
        <w:spacing w:line="360" w:lineRule="auto"/>
        <w:rPr>
          <w:rFonts w:asciiTheme="minorEastAsia" w:hAnsiTheme="minorEastAsia" w:cstheme="minorEastAsia"/>
          <w:b/>
          <w:sz w:val="10"/>
          <w:szCs w:val="10"/>
        </w:rPr>
      </w:pPr>
    </w:p>
    <w:p>
      <w:pPr>
        <w:adjustRightInd w:val="0"/>
        <w:snapToGrid w:val="0"/>
        <w:spacing w:line="360" w:lineRule="auto"/>
        <w:jc w:val="center"/>
        <w:rPr>
          <w:rFonts w:asciiTheme="minorEastAsia" w:hAnsiTheme="minorEastAsia" w:cstheme="minorEastAsia"/>
          <w:b/>
          <w:sz w:val="52"/>
          <w:szCs w:val="52"/>
        </w:rPr>
      </w:pPr>
      <w:r>
        <w:rPr>
          <w:rFonts w:hint="eastAsia" w:asciiTheme="minorEastAsia" w:hAnsiTheme="minorEastAsia" w:cstheme="minorEastAsia"/>
          <w:b/>
          <w:sz w:val="48"/>
          <w:lang w:eastAsia="zh-CN"/>
        </w:rPr>
        <w:t>西安市第五医院下肢康复运动器等设备一批采购项目</w:t>
      </w:r>
    </w:p>
    <w:p>
      <w:r>
        <w:rPr>
          <w:rFonts w:hint="eastAsia" w:asciiTheme="minorEastAsia" w:hAnsiTheme="minorEastAsia" w:cstheme="minorEastAsia"/>
          <w:b/>
          <w:i/>
          <w:sz w:val="48"/>
        </w:rPr>
        <w:drawing>
          <wp:anchor distT="0" distB="0" distL="114300" distR="114300" simplePos="0" relativeHeight="251659264" behindDoc="1" locked="0" layoutInCell="1" allowOverlap="1">
            <wp:simplePos x="0" y="0"/>
            <wp:positionH relativeFrom="column">
              <wp:posOffset>1908175</wp:posOffset>
            </wp:positionH>
            <wp:positionV relativeFrom="paragraph">
              <wp:posOffset>37465</wp:posOffset>
            </wp:positionV>
            <wp:extent cx="2312670" cy="1447800"/>
            <wp:effectExtent l="0" t="0" r="11430" b="0"/>
            <wp:wrapTight wrapText="bothSides">
              <wp:wrapPolygon>
                <wp:start x="0" y="0"/>
                <wp:lineTo x="0" y="21316"/>
                <wp:lineTo x="21351" y="21316"/>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0" cstate="print"/>
                    <a:stretch>
                      <a:fillRect/>
                    </a:stretch>
                  </pic:blipFill>
                  <pic:spPr>
                    <a:xfrm>
                      <a:off x="0" y="0"/>
                      <a:ext cx="2312670" cy="1447800"/>
                    </a:xfrm>
                    <a:prstGeom prst="rect">
                      <a:avLst/>
                    </a:prstGeom>
                    <a:noFill/>
                    <a:ln w="9525">
                      <a:noFill/>
                      <a:miter/>
                    </a:ln>
                    <a:effectLst/>
                  </pic:spPr>
                </pic:pic>
              </a:graphicData>
            </a:graphic>
          </wp:anchor>
        </w:drawing>
      </w:r>
    </w:p>
    <w:p>
      <w:pPr>
        <w:tabs>
          <w:tab w:val="left" w:pos="0"/>
        </w:tabs>
        <w:adjustRightInd w:val="0"/>
        <w:snapToGrid w:val="0"/>
        <w:spacing w:line="360" w:lineRule="auto"/>
        <w:jc w:val="center"/>
        <w:rPr>
          <w:rFonts w:asciiTheme="minorEastAsia" w:hAnsiTheme="minorEastAsia" w:cstheme="minorEastAsia"/>
          <w:b/>
          <w:sz w:val="84"/>
          <w:szCs w:val="84"/>
        </w:rPr>
      </w:pPr>
    </w:p>
    <w:p>
      <w:pPr>
        <w:tabs>
          <w:tab w:val="left" w:pos="0"/>
        </w:tabs>
        <w:adjustRightInd w:val="0"/>
        <w:snapToGrid w:val="0"/>
        <w:spacing w:line="360" w:lineRule="auto"/>
        <w:jc w:val="center"/>
        <w:rPr>
          <w:rFonts w:hint="eastAsia" w:asciiTheme="minorEastAsia" w:hAnsiTheme="minorEastAsia" w:cstheme="minorEastAsia"/>
          <w:b/>
          <w:sz w:val="84"/>
          <w:szCs w:val="84"/>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
    <w:p/>
    <w:p/>
    <w:p/>
    <w:p>
      <w:pPr>
        <w:adjustRightInd w:val="0"/>
        <w:snapToGrid w:val="0"/>
        <w:spacing w:line="360" w:lineRule="auto"/>
        <w:ind w:firstLine="2249" w:firstLineChars="800"/>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采   购   人：</w:t>
      </w:r>
      <w:r>
        <w:rPr>
          <w:rFonts w:hint="eastAsia" w:asciiTheme="minorEastAsia" w:hAnsiTheme="minorEastAsia" w:cstheme="minorEastAsia"/>
          <w:b/>
          <w:sz w:val="28"/>
          <w:szCs w:val="28"/>
          <w:lang w:eastAsia="zh-CN"/>
        </w:rPr>
        <w:t>西</w:t>
      </w:r>
      <w:bookmarkStart w:id="188" w:name="_GoBack"/>
      <w:bookmarkEnd w:id="188"/>
      <w:r>
        <w:rPr>
          <w:rFonts w:hint="eastAsia" w:asciiTheme="minorEastAsia" w:hAnsiTheme="minorEastAsia" w:cstheme="minorEastAsia"/>
          <w:b/>
          <w:sz w:val="28"/>
          <w:szCs w:val="28"/>
          <w:lang w:eastAsia="zh-CN"/>
        </w:rPr>
        <w:t>安市第五医院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采购代理机构：陕西万泽招标有限公司</w:t>
      </w:r>
    </w:p>
    <w:p>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w:t>
      </w:r>
      <w:r>
        <w:rPr>
          <w:rFonts w:hint="eastAsia" w:asciiTheme="minorEastAsia" w:hAnsiTheme="minorEastAsia" w:cstheme="minorEastAsia"/>
          <w:b/>
          <w:sz w:val="28"/>
          <w:szCs w:val="28"/>
          <w:lang w:eastAsia="zh-CN"/>
        </w:rPr>
        <w:t>三</w:t>
      </w:r>
      <w:r>
        <w:rPr>
          <w:rFonts w:hint="eastAsia" w:asciiTheme="minorEastAsia" w:hAnsiTheme="minorEastAsia" w:cstheme="minorEastAsia"/>
          <w:b/>
          <w:sz w:val="28"/>
          <w:szCs w:val="28"/>
        </w:rPr>
        <w:t>年</w:t>
      </w:r>
      <w:r>
        <w:rPr>
          <w:rFonts w:hint="eastAsia" w:asciiTheme="minorEastAsia" w:hAnsiTheme="minorEastAsia" w:cstheme="minorEastAsia"/>
          <w:b/>
          <w:sz w:val="28"/>
          <w:szCs w:val="28"/>
          <w:lang w:val="en-US" w:eastAsia="zh-CN"/>
        </w:rPr>
        <w:t>十</w:t>
      </w:r>
      <w:r>
        <w:rPr>
          <w:rFonts w:hint="eastAsia" w:asciiTheme="minorEastAsia" w:hAnsiTheme="minorEastAsia" w:cstheme="minorEastAsia"/>
          <w:b/>
          <w:sz w:val="28"/>
          <w:szCs w:val="28"/>
        </w:rPr>
        <w:t>月</w:t>
      </w:r>
    </w:p>
    <w:p>
      <w:pPr>
        <w:adjustRightInd w:val="0"/>
        <w:snapToGrid w:val="0"/>
        <w:spacing w:line="600" w:lineRule="auto"/>
        <w:rPr>
          <w:rFonts w:asciiTheme="minorEastAsia" w:hAnsiTheme="minorEastAsia" w:cstheme="minorEastAsia"/>
          <w:b/>
          <w:sz w:val="36"/>
          <w:szCs w:val="36"/>
        </w:rPr>
        <w:sectPr>
          <w:headerReference r:id="rId4"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pPr>
        <w:pStyle w:val="20"/>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pPr>
        <w:pStyle w:val="20"/>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_Toc16468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第一部分  公开招标公告</w:t>
      </w:r>
      <w:r>
        <w:tab/>
      </w:r>
      <w:r>
        <w:fldChar w:fldCharType="begin"/>
      </w:r>
      <w:r>
        <w:instrText xml:space="preserve"> PAGEREF _Toc16468 \h </w:instrText>
      </w:r>
      <w:r>
        <w:fldChar w:fldCharType="separate"/>
      </w:r>
      <w:r>
        <w:t>3</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_Toc6412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第二部分  投标人须知前附表</w:t>
      </w:r>
      <w:r>
        <w:tab/>
      </w:r>
      <w:r>
        <w:fldChar w:fldCharType="begin"/>
      </w:r>
      <w:r>
        <w:instrText xml:space="preserve"> PAGEREF _Toc6412 \h </w:instrText>
      </w:r>
      <w:r>
        <w:fldChar w:fldCharType="separate"/>
      </w:r>
      <w:r>
        <w:t>6</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_Toc23317 </w:instrText>
      </w:r>
      <w:r>
        <w:rPr>
          <w:rFonts w:asciiTheme="minorEastAsia" w:hAnsiTheme="minorEastAsia" w:cstheme="minorEastAsia"/>
          <w:szCs w:val="24"/>
        </w:rPr>
        <w:fldChar w:fldCharType="separate"/>
      </w:r>
      <w:r>
        <w:rPr>
          <w:rFonts w:hint="eastAsia"/>
        </w:rPr>
        <w:t>第三部分  投标人须知</w:t>
      </w:r>
      <w:r>
        <w:tab/>
      </w:r>
      <w:r>
        <w:fldChar w:fldCharType="begin"/>
      </w:r>
      <w:r>
        <w:instrText xml:space="preserve"> PAGEREF _Toc23317 \h </w:instrText>
      </w:r>
      <w:r>
        <w:fldChar w:fldCharType="separate"/>
      </w:r>
      <w:r>
        <w:t>10</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_Toc1370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一、总 则</w:t>
      </w:r>
      <w:r>
        <w:tab/>
      </w:r>
      <w:r>
        <w:fldChar w:fldCharType="begin"/>
      </w:r>
      <w:r>
        <w:instrText xml:space="preserve"> PAGEREF _Toc1370 \h </w:instrText>
      </w:r>
      <w:r>
        <w:fldChar w:fldCharType="separate"/>
      </w:r>
      <w:r>
        <w:t>10</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_Toc20225 </w:instrText>
      </w:r>
      <w:r>
        <w:rPr>
          <w:rFonts w:asciiTheme="minorEastAsia" w:hAnsiTheme="minorEastAsia" w:cstheme="minorEastAsia"/>
          <w:szCs w:val="24"/>
        </w:rPr>
        <w:fldChar w:fldCharType="separate"/>
      </w:r>
      <w:r>
        <w:rPr>
          <w:rFonts w:hint="eastAsia"/>
        </w:rPr>
        <w:t>二、招标文件</w:t>
      </w:r>
      <w:r>
        <w:tab/>
      </w:r>
      <w:r>
        <w:fldChar w:fldCharType="begin"/>
      </w:r>
      <w:r>
        <w:instrText xml:space="preserve"> PAGEREF _Toc20225 \h </w:instrText>
      </w:r>
      <w:r>
        <w:fldChar w:fldCharType="separate"/>
      </w:r>
      <w:r>
        <w:t>12</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_Toc3059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三、投标文件</w:t>
      </w:r>
      <w:r>
        <w:tab/>
      </w:r>
      <w:r>
        <w:fldChar w:fldCharType="begin"/>
      </w:r>
      <w:r>
        <w:instrText xml:space="preserve"> PAGEREF _Toc3059 \h </w:instrText>
      </w:r>
      <w:r>
        <w:fldChar w:fldCharType="separate"/>
      </w:r>
      <w:r>
        <w:t>13</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_Toc25288 </w:instrText>
      </w:r>
      <w:r>
        <w:rPr>
          <w:rFonts w:asciiTheme="minorEastAsia" w:hAnsiTheme="minorEastAsia" w:cstheme="minorEastAsia"/>
          <w:szCs w:val="24"/>
        </w:rPr>
        <w:fldChar w:fldCharType="separate"/>
      </w:r>
      <w:r>
        <w:rPr>
          <w:rFonts w:hint="eastAsia"/>
        </w:rPr>
        <w:t>四、投标文件的递交</w:t>
      </w:r>
      <w:r>
        <w:tab/>
      </w:r>
      <w:r>
        <w:fldChar w:fldCharType="begin"/>
      </w:r>
      <w:r>
        <w:instrText xml:space="preserve"> PAGEREF _Toc25288 \h </w:instrText>
      </w:r>
      <w:r>
        <w:fldChar w:fldCharType="separate"/>
      </w:r>
      <w:r>
        <w:t>16</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_Toc21883 </w:instrText>
      </w:r>
      <w:r>
        <w:rPr>
          <w:rFonts w:asciiTheme="minorEastAsia" w:hAnsiTheme="minorEastAsia" w:cstheme="minorEastAsia"/>
          <w:szCs w:val="24"/>
        </w:rPr>
        <w:fldChar w:fldCharType="separate"/>
      </w:r>
      <w:r>
        <w:rPr>
          <w:rFonts w:hint="eastAsia"/>
        </w:rPr>
        <w:t>五、 开标、评审、定标</w:t>
      </w:r>
      <w:r>
        <w:tab/>
      </w:r>
      <w:r>
        <w:fldChar w:fldCharType="begin"/>
      </w:r>
      <w:r>
        <w:instrText xml:space="preserve"> PAGEREF _Toc21883 \h </w:instrText>
      </w:r>
      <w:r>
        <w:fldChar w:fldCharType="separate"/>
      </w:r>
      <w:r>
        <w:t>16</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_Toc30525 </w:instrText>
      </w:r>
      <w:r>
        <w:rPr>
          <w:rFonts w:asciiTheme="minorEastAsia" w:hAnsiTheme="minorEastAsia" w:cstheme="minorEastAsia"/>
          <w:szCs w:val="24"/>
        </w:rPr>
        <w:fldChar w:fldCharType="separate"/>
      </w:r>
      <w:r>
        <w:rPr>
          <w:rFonts w:hint="eastAsia"/>
        </w:rPr>
        <w:t>六、签订合同</w:t>
      </w:r>
      <w:r>
        <w:tab/>
      </w:r>
      <w:r>
        <w:fldChar w:fldCharType="begin"/>
      </w:r>
      <w:r>
        <w:instrText xml:space="preserve"> PAGEREF _Toc30525 \h </w:instrText>
      </w:r>
      <w:r>
        <w:fldChar w:fldCharType="separate"/>
      </w:r>
      <w:r>
        <w:t>22</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_Toc17938 </w:instrText>
      </w:r>
      <w:r>
        <w:rPr>
          <w:rFonts w:asciiTheme="minorEastAsia" w:hAnsiTheme="minorEastAsia" w:cstheme="minorEastAsia"/>
          <w:szCs w:val="24"/>
        </w:rPr>
        <w:fldChar w:fldCharType="separate"/>
      </w:r>
      <w:r>
        <w:rPr>
          <w:rFonts w:hint="eastAsia"/>
        </w:rPr>
        <w:t>七、代理服务费</w:t>
      </w:r>
      <w:r>
        <w:tab/>
      </w:r>
      <w:r>
        <w:fldChar w:fldCharType="begin"/>
      </w:r>
      <w:r>
        <w:instrText xml:space="preserve"> PAGEREF _Toc17938 \h </w:instrText>
      </w:r>
      <w:r>
        <w:fldChar w:fldCharType="separate"/>
      </w:r>
      <w:r>
        <w:t>22</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_Toc6199 </w:instrText>
      </w:r>
      <w:r>
        <w:rPr>
          <w:rFonts w:asciiTheme="minorEastAsia" w:hAnsiTheme="minorEastAsia" w:cstheme="minorEastAsia"/>
          <w:szCs w:val="24"/>
        </w:rPr>
        <w:fldChar w:fldCharType="separate"/>
      </w:r>
      <w:r>
        <w:rPr>
          <w:rFonts w:hint="eastAsia"/>
        </w:rPr>
        <w:t>九、质疑和投诉</w:t>
      </w:r>
      <w:r>
        <w:tab/>
      </w:r>
      <w:r>
        <w:fldChar w:fldCharType="begin"/>
      </w:r>
      <w:r>
        <w:instrText xml:space="preserve"> PAGEREF _Toc6199 \h </w:instrText>
      </w:r>
      <w:r>
        <w:fldChar w:fldCharType="separate"/>
      </w:r>
      <w:r>
        <w:t>23</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_Toc5393 </w:instrText>
      </w:r>
      <w:r>
        <w:rPr>
          <w:rFonts w:asciiTheme="minorEastAsia" w:hAnsiTheme="minorEastAsia" w:cstheme="minorEastAsia"/>
          <w:szCs w:val="24"/>
        </w:rPr>
        <w:fldChar w:fldCharType="separate"/>
      </w:r>
      <w:r>
        <w:rPr>
          <w:rFonts w:hint="eastAsia"/>
        </w:rPr>
        <w:t>第四部分  评审办法</w:t>
      </w:r>
      <w:r>
        <w:tab/>
      </w:r>
      <w:r>
        <w:fldChar w:fldCharType="begin"/>
      </w:r>
      <w:r>
        <w:instrText xml:space="preserve"> PAGEREF _Toc5393 \h </w:instrText>
      </w:r>
      <w:r>
        <w:fldChar w:fldCharType="separate"/>
      </w:r>
      <w:r>
        <w:t>25</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_Toc30485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第五部分  采购要求</w:t>
      </w:r>
      <w:r>
        <w:tab/>
      </w:r>
      <w:r>
        <w:fldChar w:fldCharType="begin"/>
      </w:r>
      <w:r>
        <w:instrText xml:space="preserve"> PAGEREF _Toc30485 \h </w:instrText>
      </w:r>
      <w:r>
        <w:fldChar w:fldCharType="separate"/>
      </w:r>
      <w:r>
        <w:t>28</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_Toc28675 </w:instrText>
      </w:r>
      <w:r>
        <w:rPr>
          <w:rFonts w:asciiTheme="minorEastAsia" w:hAnsiTheme="minorEastAsia" w:cstheme="minorEastAsia"/>
          <w:szCs w:val="24"/>
        </w:rPr>
        <w:fldChar w:fldCharType="separate"/>
      </w:r>
      <w:r>
        <w:rPr>
          <w:rFonts w:hint="eastAsia"/>
          <w:lang w:eastAsia="zh-CN"/>
        </w:rPr>
        <w:t>第六部分</w:t>
      </w:r>
      <w:r>
        <w:rPr>
          <w:rFonts w:hint="eastAsia"/>
          <w:lang w:val="en-US" w:eastAsia="zh-CN"/>
        </w:rPr>
        <w:t xml:space="preserve">  合同文本</w:t>
      </w:r>
      <w:r>
        <w:tab/>
      </w:r>
      <w:r>
        <w:fldChar w:fldCharType="begin"/>
      </w:r>
      <w:r>
        <w:instrText xml:space="preserve"> PAGEREF _Toc28675 \h </w:instrText>
      </w:r>
      <w:r>
        <w:fldChar w:fldCharType="separate"/>
      </w:r>
      <w:r>
        <w:t>38</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_Toc28222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第七部分  投标文件格式</w:t>
      </w:r>
      <w:r>
        <w:tab/>
      </w:r>
      <w:r>
        <w:fldChar w:fldCharType="begin"/>
      </w:r>
      <w:r>
        <w:instrText xml:space="preserve"> PAGEREF _Toc28222 \h </w:instrText>
      </w:r>
      <w:r>
        <w:fldChar w:fldCharType="separate"/>
      </w:r>
      <w:r>
        <w:t>38</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_Toc9898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第一章  投标函</w:t>
      </w:r>
      <w:r>
        <w:tab/>
      </w:r>
      <w:r>
        <w:fldChar w:fldCharType="begin"/>
      </w:r>
      <w:r>
        <w:instrText xml:space="preserve"> PAGEREF _Toc9898 \h </w:instrText>
      </w:r>
      <w:r>
        <w:fldChar w:fldCharType="separate"/>
      </w:r>
      <w:r>
        <w:t>47</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_Toc22907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第二章  开标一览表</w:t>
      </w:r>
      <w:r>
        <w:tab/>
      </w:r>
      <w:r>
        <w:fldChar w:fldCharType="begin"/>
      </w:r>
      <w:r>
        <w:instrText xml:space="preserve"> PAGEREF _Toc22907 \h </w:instrText>
      </w:r>
      <w:r>
        <w:fldChar w:fldCharType="separate"/>
      </w:r>
      <w:r>
        <w:t>48</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_Toc3196 </w:instrText>
      </w:r>
      <w:r>
        <w:rPr>
          <w:rFonts w:asciiTheme="minorEastAsia" w:hAnsiTheme="minorEastAsia" w:cstheme="minorEastAsia"/>
          <w:szCs w:val="24"/>
        </w:rPr>
        <w:fldChar w:fldCharType="separate"/>
      </w:r>
      <w:r>
        <w:rPr>
          <w:rFonts w:hint="eastAsia"/>
        </w:rPr>
        <w:t>第三章  分项报价表</w:t>
      </w:r>
      <w:r>
        <w:tab/>
      </w:r>
      <w:r>
        <w:fldChar w:fldCharType="begin"/>
      </w:r>
      <w:r>
        <w:instrText xml:space="preserve"> PAGEREF _Toc3196 \h </w:instrText>
      </w:r>
      <w:r>
        <w:fldChar w:fldCharType="separate"/>
      </w:r>
      <w:r>
        <w:t>49</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_Toc12815 </w:instrText>
      </w:r>
      <w:r>
        <w:rPr>
          <w:rFonts w:asciiTheme="minorEastAsia" w:hAnsiTheme="minorEastAsia" w:cstheme="minorEastAsia"/>
          <w:szCs w:val="24"/>
        </w:rPr>
        <w:fldChar w:fldCharType="separate"/>
      </w:r>
      <w:r>
        <w:rPr>
          <w:rFonts w:hint="eastAsia"/>
        </w:rPr>
        <w:t>第四章  供应商资质证明资料</w:t>
      </w:r>
      <w:r>
        <w:tab/>
      </w:r>
      <w:r>
        <w:fldChar w:fldCharType="begin"/>
      </w:r>
      <w:r>
        <w:instrText xml:space="preserve"> PAGEREF _Toc12815 \h </w:instrText>
      </w:r>
      <w:r>
        <w:fldChar w:fldCharType="separate"/>
      </w:r>
      <w:r>
        <w:t>50</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_Toc25284 </w:instrText>
      </w:r>
      <w:r>
        <w:rPr>
          <w:rFonts w:asciiTheme="minorEastAsia" w:hAnsiTheme="minorEastAsia" w:cstheme="minorEastAsia"/>
          <w:szCs w:val="24"/>
        </w:rPr>
        <w:fldChar w:fldCharType="separate"/>
      </w:r>
      <w:r>
        <w:rPr>
          <w:rFonts w:hint="eastAsia"/>
        </w:rPr>
        <w:t>第五章  商务和技术响应偏离表</w:t>
      </w:r>
      <w:r>
        <w:tab/>
      </w:r>
      <w:r>
        <w:fldChar w:fldCharType="begin"/>
      </w:r>
      <w:r>
        <w:instrText xml:space="preserve"> PAGEREF _Toc25284 \h </w:instrText>
      </w:r>
      <w:r>
        <w:fldChar w:fldCharType="separate"/>
      </w:r>
      <w:r>
        <w:t>57</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_Toc5319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第六章  技术支持资料</w:t>
      </w:r>
      <w:r>
        <w:tab/>
      </w:r>
      <w:r>
        <w:fldChar w:fldCharType="begin"/>
      </w:r>
      <w:r>
        <w:instrText xml:space="preserve"> PAGEREF _Toc5319 \h </w:instrText>
      </w:r>
      <w:r>
        <w:fldChar w:fldCharType="separate"/>
      </w:r>
      <w:r>
        <w:t>59</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_Toc30984 </w:instrText>
      </w:r>
      <w:r>
        <w:rPr>
          <w:rFonts w:asciiTheme="minorEastAsia" w:hAnsiTheme="minorEastAsia" w:cstheme="minorEastAsia"/>
          <w:szCs w:val="24"/>
        </w:rPr>
        <w:fldChar w:fldCharType="separate"/>
      </w:r>
      <w:r>
        <w:rPr>
          <w:rFonts w:hint="eastAsia"/>
        </w:rPr>
        <w:t>第七章  投标人业绩一览表</w:t>
      </w:r>
      <w:r>
        <w:tab/>
      </w:r>
      <w:r>
        <w:fldChar w:fldCharType="begin"/>
      </w:r>
      <w:r>
        <w:instrText xml:space="preserve"> PAGEREF _Toc30984 \h </w:instrText>
      </w:r>
      <w:r>
        <w:fldChar w:fldCharType="separate"/>
      </w:r>
      <w:r>
        <w:t>60</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_Toc18775 </w:instrText>
      </w:r>
      <w:r>
        <w:rPr>
          <w:rFonts w:asciiTheme="minorEastAsia" w:hAnsiTheme="minorEastAsia" w:cstheme="minorEastAsia"/>
          <w:szCs w:val="24"/>
        </w:rPr>
        <w:fldChar w:fldCharType="separate"/>
      </w:r>
      <w:r>
        <w:rPr>
          <w:rFonts w:hint="eastAsia"/>
        </w:rPr>
        <w:t>第八章  投标人认为有必要说明的其他问题</w:t>
      </w:r>
      <w:r>
        <w:tab/>
      </w:r>
      <w:r>
        <w:fldChar w:fldCharType="begin"/>
      </w:r>
      <w:r>
        <w:instrText xml:space="preserve"> PAGEREF _Toc18775 \h </w:instrText>
      </w:r>
      <w:r>
        <w:fldChar w:fldCharType="separate"/>
      </w:r>
      <w:r>
        <w:t>61</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_Toc23909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附件一：封袋正面标识式样</w:t>
      </w:r>
      <w:r>
        <w:tab/>
      </w:r>
      <w:r>
        <w:fldChar w:fldCharType="begin"/>
      </w:r>
      <w:r>
        <w:instrText xml:space="preserve"> PAGEREF _Toc23909 \h </w:instrText>
      </w:r>
      <w:r>
        <w:fldChar w:fldCharType="separate"/>
      </w:r>
      <w:r>
        <w:t>65</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_Toc23992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附件二、中小企业申明</w:t>
      </w:r>
      <w:r>
        <w:tab/>
      </w:r>
      <w:r>
        <w:fldChar w:fldCharType="begin"/>
      </w:r>
      <w:r>
        <w:instrText xml:space="preserve"> PAGEREF _Toc23992 \h </w:instrText>
      </w:r>
      <w:r>
        <w:fldChar w:fldCharType="separate"/>
      </w:r>
      <w:r>
        <w:t>67</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_Toc1277 </w:instrText>
      </w:r>
      <w:r>
        <w:rPr>
          <w:rFonts w:asciiTheme="minorEastAsia" w:hAnsiTheme="minorEastAsia" w:cstheme="minorEastAsia"/>
          <w:szCs w:val="24"/>
        </w:rPr>
        <w:fldChar w:fldCharType="separate"/>
      </w:r>
      <w:r>
        <w:rPr>
          <w:rFonts w:hint="eastAsia"/>
        </w:rPr>
        <w:t>附件三、残疾人福利性单位声明</w:t>
      </w:r>
      <w:r>
        <w:tab/>
      </w:r>
      <w:r>
        <w:fldChar w:fldCharType="begin"/>
      </w:r>
      <w:r>
        <w:instrText xml:space="preserve"> PAGEREF _Toc1277 \h </w:instrText>
      </w:r>
      <w:r>
        <w:fldChar w:fldCharType="separate"/>
      </w:r>
      <w:r>
        <w:t>68</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_Toc15718 </w:instrText>
      </w:r>
      <w:r>
        <w:rPr>
          <w:rFonts w:asciiTheme="minorEastAsia" w:hAnsiTheme="minorEastAsia" w:cstheme="minorEastAsia"/>
          <w:szCs w:val="24"/>
        </w:rPr>
        <w:fldChar w:fldCharType="separate"/>
      </w:r>
      <w:r>
        <w:rPr>
          <w:rFonts w:hint="eastAsia" w:ascii="宋体" w:hAnsi="宋体"/>
        </w:rPr>
        <w:t>附件四、监狱企业证明文件</w:t>
      </w:r>
      <w:r>
        <w:tab/>
      </w:r>
      <w:r>
        <w:fldChar w:fldCharType="begin"/>
      </w:r>
      <w:r>
        <w:instrText xml:space="preserve"> PAGEREF _Toc15718 \h </w:instrText>
      </w:r>
      <w:r>
        <w:fldChar w:fldCharType="separate"/>
      </w:r>
      <w:r>
        <w:t>69</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_Toc21679 </w:instrText>
      </w:r>
      <w:r>
        <w:rPr>
          <w:rFonts w:asciiTheme="minorEastAsia" w:hAnsiTheme="minorEastAsia" w:cstheme="minorEastAsia"/>
          <w:szCs w:val="24"/>
        </w:rPr>
        <w:fldChar w:fldCharType="separate"/>
      </w:r>
      <w:r>
        <w:rPr>
          <w:rFonts w:hint="eastAsia" w:ascii="宋体" w:hAnsi="宋体"/>
        </w:rPr>
        <w:t>附件五、“节能产品”，“环境标志产品”证明材料</w:t>
      </w:r>
      <w:r>
        <w:tab/>
      </w:r>
      <w:r>
        <w:fldChar w:fldCharType="begin"/>
      </w:r>
      <w:r>
        <w:instrText xml:space="preserve"> PAGEREF _Toc21679 \h </w:instrText>
      </w:r>
      <w:r>
        <w:fldChar w:fldCharType="separate"/>
      </w:r>
      <w:r>
        <w:t>69</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_Toc11189 </w:instrText>
      </w:r>
      <w:r>
        <w:rPr>
          <w:rFonts w:asciiTheme="minorEastAsia" w:hAnsiTheme="minorEastAsia" w:cstheme="minorEastAsia"/>
          <w:szCs w:val="24"/>
        </w:rPr>
        <w:fldChar w:fldCharType="separate"/>
      </w:r>
      <w:r>
        <w:rPr>
          <w:rFonts w:hint="eastAsia"/>
        </w:rPr>
        <w:t>附件六、质疑函范本</w:t>
      </w:r>
      <w:r>
        <w:tab/>
      </w:r>
      <w:r>
        <w:fldChar w:fldCharType="begin"/>
      </w:r>
      <w:r>
        <w:instrText xml:space="preserve"> PAGEREF _Toc11189 \h </w:instrText>
      </w:r>
      <w:r>
        <w:fldChar w:fldCharType="separate"/>
      </w:r>
      <w:r>
        <w:t>70</w:t>
      </w:r>
      <w:r>
        <w:fldChar w:fldCharType="end"/>
      </w:r>
      <w:r>
        <w:rPr>
          <w:rFonts w:asciiTheme="minorEastAsia" w:hAnsiTheme="minorEastAsia" w:cstheme="minorEastAsia"/>
          <w:szCs w:val="24"/>
        </w:rPr>
        <w:fldChar w:fldCharType="end"/>
      </w:r>
    </w:p>
    <w:p>
      <w:pPr>
        <w:pStyle w:val="21"/>
        <w:tabs>
          <w:tab w:val="right" w:leader="dot" w:pos="9298"/>
        </w:tabs>
        <w:rPr>
          <w:rFonts w:asciiTheme="minorEastAsia" w:hAnsiTheme="minorEastAsia" w:cstheme="minorEastAsia"/>
          <w:szCs w:val="24"/>
        </w:rPr>
      </w:pPr>
      <w:r>
        <w:rPr>
          <w:rFonts w:asciiTheme="minorEastAsia" w:hAnsiTheme="minorEastAsia" w:cstheme="minorEastAsia"/>
          <w:szCs w:val="24"/>
        </w:rPr>
        <w:fldChar w:fldCharType="end"/>
      </w:r>
    </w:p>
    <w:p/>
    <w:p/>
    <w:p>
      <w:pPr>
        <w:tabs>
          <w:tab w:val="left" w:pos="3477"/>
        </w:tabs>
        <w:jc w:val="left"/>
        <w:sectPr>
          <w:footerReference r:id="rId6" w:type="default"/>
          <w:pgSz w:w="11906" w:h="16838"/>
          <w:pgMar w:top="1440" w:right="1304" w:bottom="1440" w:left="1304" w:header="851" w:footer="992" w:gutter="0"/>
          <w:cols w:space="0" w:num="1"/>
          <w:docGrid w:type="lines" w:linePitch="325" w:charSpace="0"/>
        </w:sectPr>
      </w:pPr>
      <w:r>
        <w:rPr>
          <w:rFonts w:hint="eastAsia"/>
        </w:rPr>
        <w:tab/>
      </w:r>
    </w:p>
    <w:p>
      <w:pPr>
        <w:pStyle w:val="3"/>
        <w:spacing w:beforeLines="100" w:afterLines="150" w:line="600" w:lineRule="exact"/>
        <w:rPr>
          <w:rFonts w:asciiTheme="minorEastAsia" w:hAnsiTheme="minorEastAsia" w:eastAsiaTheme="minorEastAsia" w:cstheme="minorEastAsia"/>
          <w:sz w:val="36"/>
          <w:szCs w:val="36"/>
        </w:rPr>
      </w:pPr>
      <w:bookmarkStart w:id="1" w:name="_Toc16468"/>
      <w:bookmarkStart w:id="2" w:name="_Toc23156"/>
      <w:bookmarkStart w:id="3" w:name="_Toc26575"/>
      <w:r>
        <w:rPr>
          <w:rFonts w:hint="eastAsia" w:asciiTheme="minorEastAsia" w:hAnsiTheme="minorEastAsia" w:eastAsiaTheme="minorEastAsia" w:cstheme="minorEastAsia"/>
          <w:sz w:val="36"/>
          <w:szCs w:val="36"/>
        </w:rPr>
        <w:t>第一部分  公开招标公告</w:t>
      </w:r>
      <w:bookmarkEnd w:id="1"/>
      <w:bookmarkEnd w:id="2"/>
      <w:bookmarkEnd w:id="3"/>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Theme="minorEastAsia" w:hAnsiTheme="minorEastAsia" w:cstheme="minorEastAsia"/>
          <w:kern w:val="0"/>
          <w:sz w:val="24"/>
          <w:szCs w:val="24"/>
          <w:lang w:eastAsia="zh-CN"/>
        </w:rPr>
        <w:t>西安市第五医院</w:t>
      </w:r>
      <w:r>
        <w:rPr>
          <w:rFonts w:hint="eastAsia" w:asciiTheme="minorEastAsia" w:hAnsiTheme="minorEastAsia" w:cstheme="minorEastAsia"/>
          <w:kern w:val="0"/>
          <w:sz w:val="24"/>
          <w:szCs w:val="24"/>
        </w:rPr>
        <w:t>的委托，经政府采购管理部门批准，就</w:t>
      </w:r>
      <w:r>
        <w:rPr>
          <w:rFonts w:hint="eastAsia" w:asciiTheme="minorEastAsia" w:hAnsiTheme="minorEastAsia" w:cstheme="minorEastAsia"/>
          <w:kern w:val="0"/>
          <w:sz w:val="24"/>
          <w:szCs w:val="24"/>
          <w:lang w:eastAsia="zh-CN"/>
        </w:rPr>
        <w:t>西安市第五医院下肢康复运动器等设备一批采购项目</w:t>
      </w:r>
      <w:r>
        <w:rPr>
          <w:rFonts w:hint="eastAsia" w:asciiTheme="minorEastAsia" w:hAnsiTheme="minorEastAsia" w:cstheme="minorEastAsia"/>
          <w:kern w:val="0"/>
          <w:sz w:val="24"/>
          <w:szCs w:val="24"/>
        </w:rPr>
        <w:t>进行公开招标采购，欢迎符合资格条件的、有能力提供本次项目所需货物和服务的投标人参加投标。</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w:t>
      </w:r>
      <w:r>
        <w:rPr>
          <w:rFonts w:hint="eastAsia" w:asciiTheme="minorEastAsia" w:hAnsiTheme="minorEastAsia" w:cstheme="minorEastAsia"/>
          <w:kern w:val="0"/>
          <w:sz w:val="24"/>
          <w:szCs w:val="24"/>
          <w:lang w:eastAsia="zh-CN"/>
        </w:rPr>
        <w:t>西安市第五医院下肢康复运动器等设备一批采购项目</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项目编号：</w:t>
      </w:r>
      <w:r>
        <w:rPr>
          <w:rFonts w:hint="eastAsia" w:asciiTheme="minorEastAsia" w:hAnsiTheme="minorEastAsia" w:cstheme="minorEastAsia"/>
          <w:kern w:val="0"/>
          <w:sz w:val="24"/>
          <w:szCs w:val="24"/>
          <w:lang w:eastAsia="zh-CN"/>
        </w:rPr>
        <w:t>SXWZ2023ZB-DWYY-193</w:t>
      </w:r>
    </w:p>
    <w:p>
      <w:pPr>
        <w:widowControl/>
        <w:numPr>
          <w:ilvl w:val="0"/>
          <w:numId w:val="2"/>
        </w:numPr>
        <w:wordWrap w:val="0"/>
        <w:snapToGrid w:val="0"/>
        <w:spacing w:line="360" w:lineRule="auto"/>
        <w:ind w:firstLine="480" w:firstLineChars="200"/>
        <w:jc w:val="left"/>
        <w:rPr>
          <w:rFonts w:ascii="宋体" w:cs="宋体"/>
          <w:kern w:val="0"/>
          <w:sz w:val="24"/>
          <w:szCs w:val="24"/>
        </w:rPr>
      </w:pPr>
      <w:bookmarkStart w:id="4" w:name="_Toc20220_WPSOffice_Level2"/>
      <w:r>
        <w:rPr>
          <w:rFonts w:hint="eastAsia" w:ascii="宋体" w:hAnsi="宋体" w:cs="宋体"/>
          <w:kern w:val="0"/>
          <w:sz w:val="24"/>
          <w:szCs w:val="24"/>
        </w:rPr>
        <w:t>采购人名称：</w:t>
      </w:r>
      <w:bookmarkEnd w:id="4"/>
      <w:r>
        <w:rPr>
          <w:rFonts w:hint="eastAsia" w:asciiTheme="minorEastAsia" w:hAnsiTheme="minorEastAsia" w:cstheme="minorEastAsia"/>
          <w:kern w:val="0"/>
          <w:sz w:val="24"/>
          <w:szCs w:val="24"/>
          <w:lang w:eastAsia="zh-CN"/>
        </w:rPr>
        <w:t>西安市第五医院</w:t>
      </w:r>
    </w:p>
    <w:p>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r>
        <w:rPr>
          <w:rFonts w:hint="eastAsia" w:ascii="宋体" w:hAnsi="宋体" w:cs="宋体"/>
          <w:kern w:val="0"/>
          <w:sz w:val="24"/>
          <w:szCs w:val="24"/>
          <w:lang w:eastAsia="zh-CN"/>
        </w:rPr>
        <w:t>西安市西关正街112号</w:t>
      </w:r>
      <w:r>
        <w:rPr>
          <w:rFonts w:hint="eastAsia" w:ascii="宋体" w:hAnsi="宋体" w:cs="宋体"/>
          <w:kern w:val="0"/>
          <w:sz w:val="24"/>
          <w:szCs w:val="24"/>
        </w:rPr>
        <w:t xml:space="preserve">  </w:t>
      </w:r>
    </w:p>
    <w:p>
      <w:pPr>
        <w:widowControl/>
        <w:tabs>
          <w:tab w:val="left" w:pos="0"/>
        </w:tabs>
        <w:wordWrap w:val="0"/>
        <w:spacing w:line="360" w:lineRule="auto"/>
        <w:ind w:firstLine="960" w:firstLineChars="400"/>
        <w:jc w:val="left"/>
        <w:rPr>
          <w:rFonts w:hint="default" w:ascii="宋体" w:hAnsi="宋体" w:cs="宋体" w:eastAsiaTheme="minorEastAsia"/>
          <w:kern w:val="0"/>
          <w:sz w:val="24"/>
          <w:szCs w:val="24"/>
          <w:lang w:val="en-US" w:eastAsia="zh-CN"/>
        </w:rPr>
      </w:pPr>
      <w:r>
        <w:rPr>
          <w:rFonts w:ascii="宋体" w:hAnsi="宋体" w:cs="宋体"/>
          <w:kern w:val="0"/>
          <w:sz w:val="24"/>
          <w:szCs w:val="24"/>
        </w:rPr>
        <w:t>联</w:t>
      </w:r>
      <w:r>
        <w:rPr>
          <w:rFonts w:hint="eastAsia" w:ascii="宋体" w:hAnsi="宋体" w:cs="宋体"/>
          <w:kern w:val="0"/>
          <w:sz w:val="24"/>
          <w:szCs w:val="24"/>
        </w:rPr>
        <w:t>系方式：</w:t>
      </w:r>
      <w:r>
        <w:rPr>
          <w:rFonts w:hint="eastAsia" w:ascii="宋体" w:hAnsi="宋体" w:cs="宋体"/>
          <w:kern w:val="0"/>
          <w:sz w:val="24"/>
          <w:szCs w:val="24"/>
          <w:highlight w:val="none"/>
          <w:lang w:val="en-US" w:eastAsia="zh-CN"/>
        </w:rPr>
        <w:t>029-88621331</w:t>
      </w:r>
    </w:p>
    <w:p>
      <w:pPr>
        <w:widowControl/>
        <w:numPr>
          <w:ilvl w:val="0"/>
          <w:numId w:val="0"/>
        </w:numPr>
        <w:tabs>
          <w:tab w:val="left" w:pos="1620"/>
        </w:tabs>
        <w:wordWrap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四、</w:t>
      </w: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0"/>
        </w:numPr>
        <w:tabs>
          <w:tab w:val="left" w:pos="1620"/>
        </w:tabs>
        <w:wordWrap w:val="0"/>
        <w:snapToGrid w:val="0"/>
        <w:spacing w:line="360" w:lineRule="auto"/>
        <w:ind w:firstLine="480" w:firstLineChars="200"/>
        <w:jc w:val="left"/>
        <w:rPr>
          <w:rFonts w:hint="eastAsia"/>
          <w:lang w:val="en-US" w:eastAsia="zh-CN"/>
        </w:rPr>
      </w:pPr>
      <w:r>
        <w:rPr>
          <w:rFonts w:hint="eastAsia" w:asciiTheme="minorEastAsia" w:hAnsiTheme="minorEastAsia" w:cstheme="minorEastAsia"/>
          <w:kern w:val="0"/>
          <w:sz w:val="24"/>
          <w:szCs w:val="24"/>
          <w:lang w:val="en-US" w:eastAsia="zh-CN"/>
        </w:rPr>
        <w:t>五、</w:t>
      </w:r>
      <w:r>
        <w:rPr>
          <w:rFonts w:hint="eastAsia" w:asciiTheme="minorEastAsia" w:hAnsiTheme="minorEastAsia" w:cstheme="minorEastAsia"/>
          <w:kern w:val="0"/>
          <w:sz w:val="24"/>
          <w:szCs w:val="24"/>
        </w:rPr>
        <w:t>采购内容和要求：</w:t>
      </w:r>
      <w:r>
        <w:rPr>
          <w:rFonts w:hint="eastAsia"/>
          <w:lang w:val="en-US" w:eastAsia="zh-CN"/>
        </w:rPr>
        <w:t xml:space="preserve">    </w:t>
      </w:r>
    </w:p>
    <w:tbl>
      <w:tblPr>
        <w:tblStyle w:val="29"/>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67"/>
        <w:gridCol w:w="1033"/>
        <w:gridCol w:w="1691"/>
        <w:gridCol w:w="1201"/>
        <w:gridCol w:w="1152"/>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47" w:type="dxa"/>
            <w:vAlign w:val="center"/>
          </w:tcPr>
          <w:p>
            <w:pPr>
              <w:widowControl/>
              <w:tabs>
                <w:tab w:val="left" w:pos="1620"/>
              </w:tabs>
              <w:wordWrap w:val="0"/>
              <w:snapToGrid w:val="0"/>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序号</w:t>
            </w:r>
          </w:p>
        </w:tc>
        <w:tc>
          <w:tcPr>
            <w:tcW w:w="2867" w:type="dxa"/>
            <w:vAlign w:val="center"/>
          </w:tcPr>
          <w:p>
            <w:pPr>
              <w:widowControl/>
              <w:tabs>
                <w:tab w:val="left" w:pos="1620"/>
              </w:tabs>
              <w:wordWrap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采购内容</w:t>
            </w:r>
          </w:p>
        </w:tc>
        <w:tc>
          <w:tcPr>
            <w:tcW w:w="1033" w:type="dxa"/>
            <w:vAlign w:val="center"/>
          </w:tcPr>
          <w:p>
            <w:pPr>
              <w:tabs>
                <w:tab w:val="left" w:pos="480"/>
              </w:tabs>
              <w:spacing w:line="240" w:lineRule="exact"/>
              <w:jc w:val="center"/>
              <w:rPr>
                <w:rFonts w:ascii="宋体" w:hAnsi="宋体" w:eastAsia="宋体" w:cs="宋体"/>
                <w:kern w:val="0"/>
                <w:szCs w:val="21"/>
              </w:rPr>
            </w:pPr>
            <w:r>
              <w:rPr>
                <w:rFonts w:hint="eastAsia" w:ascii="宋体" w:hAnsi="宋体" w:eastAsia="宋体" w:cs="宋体"/>
                <w:kern w:val="0"/>
                <w:szCs w:val="21"/>
              </w:rPr>
              <w:t>采购数量</w:t>
            </w:r>
          </w:p>
        </w:tc>
        <w:tc>
          <w:tcPr>
            <w:tcW w:w="1691" w:type="dxa"/>
            <w:vAlign w:val="center"/>
          </w:tcPr>
          <w:p>
            <w:pPr>
              <w:tabs>
                <w:tab w:val="left" w:pos="480"/>
              </w:tabs>
              <w:spacing w:line="240" w:lineRule="exact"/>
              <w:jc w:val="center"/>
              <w:rPr>
                <w:rFonts w:hint="eastAsia" w:ascii="宋体" w:hAnsi="宋体" w:eastAsia="宋体" w:cs="宋体"/>
                <w:kern w:val="0"/>
                <w:szCs w:val="21"/>
              </w:rPr>
            </w:pPr>
            <w:r>
              <w:rPr>
                <w:rFonts w:hint="eastAsia" w:ascii="宋体" w:hAnsi="宋体" w:eastAsia="宋体" w:cs="宋体"/>
                <w:kern w:val="0"/>
                <w:szCs w:val="21"/>
              </w:rPr>
              <w:t>采购预算</w:t>
            </w:r>
          </w:p>
          <w:p>
            <w:pPr>
              <w:tabs>
                <w:tab w:val="left" w:pos="480"/>
              </w:tabs>
              <w:spacing w:line="240" w:lineRule="exact"/>
              <w:jc w:val="center"/>
              <w:rPr>
                <w:rFonts w:hint="eastAsia" w:ascii="宋体" w:hAnsi="宋体" w:eastAsia="宋体" w:cs="宋体"/>
                <w:kern w:val="0"/>
                <w:szCs w:val="21"/>
              </w:rPr>
            </w:pPr>
            <w:r>
              <w:rPr>
                <w:rFonts w:hint="eastAsia" w:ascii="宋体" w:hAnsi="宋体" w:eastAsia="宋体" w:cs="宋体"/>
                <w:kern w:val="0"/>
                <w:szCs w:val="21"/>
              </w:rPr>
              <w:t>金额</w:t>
            </w:r>
          </w:p>
          <w:p>
            <w:pPr>
              <w:tabs>
                <w:tab w:val="left" w:pos="480"/>
              </w:tabs>
              <w:spacing w:line="24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元）</w:t>
            </w:r>
          </w:p>
        </w:tc>
        <w:tc>
          <w:tcPr>
            <w:tcW w:w="1201" w:type="dxa"/>
            <w:vAlign w:val="center"/>
          </w:tcPr>
          <w:p>
            <w:pPr>
              <w:widowControl/>
              <w:tabs>
                <w:tab w:val="left" w:pos="1620"/>
              </w:tabs>
              <w:wordWrap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项目性质</w:t>
            </w:r>
          </w:p>
        </w:tc>
        <w:tc>
          <w:tcPr>
            <w:tcW w:w="1152" w:type="dxa"/>
            <w:vAlign w:val="center"/>
          </w:tcPr>
          <w:p>
            <w:pPr>
              <w:widowControl/>
              <w:tabs>
                <w:tab w:val="left" w:pos="1620"/>
              </w:tabs>
              <w:wordWrap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项目用途</w:t>
            </w:r>
          </w:p>
        </w:tc>
        <w:tc>
          <w:tcPr>
            <w:tcW w:w="1368" w:type="dxa"/>
            <w:vAlign w:val="center"/>
          </w:tcPr>
          <w:p>
            <w:pPr>
              <w:widowControl/>
              <w:tabs>
                <w:tab w:val="left" w:pos="1620"/>
              </w:tabs>
              <w:wordWrap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2867" w:type="dxa"/>
            <w:vAlign w:val="center"/>
          </w:tcPr>
          <w:p>
            <w:pPr>
              <w:widowControl/>
              <w:tabs>
                <w:tab w:val="left" w:pos="1620"/>
              </w:tabs>
              <w:wordWrap w:val="0"/>
              <w:snapToGrid w:val="0"/>
              <w:spacing w:line="360" w:lineRule="auto"/>
              <w:jc w:val="center"/>
              <w:rPr>
                <w:rFonts w:ascii="宋体" w:hAnsi="宋体" w:eastAsia="宋体" w:cs="宋体"/>
                <w:kern w:val="0"/>
                <w:sz w:val="21"/>
                <w:szCs w:val="21"/>
              </w:rPr>
            </w:pPr>
            <w:r>
              <w:rPr>
                <w:rFonts w:hint="eastAsia" w:ascii="宋体" w:hAnsi="宋体" w:eastAsia="宋体" w:cs="宋体"/>
                <w:kern w:val="0"/>
                <w:sz w:val="21"/>
                <w:szCs w:val="21"/>
                <w:highlight w:val="none"/>
                <w:lang w:val="en-US" w:eastAsia="zh-CN"/>
              </w:rPr>
              <w:t>妇科</w:t>
            </w:r>
            <w:r>
              <w:rPr>
                <w:rFonts w:hint="eastAsia" w:ascii="宋体" w:hAnsi="宋体" w:eastAsia="宋体" w:cs="宋体"/>
                <w:kern w:val="0"/>
                <w:sz w:val="21"/>
                <w:szCs w:val="21"/>
                <w:highlight w:val="none"/>
              </w:rPr>
              <w:t>臭氧治疗仪</w:t>
            </w:r>
          </w:p>
        </w:tc>
        <w:tc>
          <w:tcPr>
            <w:tcW w:w="1033" w:type="dxa"/>
            <w:vAlign w:val="center"/>
          </w:tcPr>
          <w:p>
            <w:pPr>
              <w:spacing w:line="240" w:lineRule="exact"/>
              <w:ind w:firstLine="102" w:firstLineChars="49"/>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台</w:t>
            </w:r>
          </w:p>
        </w:tc>
        <w:tc>
          <w:tcPr>
            <w:tcW w:w="1691" w:type="dxa"/>
            <w:vAlign w:val="center"/>
          </w:tcPr>
          <w:p>
            <w:pPr>
              <w:spacing w:line="240" w:lineRule="exact"/>
              <w:ind w:firstLine="102" w:firstLineChars="49"/>
              <w:jc w:val="center"/>
              <w:rPr>
                <w:rFonts w:hint="default" w:ascii="宋体" w:hAnsi="宋体" w:cs="宋体" w:eastAsiaTheme="minorEastAsia"/>
                <w:kern w:val="0"/>
                <w:sz w:val="21"/>
                <w:szCs w:val="21"/>
                <w:lang w:val="en-US" w:eastAsia="zh-CN"/>
              </w:rPr>
            </w:pPr>
            <w:r>
              <w:rPr>
                <w:rFonts w:hint="eastAsia" w:ascii="宋体" w:hAnsi="宋体" w:eastAsia="宋体" w:cs="宋体"/>
                <w:b w:val="0"/>
                <w:bCs/>
                <w:color w:val="000000" w:themeColor="text1"/>
                <w:kern w:val="2"/>
                <w:sz w:val="21"/>
                <w:szCs w:val="21"/>
                <w:lang w:val="en-US" w:eastAsia="zh-CN"/>
                <w14:textFill>
                  <w14:solidFill>
                    <w14:schemeClr w14:val="tx1"/>
                  </w14:solidFill>
                </w14:textFill>
              </w:rPr>
              <w:t>80000.00</w:t>
            </w:r>
          </w:p>
        </w:tc>
        <w:tc>
          <w:tcPr>
            <w:tcW w:w="1201" w:type="dxa"/>
            <w:vMerge w:val="restart"/>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lang w:val="en-US" w:eastAsia="zh-CN"/>
              </w:rPr>
              <w:t>自筹资金（含财政资金）</w:t>
            </w:r>
          </w:p>
        </w:tc>
        <w:tc>
          <w:tcPr>
            <w:tcW w:w="1152" w:type="dxa"/>
            <w:vMerge w:val="restart"/>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自用</w:t>
            </w:r>
          </w:p>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368" w:type="dxa"/>
            <w:vMerge w:val="restart"/>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具体详见第五部分采购要求</w:t>
            </w:r>
          </w:p>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2</w:t>
            </w:r>
          </w:p>
        </w:tc>
        <w:tc>
          <w:tcPr>
            <w:tcW w:w="286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default" w:asciiTheme="minorEastAsia" w:hAnsiTheme="minorEastAsia" w:cstheme="minorEastAsia"/>
                <w:kern w:val="0"/>
                <w:sz w:val="21"/>
                <w:szCs w:val="21"/>
                <w:highlight w:val="none"/>
                <w:lang w:val="en-US" w:eastAsia="zh-CN"/>
              </w:rPr>
              <w:t>便携高频电灼电离子治疗仪（电凝止血切割）</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eastAsia="zh-CN"/>
              </w:rPr>
              <w:t>台</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5000.00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52"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368"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3</w:t>
            </w:r>
          </w:p>
        </w:tc>
        <w:tc>
          <w:tcPr>
            <w:tcW w:w="2867" w:type="dxa"/>
            <w:vAlign w:val="center"/>
          </w:tcPr>
          <w:p>
            <w:pPr>
              <w:widowControl/>
              <w:tabs>
                <w:tab w:val="left" w:pos="1620"/>
              </w:tabs>
              <w:wordWrap w:val="0"/>
              <w:snapToGrid w:val="0"/>
              <w:spacing w:line="360" w:lineRule="auto"/>
              <w:jc w:val="center"/>
              <w:rPr>
                <w:rFonts w:hint="eastAsia" w:asciiTheme="minorEastAsia" w:hAnsi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电脑验光仪</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1套</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130000.00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52"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368"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4</w:t>
            </w:r>
          </w:p>
        </w:tc>
        <w:tc>
          <w:tcPr>
            <w:tcW w:w="2867" w:type="dxa"/>
            <w:vAlign w:val="center"/>
          </w:tcPr>
          <w:p>
            <w:pPr>
              <w:widowControl/>
              <w:tabs>
                <w:tab w:val="left" w:pos="1620"/>
              </w:tabs>
              <w:wordWrap w:val="0"/>
              <w:snapToGrid w:val="0"/>
              <w:spacing w:line="360" w:lineRule="auto"/>
              <w:jc w:val="center"/>
              <w:rPr>
                <w:rFonts w:hint="eastAsia" w:asciiTheme="minorEastAsia" w:hAnsi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高端麻醉机</w:t>
            </w:r>
            <w:r>
              <w:rPr>
                <w:rFonts w:hint="eastAsia" w:asciiTheme="minorEastAsia" w:hAnsiTheme="minorEastAsia" w:cstheme="minorEastAsia"/>
                <w:b/>
                <w:bCs/>
                <w:kern w:val="0"/>
                <w:sz w:val="21"/>
                <w:szCs w:val="21"/>
                <w:highlight w:val="none"/>
                <w:lang w:eastAsia="zh-CN"/>
              </w:rPr>
              <w:t>（核心产品）</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1台</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600000.00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52"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368"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5</w:t>
            </w:r>
          </w:p>
        </w:tc>
        <w:tc>
          <w:tcPr>
            <w:tcW w:w="2867" w:type="dxa"/>
            <w:vAlign w:val="center"/>
          </w:tcPr>
          <w:p>
            <w:pPr>
              <w:widowControl/>
              <w:tabs>
                <w:tab w:val="left" w:pos="1620"/>
              </w:tabs>
              <w:wordWrap w:val="0"/>
              <w:snapToGrid w:val="0"/>
              <w:spacing w:line="360" w:lineRule="auto"/>
              <w:jc w:val="center"/>
              <w:rPr>
                <w:rFonts w:hint="eastAsia" w:asciiTheme="minorEastAsia" w:hAnsi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皮肤镜图像处理工作站</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1套</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250000.00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52"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368"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6</w:t>
            </w:r>
          </w:p>
        </w:tc>
        <w:tc>
          <w:tcPr>
            <w:tcW w:w="2867" w:type="dxa"/>
            <w:vAlign w:val="center"/>
          </w:tcPr>
          <w:p>
            <w:pPr>
              <w:widowControl/>
              <w:tabs>
                <w:tab w:val="left" w:pos="1620"/>
              </w:tabs>
              <w:wordWrap w:val="0"/>
              <w:snapToGrid w:val="0"/>
              <w:spacing w:line="360" w:lineRule="auto"/>
              <w:jc w:val="center"/>
              <w:rPr>
                <w:rFonts w:hint="eastAsia" w:asciiTheme="minorEastAsia" w:hAnsi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无线超声多普勒胎心监测仪</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2台</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120000.00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52"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368"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7</w:t>
            </w:r>
          </w:p>
        </w:tc>
        <w:tc>
          <w:tcPr>
            <w:tcW w:w="2867" w:type="dxa"/>
            <w:vAlign w:val="center"/>
          </w:tcPr>
          <w:p>
            <w:pPr>
              <w:widowControl/>
              <w:tabs>
                <w:tab w:val="left" w:pos="1620"/>
              </w:tabs>
              <w:wordWrap w:val="0"/>
              <w:snapToGrid w:val="0"/>
              <w:spacing w:line="360" w:lineRule="auto"/>
              <w:jc w:val="center"/>
              <w:rPr>
                <w:rFonts w:hint="eastAsia" w:asciiTheme="minorEastAsia" w:hAnsi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下肢康复运动器</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1套</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430000.00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52"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368"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959" w:type="dxa"/>
            <w:gridSpan w:val="7"/>
            <w:vAlign w:val="center"/>
          </w:tcPr>
          <w:p>
            <w:pPr>
              <w:widowControl/>
              <w:tabs>
                <w:tab w:val="left" w:pos="1620"/>
              </w:tabs>
              <w:wordWrap w:val="0"/>
              <w:snapToGrid w:val="0"/>
              <w:spacing w:line="360" w:lineRule="auto"/>
              <w:jc w:val="center"/>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总计：1615000.00元/</w:t>
            </w:r>
            <w:r>
              <w:rPr>
                <w:rFonts w:hint="eastAsia" w:ascii="宋体" w:hAnsi="宋体" w:cs="宋体"/>
                <w:kern w:val="0"/>
                <w:sz w:val="21"/>
                <w:szCs w:val="21"/>
                <w:highlight w:val="none"/>
                <w:lang w:val="en-US" w:eastAsia="zh-CN"/>
              </w:rPr>
              <w:t>最高限价：</w:t>
            </w:r>
            <w:r>
              <w:rPr>
                <w:rFonts w:hint="eastAsia" w:ascii="宋体" w:hAnsi="宋体" w:cs="宋体"/>
                <w:i w:val="0"/>
                <w:color w:val="000000"/>
                <w:kern w:val="0"/>
                <w:sz w:val="21"/>
                <w:szCs w:val="21"/>
                <w:highlight w:val="none"/>
                <w:u w:val="none"/>
                <w:lang w:val="en-US" w:eastAsia="zh-CN" w:bidi="ar"/>
              </w:rPr>
              <w:t>1615000.00元</w:t>
            </w:r>
          </w:p>
        </w:tc>
      </w:tr>
    </w:tbl>
    <w:p>
      <w:pPr>
        <w:bidi w:val="0"/>
        <w:rPr>
          <w:rFonts w:hint="default"/>
          <w:lang w:val="en-US" w:eastAsia="zh-CN"/>
        </w:rPr>
      </w:pPr>
      <w:r>
        <w:rPr>
          <w:rFonts w:hint="eastAsia"/>
          <w:sz w:val="21"/>
          <w:szCs w:val="21"/>
          <w:lang w:val="en-US" w:eastAsia="zh-CN"/>
        </w:rPr>
        <w:t xml:space="preserve">   </w:t>
      </w:r>
    </w:p>
    <w:p>
      <w:pPr>
        <w:widowControl/>
        <w:numPr>
          <w:ilvl w:val="0"/>
          <w:numId w:val="0"/>
        </w:numPr>
        <w:tabs>
          <w:tab w:val="left" w:pos="1620"/>
        </w:tabs>
        <w:wordWrap w:val="0"/>
        <w:snapToGrid w:val="0"/>
        <w:spacing w:line="360"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rPr>
        <w:t>六、</w:t>
      </w:r>
      <w:r>
        <w:rPr>
          <w:rFonts w:hint="eastAsia" w:asciiTheme="minorEastAsia" w:hAnsiTheme="minorEastAsia" w:cstheme="minorEastAsia"/>
          <w:kern w:val="0"/>
          <w:sz w:val="24"/>
          <w:szCs w:val="24"/>
        </w:rPr>
        <w:t>投标人资质要求：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3"/>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6</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6</w:t>
      </w:r>
      <w:r>
        <w:rPr>
          <w:rFonts w:hint="eastAsia" w:ascii="宋体" w:hAnsi="宋体" w:cs="宋体"/>
          <w:bCs/>
          <w:kern w:val="0"/>
          <w:sz w:val="24"/>
          <w:szCs w:val="24"/>
        </w:rPr>
        <w:t>月至今已缴纳的至少一个月的纳税证明或完税证明；依法免税的单位应提供相关证明材料；</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w:t>
      </w:r>
      <w:r>
        <w:rPr>
          <w:rFonts w:hint="eastAsia" w:ascii="宋体" w:hAnsi="宋体" w:cs="宋体"/>
          <w:bCs/>
          <w:kern w:val="0"/>
          <w:sz w:val="24"/>
          <w:szCs w:val="24"/>
          <w:lang w:val="en-US" w:eastAsia="zh-CN"/>
        </w:rPr>
        <w:t>2022</w:t>
      </w:r>
      <w:r>
        <w:rPr>
          <w:rFonts w:hint="eastAsia" w:ascii="宋体" w:hAnsi="宋体" w:cs="宋体"/>
          <w:bCs/>
          <w:kern w:val="0"/>
          <w:sz w:val="24"/>
          <w:szCs w:val="24"/>
        </w:rPr>
        <w:t>年</w:t>
      </w:r>
      <w:r>
        <w:rPr>
          <w:rFonts w:hint="eastAsia" w:ascii="宋体" w:hAnsi="宋体" w:cs="宋体"/>
          <w:bCs/>
          <w:kern w:val="0"/>
          <w:sz w:val="24"/>
          <w:szCs w:val="24"/>
          <w:lang w:eastAsia="zh-CN"/>
        </w:rPr>
        <w:t>度</w:t>
      </w:r>
      <w:r>
        <w:rPr>
          <w:rFonts w:hint="eastAsia" w:ascii="宋体" w:hAnsi="宋体" w:cs="宋体"/>
          <w:bCs/>
          <w:kern w:val="0"/>
          <w:sz w:val="24"/>
          <w:szCs w:val="24"/>
        </w:rPr>
        <w:t>财务审计报告，或在开标日期前六个月内其基本开户银行出具的资信证明；</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lang w:eastAsia="zh-CN"/>
        </w:rPr>
        <w:t>投标人</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非法定代表人参加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时,只须提供法定代表人身份证原件；</w:t>
      </w:r>
    </w:p>
    <w:p>
      <w:pPr>
        <w:numPr>
          <w:ilvl w:val="0"/>
          <w:numId w:val="3"/>
        </w:numPr>
        <w:snapToGrid w:val="0"/>
        <w:spacing w:line="360" w:lineRule="auto"/>
        <w:ind w:firstLine="567"/>
        <w:jc w:val="left"/>
        <w:rPr>
          <w:rFonts w:hint="eastAsia" w:ascii="宋体" w:hAnsi="宋体" w:cs="宋体"/>
          <w:bCs/>
          <w:kern w:val="0"/>
          <w:sz w:val="24"/>
          <w:szCs w:val="24"/>
          <w:lang w:val="en-US" w:eastAsia="zh-CN"/>
        </w:rPr>
      </w:pPr>
      <w:r>
        <w:rPr>
          <w:rFonts w:hint="eastAsia" w:ascii="宋体" w:hAnsi="宋体" w:cs="宋体"/>
          <w:bCs/>
          <w:color w:val="auto"/>
          <w:kern w:val="0"/>
          <w:sz w:val="24"/>
          <w:szCs w:val="24"/>
          <w:lang w:val="en-US" w:eastAsia="zh-CN"/>
        </w:rPr>
        <w:t>投标人为代理商的应提供《医疗器械经营许可证》或《医疗器械经营备案凭证》及所投产品医疗器械注册证(含附件和附页)；投标人为制造厂商的应提供《医疗器械生产许可</w:t>
      </w:r>
      <w:r>
        <w:rPr>
          <w:rFonts w:hint="eastAsia" w:ascii="宋体" w:hAnsi="宋体" w:cs="宋体"/>
          <w:bCs/>
          <w:kern w:val="0"/>
          <w:sz w:val="24"/>
          <w:szCs w:val="24"/>
          <w:lang w:val="en-US" w:eastAsia="zh-CN"/>
        </w:rPr>
        <w:t>证》和《医疗器械经营许可证》及所投产品医疗器械注册证(含附件和附页)；</w:t>
      </w:r>
    </w:p>
    <w:p>
      <w:pPr>
        <w:numPr>
          <w:ilvl w:val="0"/>
          <w:numId w:val="0"/>
        </w:numPr>
        <w:snapToGrid w:val="0"/>
        <w:spacing w:line="360" w:lineRule="auto"/>
        <w:ind w:left="567" w:leftChars="0"/>
        <w:jc w:val="left"/>
        <w:rPr>
          <w:rFonts w:hint="eastAsia" w:ascii="宋体" w:hAnsi="宋体" w:cs="宋体"/>
          <w:bCs/>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本项目不接受联合体</w:t>
      </w:r>
      <w:r>
        <w:rPr>
          <w:rFonts w:hint="eastAsia" w:ascii="宋体" w:hAnsi="宋体" w:cs="宋体"/>
          <w:bCs/>
          <w:kern w:val="0"/>
          <w:sz w:val="24"/>
          <w:szCs w:val="24"/>
          <w:lang w:eastAsia="zh-CN"/>
        </w:rPr>
        <w:t>投标</w:t>
      </w:r>
      <w:r>
        <w:rPr>
          <w:rFonts w:hint="eastAsia" w:ascii="宋体" w:hAnsi="宋体" w:cs="宋体"/>
          <w:bCs/>
          <w:kern w:val="0"/>
          <w:sz w:val="24"/>
          <w:szCs w:val="24"/>
        </w:rPr>
        <w:t>。</w:t>
      </w:r>
    </w:p>
    <w:p>
      <w:pPr>
        <w:widowControl/>
        <w:numPr>
          <w:ilvl w:val="0"/>
          <w:numId w:val="0"/>
        </w:numPr>
        <w:tabs>
          <w:tab w:val="left" w:pos="1620"/>
        </w:tabs>
        <w:wordWrap w:val="0"/>
        <w:snapToGrid w:val="0"/>
        <w:spacing w:line="360"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rPr>
        <w:t>七、</w:t>
      </w:r>
      <w:r>
        <w:rPr>
          <w:rFonts w:hint="eastAsia" w:asciiTheme="minorEastAsia" w:hAnsiTheme="minorEastAsia" w:cstheme="minorEastAsia"/>
          <w:kern w:val="0"/>
          <w:sz w:val="24"/>
          <w:szCs w:val="24"/>
        </w:rPr>
        <w:t xml:space="preserve">采购项目需要落实的政府采购政策： </w:t>
      </w:r>
    </w:p>
    <w:p>
      <w:pPr>
        <w:widowControl/>
        <w:tabs>
          <w:tab w:val="left" w:pos="1620"/>
        </w:tabs>
        <w:wordWrap w:val="0"/>
        <w:snapToGrid w:val="0"/>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采购节能产品、鼓励环保产品、促进残疾人就业、扶持福利企业、支持中小微企业、支持监狱和戒毒企业、限制采购进口产品等政策，将落实相关政策，具体详见招标文</w:t>
      </w:r>
      <w:r>
        <w:rPr>
          <w:rFonts w:hint="eastAsia" w:ascii="宋体" w:hAnsi="宋体" w:cs="宋体"/>
          <w:bCs/>
          <w:kern w:val="0"/>
          <w:sz w:val="24"/>
          <w:szCs w:val="24"/>
        </w:rPr>
        <w:t>件。</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bCs/>
          <w:kern w:val="0"/>
          <w:sz w:val="24"/>
          <w:szCs w:val="24"/>
        </w:rPr>
        <w:t>8、其他需要落实的政府采购政策；</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rPr>
        <w:t>八、</w:t>
      </w:r>
      <w:r>
        <w:rPr>
          <w:rFonts w:hint="eastAsia" w:asciiTheme="minorEastAsia" w:hAnsiTheme="minorEastAsia" w:cstheme="minorEastAsia"/>
          <w:kern w:val="0"/>
          <w:sz w:val="24"/>
          <w:szCs w:val="24"/>
        </w:rPr>
        <w:t>招标文件领取：</w:t>
      </w:r>
    </w:p>
    <w:p>
      <w:pPr>
        <w:snapToGrid w:val="0"/>
        <w:spacing w:line="360" w:lineRule="auto"/>
        <w:ind w:firstLine="480" w:firstLineChars="200"/>
        <w:rPr>
          <w:rFonts w:asciiTheme="minorEastAsia" w:hAnsiTheme="minorEastAsia" w:cstheme="minorEastAsia"/>
          <w:color w:val="000000"/>
          <w:sz w:val="24"/>
          <w:szCs w:val="24"/>
          <w:highlight w:val="yellow"/>
        </w:rPr>
      </w:pPr>
      <w:r>
        <w:rPr>
          <w:rFonts w:hint="eastAsia" w:asciiTheme="minorEastAsia" w:hAnsiTheme="minorEastAsia" w:cstheme="minorEastAsia"/>
          <w:kern w:val="0"/>
          <w:sz w:val="24"/>
          <w:szCs w:val="24"/>
        </w:rPr>
        <w:t>1、领取时</w:t>
      </w:r>
      <w:r>
        <w:rPr>
          <w:rFonts w:hint="eastAsia" w:asciiTheme="minorEastAsia" w:hAnsiTheme="minorEastAsia" w:cstheme="minorEastAsia"/>
          <w:color w:val="000000"/>
          <w:sz w:val="24"/>
          <w:szCs w:val="24"/>
        </w:rPr>
        <w:t>间</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b/>
          <w:bCs/>
          <w:color w:val="000000"/>
          <w:sz w:val="24"/>
          <w:szCs w:val="24"/>
          <w:highlight w:val="none"/>
        </w:rPr>
        <w:t>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ab/>
      </w:r>
      <w:r>
        <w:rPr>
          <w:rFonts w:hint="eastAsia" w:asciiTheme="minorEastAsia" w:hAnsiTheme="minorEastAsia" w:cstheme="minorEastAsia"/>
          <w:b/>
          <w:bCs/>
          <w:color w:val="000000"/>
          <w:sz w:val="24"/>
          <w:szCs w:val="24"/>
          <w:highlight w:val="none"/>
          <w:lang w:val="en-US" w:eastAsia="zh-CN"/>
        </w:rPr>
        <w:t>10</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27</w:t>
      </w:r>
      <w:r>
        <w:rPr>
          <w:rFonts w:hint="eastAsia" w:asciiTheme="minorEastAsia" w:hAnsiTheme="minorEastAsia" w:cstheme="minorEastAsia"/>
          <w:b/>
          <w:bCs/>
          <w:color w:val="000000"/>
          <w:sz w:val="24"/>
          <w:szCs w:val="24"/>
          <w:highlight w:val="none"/>
        </w:rPr>
        <w:t>日起至202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11</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03</w:t>
      </w:r>
      <w:r>
        <w:rPr>
          <w:rFonts w:hint="eastAsia" w:asciiTheme="minorEastAsia" w:hAnsiTheme="minorEastAsia" w:cstheme="minorEastAsia"/>
          <w:b/>
          <w:bCs/>
          <w:color w:val="000000"/>
          <w:sz w:val="24"/>
          <w:szCs w:val="24"/>
          <w:highlight w:val="none"/>
        </w:rPr>
        <w:t>日</w:t>
      </w:r>
      <w:r>
        <w:rPr>
          <w:rFonts w:hint="eastAsia" w:asciiTheme="minorEastAsia" w:hAnsiTheme="minorEastAsia" w:cstheme="minorEastAsia"/>
          <w:color w:val="000000"/>
          <w:sz w:val="24"/>
          <w:szCs w:val="24"/>
          <w:highlight w:val="none"/>
        </w:rPr>
        <w:t>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lang w:eastAsia="zh-CN"/>
        </w:rPr>
        <w:t>领取</w:t>
      </w:r>
      <w:r>
        <w:rPr>
          <w:rFonts w:hint="eastAsia" w:asciiTheme="minorEastAsia" w:hAnsiTheme="minorEastAsia" w:cstheme="minorEastAsia"/>
          <w:kern w:val="0"/>
          <w:sz w:val="24"/>
          <w:szCs w:val="24"/>
        </w:rPr>
        <w:t>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3、文件售价：¥0元/套。谢绝邮寄。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1）投标人领取标书时，请携带单位介绍信及经办人身份证原件及复印件加盖公章；（2）请投标人按照《陕西省财政厅关于政府采购供应商注册登记有关事项的通知》中的要求，通过陕西省政府采购网（http://www.ccgp-shaanxi.gov.cn/）注册登记加入陕西省政府采购供应商库。</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rPr>
        <w:t>九、</w:t>
      </w:r>
      <w:r>
        <w:rPr>
          <w:rFonts w:hint="eastAsia" w:asciiTheme="minorEastAsia" w:hAnsiTheme="minorEastAsia" w:cstheme="minorEastAsia"/>
          <w:kern w:val="0"/>
          <w:sz w:val="24"/>
          <w:szCs w:val="24"/>
        </w:rPr>
        <w:t>投标文件递交截止时间及开标时间和地点：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yellow"/>
        </w:rPr>
      </w:pPr>
      <w:r>
        <w:rPr>
          <w:rFonts w:hint="eastAsia" w:asciiTheme="minorEastAsia" w:hAnsiTheme="minorEastAsia" w:cstheme="minorEastAsia"/>
          <w:kern w:val="0"/>
          <w:sz w:val="24"/>
          <w:szCs w:val="24"/>
        </w:rPr>
        <w:t xml:space="preserve"> 1、投标文件递交截止时</w:t>
      </w:r>
      <w:r>
        <w:rPr>
          <w:rFonts w:hint="eastAsia" w:asciiTheme="minorEastAsia" w:hAnsiTheme="minorEastAsia" w:cstheme="minorEastAsia"/>
          <w:color w:val="000000"/>
          <w:sz w:val="24"/>
          <w:szCs w:val="24"/>
        </w:rPr>
        <w:t>间</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11</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23</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w:t>
      </w:r>
      <w:r>
        <w:rPr>
          <w:rFonts w:hint="eastAsia" w:asciiTheme="minorEastAsia" w:hAnsiTheme="minorEastAsia" w:cstheme="minorEastAsia"/>
          <w:b/>
          <w:bCs/>
          <w:kern w:val="0"/>
          <w:sz w:val="24"/>
          <w:szCs w:val="24"/>
          <w:highlight w:val="none"/>
          <w:lang w:val="en-US" w:eastAsia="zh-CN"/>
        </w:rPr>
        <w:t>30</w:t>
      </w:r>
      <w:r>
        <w:rPr>
          <w:rFonts w:hint="eastAsia" w:asciiTheme="minorEastAsia" w:hAnsiTheme="minorEastAsia" w:cstheme="minorEastAsia"/>
          <w:b/>
          <w:bCs/>
          <w:kern w:val="0"/>
          <w:sz w:val="24"/>
          <w:szCs w:val="24"/>
          <w:highlight w:val="none"/>
        </w:rPr>
        <w:t>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yellow"/>
        </w:rPr>
      </w:pPr>
      <w:r>
        <w:rPr>
          <w:rFonts w:hint="eastAsia" w:asciiTheme="minorEastAsia" w:hAnsiTheme="minorEastAsia" w:cstheme="minorEastAsia"/>
          <w:kern w:val="0"/>
          <w:sz w:val="24"/>
          <w:szCs w:val="24"/>
          <w:highlight w:val="none"/>
        </w:rPr>
        <w:t xml:space="preserve"> 2、开标时间</w:t>
      </w:r>
      <w:r>
        <w:rPr>
          <w:rFonts w:hint="eastAsia" w:asciiTheme="minorEastAsia" w:hAnsiTheme="minorEastAsia" w:cstheme="minorEastAsia"/>
          <w:kern w:val="0"/>
          <w:sz w:val="24"/>
          <w:szCs w:val="24"/>
          <w:highlight w:val="none"/>
          <w:lang w:eastAsia="zh-CN"/>
        </w:rPr>
        <w:t>：</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11</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23</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w:t>
      </w:r>
      <w:r>
        <w:rPr>
          <w:rFonts w:hint="eastAsia" w:asciiTheme="minorEastAsia" w:hAnsiTheme="minorEastAsia" w:cstheme="minorEastAsia"/>
          <w:b/>
          <w:bCs/>
          <w:kern w:val="0"/>
          <w:sz w:val="24"/>
          <w:szCs w:val="24"/>
          <w:highlight w:val="none"/>
          <w:lang w:val="en-US" w:eastAsia="zh-CN"/>
        </w:rPr>
        <w:t>30</w:t>
      </w:r>
      <w:r>
        <w:rPr>
          <w:rFonts w:hint="eastAsia" w:asciiTheme="minorEastAsia" w:hAnsiTheme="minorEastAsia" w:cstheme="minorEastAsia"/>
          <w:b/>
          <w:bCs/>
          <w:kern w:val="0"/>
          <w:sz w:val="24"/>
          <w:szCs w:val="24"/>
          <w:highlight w:val="none"/>
        </w:rPr>
        <w:t>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3、开标地点：西安市莲湖区西关正街英达大厦1503会议室</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rPr>
        <w:t>十、</w:t>
      </w:r>
      <w:r>
        <w:rPr>
          <w:rFonts w:hint="eastAsia" w:asciiTheme="minorEastAsia" w:hAnsiTheme="minorEastAsia" w:cstheme="minorEastAsia"/>
          <w:kern w:val="0"/>
          <w:sz w:val="24"/>
          <w:szCs w:val="24"/>
        </w:rPr>
        <w:t>其它应说明的事项：</w:t>
      </w:r>
    </w:p>
    <w:p>
      <w:pPr>
        <w:widowControl/>
        <w:wordWrap w:val="0"/>
        <w:snapToGrid w:val="0"/>
        <w:spacing w:line="360" w:lineRule="auto"/>
        <w:ind w:firstLine="480" w:firstLineChars="200"/>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 xml:space="preserve">   1、采购项目联系人：崔方明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cstheme="minorEastAsia"/>
          <w:kern w:val="0"/>
          <w:sz w:val="24"/>
          <w:szCs w:val="24"/>
          <w:lang w:eastAsia="zh-CN"/>
        </w:rPr>
        <w:t>许芳芳</w:t>
      </w:r>
      <w:r>
        <w:rPr>
          <w:rFonts w:hint="eastAsia" w:asciiTheme="minorEastAsia" w:hAnsiTheme="minorEastAsia" w:cstheme="minorEastAsia"/>
          <w:kern w:val="0"/>
          <w:sz w:val="24"/>
          <w:szCs w:val="24"/>
          <w:lang w:val="en-US" w:eastAsia="zh-CN"/>
        </w:rPr>
        <w:t xml:space="preserve">  陈晓航</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联系方式（电话/传真）：029-88319689-804/811</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陕西万泽招标有限公司</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sectPr>
          <w:footerReference r:id="rId7"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kern w:val="0"/>
          <w:sz w:val="24"/>
          <w:szCs w:val="24"/>
          <w:highlight w:val="none"/>
        </w:rPr>
        <w:t xml:space="preserve"> </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10</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27</w:t>
      </w:r>
      <w:r>
        <w:rPr>
          <w:rFonts w:hint="eastAsia" w:asciiTheme="minorEastAsia" w:hAnsiTheme="minorEastAsia" w:cstheme="minorEastAsia"/>
          <w:b/>
          <w:bCs/>
          <w:kern w:val="0"/>
          <w:sz w:val="24"/>
          <w:szCs w:val="24"/>
          <w:highlight w:val="none"/>
        </w:rPr>
        <w:t>日</w:t>
      </w:r>
    </w:p>
    <w:p>
      <w:pPr>
        <w:pStyle w:val="3"/>
        <w:spacing w:beforeLines="100" w:afterLines="50" w:line="600" w:lineRule="exact"/>
        <w:rPr>
          <w:rFonts w:asciiTheme="minorEastAsia" w:hAnsiTheme="minorEastAsia" w:eastAsiaTheme="minorEastAsia" w:cstheme="minorEastAsia"/>
          <w:sz w:val="36"/>
          <w:szCs w:val="36"/>
        </w:rPr>
      </w:pPr>
      <w:bookmarkStart w:id="5" w:name="_Toc6412"/>
      <w:bookmarkStart w:id="6" w:name="_Toc438048787"/>
      <w:bookmarkStart w:id="7" w:name="_Toc30089"/>
      <w:bookmarkStart w:id="8" w:name="_Toc8689"/>
      <w:bookmarkStart w:id="9" w:name="_Toc338"/>
      <w:bookmarkStart w:id="10" w:name="_Toc19272"/>
      <w:bookmarkStart w:id="11" w:name="_Toc262"/>
      <w:r>
        <w:rPr>
          <w:rFonts w:hint="eastAsia" w:asciiTheme="minorEastAsia" w:hAnsiTheme="minorEastAsia" w:eastAsiaTheme="minorEastAsia" w:cstheme="minorEastAsia"/>
          <w:sz w:val="36"/>
          <w:szCs w:val="36"/>
        </w:rPr>
        <w:t>第二部分  投标人须知前附表</w:t>
      </w:r>
      <w:bookmarkEnd w:id="5"/>
      <w:bookmarkEnd w:id="6"/>
      <w:bookmarkEnd w:id="7"/>
      <w:bookmarkEnd w:id="8"/>
    </w:p>
    <w:tbl>
      <w:tblPr>
        <w:tblStyle w:val="28"/>
        <w:tblpPr w:leftFromText="180" w:rightFromText="180" w:vertAnchor="text" w:horzAnchor="page" w:tblpX="1130" w:tblpY="309"/>
        <w:tblOverlap w:val="never"/>
        <w:tblW w:w="96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966"/>
        <w:gridCol w:w="81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66" w:type="dxa"/>
            <w:vAlign w:val="center"/>
          </w:tcPr>
          <w:p>
            <w:pPr>
              <w:spacing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193"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193"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西安市第五医院下肢康复运动器等设备一批采购项目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540" w:type="dxa"/>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193" w:type="dxa"/>
            <w:vAlign w:val="center"/>
          </w:tcPr>
          <w:p>
            <w:pPr>
              <w:widowControl/>
              <w:wordWrap w:val="0"/>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采购人名称：</w:t>
            </w:r>
            <w:r>
              <w:rPr>
                <w:rFonts w:hint="eastAsia" w:asciiTheme="minorEastAsia" w:hAnsiTheme="minorEastAsia" w:cstheme="minorEastAsia"/>
                <w:szCs w:val="21"/>
                <w:lang w:eastAsia="zh-CN"/>
              </w:rPr>
              <w:t>西安市第五医院</w:t>
            </w:r>
          </w:p>
          <w:p>
            <w:pPr>
              <w:widowControl/>
              <w:wordWrap w:val="0"/>
              <w:spacing w:line="360" w:lineRule="auto"/>
              <w:rPr>
                <w:rFonts w:hint="eastAsia" w:asciiTheme="minorEastAsia" w:hAnsiTheme="minorEastAsia" w:cstheme="minorEastAsia"/>
                <w:szCs w:val="21"/>
                <w:lang w:eastAsia="zh-CN"/>
              </w:rPr>
            </w:pPr>
            <w:r>
              <w:rPr>
                <w:rFonts w:hint="eastAsia" w:asciiTheme="minorEastAsia" w:hAnsiTheme="minorEastAsia" w:cstheme="minorEastAsia"/>
                <w:szCs w:val="21"/>
              </w:rPr>
              <w:t xml:space="preserve">地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址：</w:t>
            </w:r>
            <w:r>
              <w:rPr>
                <w:rFonts w:hint="eastAsia" w:asciiTheme="minorEastAsia" w:hAnsiTheme="minorEastAsia" w:cstheme="minorEastAsia"/>
                <w:szCs w:val="21"/>
                <w:lang w:eastAsia="zh-CN"/>
              </w:rPr>
              <w:t>西安市西关正街112号</w:t>
            </w:r>
          </w:p>
          <w:p>
            <w:pPr>
              <w:pStyle w:val="2"/>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联  系  人：</w:t>
            </w:r>
            <w:r>
              <w:rPr>
                <w:rFonts w:hint="eastAsia" w:asciiTheme="minorEastAsia" w:hAnsiTheme="minorEastAsia" w:eastAsiaTheme="minorEastAsia" w:cstheme="minorEastAsia"/>
                <w:b w:val="0"/>
                <w:kern w:val="2"/>
                <w:sz w:val="21"/>
                <w:szCs w:val="21"/>
                <w:highlight w:val="none"/>
                <w:lang w:val="en-US" w:eastAsia="zh-CN" w:bidi="ar-SA"/>
              </w:rPr>
              <w:t>张老师</w:t>
            </w:r>
          </w:p>
          <w:p>
            <w:pPr>
              <w:widowControl/>
              <w:wordWrap w:val="0"/>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联</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系方</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式：</w:t>
            </w:r>
            <w:r>
              <w:rPr>
                <w:rFonts w:hint="eastAsia" w:asciiTheme="minorEastAsia" w:hAnsiTheme="minorEastAsia" w:cstheme="minorEastAsia"/>
                <w:szCs w:val="21"/>
                <w:highlight w:val="none"/>
                <w:lang w:val="en-US" w:eastAsia="zh-CN"/>
              </w:rPr>
              <w:t>029-88621331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65" w:hRule="atLeast"/>
        </w:trPr>
        <w:tc>
          <w:tcPr>
            <w:tcW w:w="540" w:type="dxa"/>
            <w:tcBorders>
              <w:top w:val="single" w:color="auto" w:sz="4" w:space="0"/>
            </w:tcBorders>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66"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193"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联   系   人：崔方明  许芳芳  </w:t>
            </w:r>
            <w:r>
              <w:rPr>
                <w:rFonts w:hint="eastAsia" w:asciiTheme="minorEastAsia" w:hAnsiTheme="minorEastAsia" w:cstheme="minorEastAsia"/>
                <w:szCs w:val="21"/>
                <w:lang w:val="en-US" w:eastAsia="zh-CN"/>
              </w:rPr>
              <w:t>陈晓航</w:t>
            </w:r>
            <w:r>
              <w:rPr>
                <w:rFonts w:hint="eastAsia"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话：029-88319689-804/811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6"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66"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分包</w:t>
            </w:r>
          </w:p>
        </w:tc>
        <w:tc>
          <w:tcPr>
            <w:tcW w:w="8193" w:type="dxa"/>
            <w:vAlign w:val="center"/>
          </w:tcPr>
          <w:p>
            <w:pPr>
              <w:spacing w:line="360" w:lineRule="auto"/>
              <w:rPr>
                <w:rFonts w:asciiTheme="minorEastAsia" w:hAnsiTheme="minorEastAsia" w:cstheme="minorEastAsia"/>
                <w:szCs w:val="21"/>
              </w:rPr>
            </w:pPr>
            <w:r>
              <w:rPr>
                <w:rFonts w:hint="eastAsia" w:ascii="宋体" w:hAnsi="宋体" w:eastAsia="宋体" w:cs="宋体"/>
                <w:sz w:val="21"/>
                <w:szCs w:val="21"/>
                <w:highlight w:val="none"/>
              </w:rPr>
              <w:t>本次采购项目</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rPr>
              <w:t>分包，供应商可根据自身的资质情况和经营范围对本项目进行</w:t>
            </w:r>
            <w:r>
              <w:rPr>
                <w:rFonts w:hint="eastAsia" w:ascii="宋体" w:hAnsi="宋体" w:cs="宋体"/>
                <w:sz w:val="21"/>
                <w:szCs w:val="21"/>
                <w:highlight w:val="none"/>
                <w:lang w:eastAsia="zh-CN"/>
              </w:rPr>
              <w:t>响应</w:t>
            </w:r>
            <w:r>
              <w:rPr>
                <w:rFonts w:hint="eastAsia" w:ascii="宋体" w:hAnsi="宋体" w:eastAsia="宋体" w:cs="宋体"/>
                <w:sz w:val="21"/>
                <w:szCs w:val="21"/>
                <w:highlight w:val="none"/>
              </w:rPr>
              <w:t>，不得将其自行分解或只对本次项目中的品目进行不完全</w:t>
            </w:r>
            <w:r>
              <w:rPr>
                <w:rFonts w:hint="eastAsia" w:ascii="宋体" w:hAnsi="宋体" w:cs="宋体"/>
                <w:sz w:val="21"/>
                <w:szCs w:val="21"/>
                <w:highlight w:val="none"/>
                <w:lang w:eastAsia="zh-CN"/>
              </w:rPr>
              <w:t>响应</w:t>
            </w:r>
            <w:r>
              <w:rPr>
                <w:rFonts w:hint="eastAsia" w:ascii="宋体" w:hAnsi="宋体" w:eastAsia="宋体" w:cs="宋体"/>
                <w:sz w:val="21"/>
                <w:szCs w:val="21"/>
                <w:highlight w:val="none"/>
              </w:rPr>
              <w:t>，任何不完全的响应将按无效</w:t>
            </w:r>
            <w:r>
              <w:rPr>
                <w:rFonts w:hint="eastAsia" w:ascii="宋体" w:hAnsi="宋体" w:cs="宋体"/>
                <w:sz w:val="21"/>
                <w:szCs w:val="21"/>
                <w:highlight w:val="none"/>
                <w:lang w:eastAsia="zh-CN"/>
              </w:rPr>
              <w:t>响应</w:t>
            </w:r>
            <w:r>
              <w:rPr>
                <w:rFonts w:hint="eastAsia" w:ascii="宋体" w:hAnsi="宋体" w:eastAsia="宋体" w:cs="宋体"/>
                <w:sz w:val="21"/>
                <w:szCs w:val="21"/>
                <w:highlight w:val="none"/>
              </w:rPr>
              <w:t>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50"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193" w:type="dxa"/>
            <w:vAlign w:val="center"/>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6</w:t>
            </w:r>
            <w:r>
              <w:rPr>
                <w:rFonts w:hint="eastAsia" w:ascii="宋体" w:hAnsi="宋体" w:cs="宋体"/>
                <w:bCs/>
                <w:kern w:val="0"/>
                <w:szCs w:val="21"/>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Cs w:val="21"/>
                <w:lang w:eastAsia="zh-CN"/>
              </w:rPr>
              <w:t>投标人</w:t>
            </w:r>
            <w:r>
              <w:rPr>
                <w:rFonts w:hint="eastAsia" w:ascii="宋体" w:hAnsi="宋体" w:cs="宋体"/>
                <w:bCs/>
                <w:kern w:val="0"/>
                <w:szCs w:val="21"/>
              </w:rPr>
              <w:t>应提供相关文件证明；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6</w:t>
            </w:r>
            <w:r>
              <w:rPr>
                <w:rFonts w:hint="eastAsia" w:ascii="宋体" w:hAnsi="宋体" w:cs="宋体"/>
                <w:bCs/>
                <w:kern w:val="0"/>
                <w:szCs w:val="21"/>
              </w:rPr>
              <w:t>月至今已缴纳的至少一个月的纳税证明或完税证明；依法免税的单位应提供相关证明材料；</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w:t>
            </w:r>
            <w:r>
              <w:rPr>
                <w:rFonts w:hint="eastAsia" w:ascii="宋体" w:hAnsi="宋体" w:cs="宋体"/>
                <w:bCs/>
                <w:kern w:val="0"/>
                <w:szCs w:val="21"/>
                <w:lang w:val="en-US" w:eastAsia="zh-CN"/>
              </w:rPr>
              <w:t>2022年度</w:t>
            </w:r>
            <w:r>
              <w:rPr>
                <w:rFonts w:hint="eastAsia" w:ascii="宋体" w:hAnsi="宋体" w:cs="宋体"/>
                <w:bCs/>
                <w:kern w:val="0"/>
                <w:szCs w:val="21"/>
              </w:rPr>
              <w:t>财务审计报告，或在开标日期前六个月内其基本开户银行出具的资信证明；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lang w:eastAsia="zh-CN"/>
              </w:rPr>
              <w:t>投标人</w:t>
            </w:r>
            <w:r>
              <w:rPr>
                <w:rFonts w:hint="eastAsia" w:ascii="宋体" w:hAnsi="宋体" w:cs="宋体"/>
                <w:bCs/>
                <w:kern w:val="0"/>
                <w:szCs w:val="21"/>
              </w:rPr>
              <w:t>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w:t>
            </w:r>
            <w:r>
              <w:rPr>
                <w:rFonts w:hint="eastAsia" w:cstheme="minorBidi"/>
                <w:b/>
                <w:bCs/>
                <w:szCs w:val="21"/>
                <w:lang w:eastAsia="zh-CN"/>
              </w:rPr>
              <w:t>招标</w:t>
            </w:r>
            <w:r>
              <w:rPr>
                <w:rFonts w:hint="eastAsia" w:cstheme="minorBidi"/>
                <w:b/>
                <w:bCs/>
                <w:szCs w:val="21"/>
              </w:rPr>
              <w:t>文件第七部分。</w:t>
            </w:r>
          </w:p>
          <w:p>
            <w:pPr>
              <w:snapToGrid w:val="0"/>
              <w:spacing w:line="360" w:lineRule="auto"/>
              <w:ind w:firstLine="420" w:firstLineChars="200"/>
              <w:jc w:val="left"/>
              <w:rPr>
                <w:rFonts w:ascii="宋体" w:hAnsi="宋体" w:cs="宋体"/>
                <w:b/>
                <w:kern w:val="0"/>
                <w:szCs w:val="21"/>
              </w:rPr>
            </w:pPr>
            <w:r>
              <w:rPr>
                <w:rFonts w:hint="eastAsia" w:ascii="宋体" w:hAnsi="宋体" w:cs="宋体"/>
                <w:bCs/>
                <w:kern w:val="0"/>
                <w:szCs w:val="21"/>
              </w:rPr>
              <w:t>6、</w:t>
            </w:r>
            <w:r>
              <w:rPr>
                <w:rFonts w:hint="eastAsia" w:ascii="宋体" w:hAnsi="宋体" w:cs="宋体"/>
                <w:b/>
                <w:kern w:val="0"/>
                <w:szCs w:val="21"/>
              </w:rPr>
              <w:t>非法定代表人参加</w:t>
            </w:r>
            <w:r>
              <w:rPr>
                <w:rFonts w:hint="eastAsia" w:ascii="宋体" w:hAnsi="宋体" w:cs="宋体"/>
                <w:b/>
                <w:kern w:val="0"/>
                <w:szCs w:val="21"/>
                <w:lang w:eastAsia="zh-CN"/>
              </w:rPr>
              <w:t>投标</w:t>
            </w:r>
            <w:r>
              <w:rPr>
                <w:rFonts w:hint="eastAsia" w:ascii="宋体" w:hAnsi="宋体" w:cs="宋体"/>
                <w:b/>
                <w:kern w:val="0"/>
                <w:szCs w:val="21"/>
              </w:rPr>
              <w:t>的，须提供法定代表人授权委托书及被授权人身份证原件；法定代表人参加</w:t>
            </w:r>
            <w:r>
              <w:rPr>
                <w:rFonts w:hint="eastAsia" w:ascii="宋体" w:hAnsi="宋体" w:cs="宋体"/>
                <w:b/>
                <w:kern w:val="0"/>
                <w:szCs w:val="21"/>
                <w:lang w:eastAsia="zh-CN"/>
              </w:rPr>
              <w:t>投标</w:t>
            </w:r>
            <w:r>
              <w:rPr>
                <w:rFonts w:hint="eastAsia" w:ascii="宋体" w:hAnsi="宋体" w:cs="宋体"/>
                <w:b/>
                <w:kern w:val="0"/>
                <w:szCs w:val="21"/>
              </w:rPr>
              <w:t>时,只须提供法定代表人身份证原件；</w:t>
            </w:r>
          </w:p>
          <w:p>
            <w:pPr>
              <w:adjustRightInd w:val="0"/>
              <w:snapToGrid w:val="0"/>
              <w:spacing w:line="360" w:lineRule="auto"/>
              <w:ind w:firstLine="420" w:firstLineChars="200"/>
              <w:rPr>
                <w:rFonts w:hint="eastAsia" w:cstheme="minorBidi"/>
                <w:b/>
                <w:bCs/>
                <w:kern w:val="2"/>
                <w:sz w:val="21"/>
                <w:szCs w:val="20"/>
                <w:lang w:val="en-US" w:eastAsia="zh-CN" w:bidi="ar-SA"/>
              </w:rPr>
            </w:pPr>
            <w:r>
              <w:rPr>
                <w:rFonts w:hint="eastAsia" w:ascii="宋体" w:hAnsi="宋体" w:cs="宋体"/>
                <w:bCs/>
                <w:kern w:val="0"/>
                <w:szCs w:val="21"/>
              </w:rPr>
              <w:t>7、</w:t>
            </w:r>
            <w:r>
              <w:rPr>
                <w:rFonts w:hint="eastAsia" w:cstheme="minorBidi"/>
                <w:b w:val="0"/>
                <w:bCs w:val="0"/>
                <w:kern w:val="2"/>
                <w:sz w:val="21"/>
                <w:szCs w:val="20"/>
                <w:lang w:val="en-US" w:eastAsia="zh-CN" w:bidi="ar-SA"/>
              </w:rPr>
              <w:t>投标人</w:t>
            </w:r>
            <w:r>
              <w:rPr>
                <w:rFonts w:hint="eastAsia" w:asciiTheme="minorHAnsi" w:hAnsiTheme="minorHAnsi" w:eastAsiaTheme="minorEastAsia" w:cstheme="minorBidi"/>
                <w:b w:val="0"/>
                <w:bCs w:val="0"/>
                <w:kern w:val="2"/>
                <w:sz w:val="21"/>
                <w:szCs w:val="20"/>
                <w:lang w:val="en-US" w:eastAsia="zh-CN" w:bidi="ar-SA"/>
              </w:rPr>
              <w:t>为代理商的应提供《医疗器械经营许可证》或《医疗器械经营备案凭证》及所投产品医疗器械注册证(含附件和附页)；</w:t>
            </w:r>
            <w:r>
              <w:rPr>
                <w:rFonts w:hint="eastAsia" w:cstheme="minorBidi"/>
                <w:b w:val="0"/>
                <w:bCs w:val="0"/>
                <w:kern w:val="2"/>
                <w:sz w:val="21"/>
                <w:szCs w:val="20"/>
                <w:lang w:val="en-US" w:eastAsia="zh-CN" w:bidi="ar-SA"/>
              </w:rPr>
              <w:t>投标人</w:t>
            </w:r>
            <w:r>
              <w:rPr>
                <w:rFonts w:hint="eastAsia" w:asciiTheme="minorHAnsi" w:hAnsiTheme="minorHAnsi" w:eastAsiaTheme="minorEastAsia" w:cstheme="minorBidi"/>
                <w:b w:val="0"/>
                <w:bCs w:val="0"/>
                <w:kern w:val="2"/>
                <w:sz w:val="21"/>
                <w:szCs w:val="20"/>
                <w:lang w:val="en-US" w:eastAsia="zh-CN" w:bidi="ar-SA"/>
              </w:rPr>
              <w:t>为制造厂商的应提供《医疗器械生产许可证》或《医疗器械</w:t>
            </w:r>
            <w:r>
              <w:rPr>
                <w:rFonts w:hint="eastAsia" w:cstheme="minorBidi"/>
                <w:b w:val="0"/>
                <w:bCs w:val="0"/>
                <w:kern w:val="2"/>
                <w:sz w:val="21"/>
                <w:szCs w:val="20"/>
                <w:lang w:val="en-US" w:eastAsia="zh-CN" w:bidi="ar-SA"/>
              </w:rPr>
              <w:t>经营许可证</w:t>
            </w:r>
            <w:r>
              <w:rPr>
                <w:rFonts w:hint="eastAsia" w:asciiTheme="minorHAnsi" w:hAnsiTheme="minorHAnsi" w:eastAsiaTheme="minorEastAsia" w:cstheme="minorBidi"/>
                <w:b w:val="0"/>
                <w:bCs w:val="0"/>
                <w:kern w:val="2"/>
                <w:sz w:val="21"/>
                <w:szCs w:val="20"/>
                <w:lang w:val="en-US" w:eastAsia="zh-CN" w:bidi="ar-SA"/>
              </w:rPr>
              <w:t>》及所投产品医疗器械注册证(含附件和附页)；</w:t>
            </w:r>
            <w:r>
              <w:rPr>
                <w:rFonts w:hint="eastAsia" w:cstheme="minorBidi"/>
                <w:b/>
                <w:bCs/>
                <w:kern w:val="2"/>
                <w:sz w:val="21"/>
                <w:szCs w:val="20"/>
                <w:lang w:val="en-US" w:eastAsia="zh-CN" w:bidi="ar-SA"/>
              </w:rPr>
              <w:t>提供复印件加盖投标人鲜章。</w:t>
            </w:r>
          </w:p>
          <w:p>
            <w:pPr>
              <w:adjustRightInd w:val="0"/>
              <w:snapToGrid w:val="0"/>
              <w:spacing w:line="360" w:lineRule="auto"/>
              <w:ind w:firstLine="420" w:firstLineChars="200"/>
              <w:rPr>
                <w:szCs w:val="20"/>
              </w:rPr>
            </w:pPr>
            <w:r>
              <w:rPr>
                <w:rFonts w:hint="eastAsia" w:ascii="宋体" w:hAnsi="宋体" w:cs="宋体"/>
                <w:bCs/>
                <w:kern w:val="0"/>
                <w:szCs w:val="21"/>
                <w:lang w:val="en-US" w:eastAsia="zh-CN"/>
              </w:rPr>
              <w:t>8、</w:t>
            </w:r>
            <w:r>
              <w:rPr>
                <w:rFonts w:hint="eastAsia"/>
                <w:szCs w:val="20"/>
              </w:rPr>
              <w:t>本项目不接受联合体投标。</w:t>
            </w:r>
          </w:p>
          <w:p>
            <w:pPr>
              <w:pStyle w:val="7"/>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7"/>
              <w:spacing w:line="360" w:lineRule="auto"/>
              <w:ind w:right="170" w:rightChars="81"/>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tc>
        <w:tc>
          <w:tcPr>
            <w:tcW w:w="8193" w:type="dxa"/>
            <w:vAlign w:val="center"/>
          </w:tcPr>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5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193"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193"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193" w:type="dxa"/>
            <w:vAlign w:val="center"/>
          </w:tcPr>
          <w:p>
            <w:pPr>
              <w:spacing w:line="360" w:lineRule="auto"/>
              <w:ind w:firstLine="210" w:firstLineChars="100"/>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3</w:t>
            </w:r>
          </w:p>
        </w:tc>
        <w:tc>
          <w:tcPr>
            <w:tcW w:w="966" w:type="dxa"/>
            <w:vAlign w:val="center"/>
          </w:tcPr>
          <w:p>
            <w:pPr>
              <w:jc w:val="both"/>
              <w:textAlignment w:val="baseline"/>
              <w:rPr>
                <w:rFonts w:ascii="宋体" w:hAnsi="宋体" w:cs="宋体"/>
                <w:color w:val="000000"/>
                <w:sz w:val="20"/>
                <w:szCs w:val="21"/>
              </w:rPr>
            </w:pPr>
            <w:r>
              <w:rPr>
                <w:rFonts w:hint="eastAsia" w:ascii="宋体" w:hAnsi="宋体" w:cs="宋体"/>
                <w:b w:val="0"/>
                <w:bCs w:val="0"/>
                <w:color w:val="000000"/>
                <w:szCs w:val="21"/>
              </w:rPr>
              <w:t>现场勘查</w:t>
            </w:r>
          </w:p>
        </w:tc>
        <w:tc>
          <w:tcPr>
            <w:tcW w:w="8193" w:type="dxa"/>
            <w:vAlign w:val="center"/>
          </w:tcPr>
          <w:p>
            <w:pPr>
              <w:spacing w:line="360" w:lineRule="auto"/>
              <w:ind w:firstLine="630" w:firstLineChars="300"/>
              <w:jc w:val="left"/>
              <w:textAlignment w:val="baseline"/>
              <w:rPr>
                <w:rFonts w:hint="eastAsia" w:ascii="宋体" w:hAnsi="宋体" w:eastAsia="宋体" w:cs="宋体"/>
                <w:kern w:val="0"/>
                <w:sz w:val="24"/>
                <w:szCs w:val="24"/>
                <w:lang w:eastAsia="zh-CN"/>
              </w:rPr>
            </w:pPr>
            <w:r>
              <w:rPr>
                <w:rFonts w:hint="eastAsia" w:asciiTheme="minorEastAsia" w:hAnsiTheme="minorEastAsia" w:cstheme="minorEastAsia"/>
                <w:szCs w:val="21"/>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p>
        </w:tc>
        <w:tc>
          <w:tcPr>
            <w:tcW w:w="966"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w:t>
            </w:r>
          </w:p>
          <w:p>
            <w:pPr>
              <w:spacing w:line="360" w:lineRule="auto"/>
              <w:jc w:val="left"/>
              <w:textAlignment w:val="baseline"/>
              <w:rPr>
                <w:rFonts w:ascii="宋体" w:hAnsi="宋体" w:cs="宋体"/>
                <w:szCs w:val="21"/>
              </w:rPr>
            </w:pPr>
            <w:r>
              <w:rPr>
                <w:rFonts w:hint="eastAsia" w:ascii="宋体" w:hAnsi="宋体" w:cs="宋体"/>
                <w:szCs w:val="21"/>
              </w:rPr>
              <w:t>保证金</w:t>
            </w:r>
          </w:p>
        </w:tc>
        <w:tc>
          <w:tcPr>
            <w:tcW w:w="8193" w:type="dxa"/>
            <w:vAlign w:val="center"/>
          </w:tcPr>
          <w:p>
            <w:pPr>
              <w:spacing w:line="360" w:lineRule="auto"/>
              <w:ind w:firstLine="420" w:firstLineChars="200"/>
              <w:jc w:val="left"/>
              <w:textAlignment w:val="baseline"/>
              <w:rPr>
                <w:rFonts w:ascii="宋体" w:hAnsi="宋体" w:cs="宋体"/>
                <w:szCs w:val="21"/>
              </w:rPr>
            </w:pPr>
            <w:r>
              <w:rPr>
                <w:rFonts w:hint="eastAsia" w:ascii="宋体" w:hAnsi="宋体" w:cs="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15</w:t>
            </w:r>
          </w:p>
        </w:tc>
        <w:tc>
          <w:tcPr>
            <w:tcW w:w="966"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履约验收</w:t>
            </w:r>
          </w:p>
        </w:tc>
        <w:tc>
          <w:tcPr>
            <w:tcW w:w="8193" w:type="dxa"/>
            <w:vAlign w:val="center"/>
          </w:tcPr>
          <w:p>
            <w:pPr>
              <w:spacing w:line="360" w:lineRule="auto"/>
              <w:ind w:firstLine="420" w:firstLineChars="200"/>
              <w:jc w:val="left"/>
              <w:textAlignment w:val="baseline"/>
              <w:rPr>
                <w:rFonts w:ascii="宋体" w:hAnsi="宋体" w:cs="宋体"/>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default" w:asciiTheme="minorEastAsia" w:hAnsiTheme="minorEastAsia" w:cstheme="minorEastAsia"/>
                <w:szCs w:val="21"/>
                <w:highlight w:val="none"/>
                <w:lang w:val="en-US"/>
              </w:rPr>
            </w:pPr>
            <w:r>
              <w:rPr>
                <w:rFonts w:hint="eastAsia" w:asciiTheme="minorEastAsia" w:hAnsiTheme="minorEastAsia" w:cstheme="minorEastAsia"/>
                <w:szCs w:val="21"/>
                <w:highlight w:val="none"/>
                <w:lang w:val="en-US" w:eastAsia="zh-CN"/>
              </w:rPr>
              <w:t>16</w:t>
            </w:r>
          </w:p>
        </w:tc>
        <w:tc>
          <w:tcPr>
            <w:tcW w:w="966" w:type="dxa"/>
            <w:vAlign w:val="center"/>
          </w:tcPr>
          <w:p>
            <w:pPr>
              <w:spacing w:line="360" w:lineRule="auto"/>
              <w:rPr>
                <w:rFonts w:hint="eastAsia" w:ascii="宋体" w:hAnsi="宋体" w:cs="宋体"/>
                <w:szCs w:val="21"/>
                <w:highlight w:val="none"/>
              </w:rPr>
            </w:pPr>
            <w:r>
              <w:rPr>
                <w:rFonts w:hint="eastAsia" w:asciiTheme="minorEastAsia" w:hAnsiTheme="minorEastAsia" w:cstheme="minorEastAsia"/>
                <w:szCs w:val="21"/>
                <w:highlight w:val="none"/>
              </w:rPr>
              <w:t>是否接受进口产品</w:t>
            </w:r>
          </w:p>
        </w:tc>
        <w:tc>
          <w:tcPr>
            <w:tcW w:w="8193" w:type="dxa"/>
            <w:vAlign w:val="center"/>
          </w:tcPr>
          <w:p>
            <w:pPr>
              <w:spacing w:line="360" w:lineRule="auto"/>
              <w:ind w:firstLine="420" w:firstLineChars="200"/>
              <w:rPr>
                <w:rFonts w:hint="eastAsia" w:ascii="宋体" w:hAnsi="宋体" w:cs="宋体" w:eastAsiaTheme="minorEastAsia"/>
                <w:szCs w:val="21"/>
                <w:highlight w:val="none"/>
                <w:lang w:eastAsia="zh-CN"/>
              </w:rPr>
            </w:pPr>
            <w:r>
              <w:rPr>
                <w:rFonts w:hint="eastAsia" w:ascii="宋体" w:hAnsi="宋体" w:cs="宋体"/>
                <w:szCs w:val="21"/>
                <w:highlight w:val="none"/>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default"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17</w:t>
            </w:r>
          </w:p>
        </w:tc>
        <w:tc>
          <w:tcPr>
            <w:tcW w:w="966" w:type="dxa"/>
            <w:vAlign w:val="center"/>
          </w:tcPr>
          <w:p>
            <w:pPr>
              <w:spacing w:line="360" w:lineRule="auto"/>
              <w:rPr>
                <w:rFonts w:hint="eastAsia" w:asciiTheme="minorEastAsia" w:hAnsiTheme="minorEastAsia" w:eastAsiaTheme="minorEastAsia" w:cstheme="minorEastAsia"/>
                <w:b/>
                <w:bCs/>
                <w:szCs w:val="21"/>
                <w:highlight w:val="none"/>
                <w:lang w:eastAsia="zh-CN"/>
              </w:rPr>
            </w:pPr>
            <w:r>
              <w:rPr>
                <w:rFonts w:hint="eastAsia" w:asciiTheme="minorEastAsia" w:hAnsiTheme="minorEastAsia" w:cstheme="minorEastAsia"/>
                <w:b/>
                <w:bCs/>
                <w:szCs w:val="21"/>
                <w:highlight w:val="none"/>
                <w:lang w:eastAsia="zh-CN"/>
              </w:rPr>
              <w:t>核心产品</w:t>
            </w:r>
          </w:p>
        </w:tc>
        <w:tc>
          <w:tcPr>
            <w:tcW w:w="8193" w:type="dxa"/>
            <w:vAlign w:val="center"/>
          </w:tcPr>
          <w:p>
            <w:pPr>
              <w:spacing w:line="360" w:lineRule="auto"/>
              <w:rPr>
                <w:rFonts w:hint="default" w:ascii="宋体" w:hAnsi="宋体" w:cs="宋体"/>
                <w:b/>
                <w:bCs/>
                <w:szCs w:val="21"/>
                <w:highlight w:val="none"/>
                <w:lang w:val="en-US" w:eastAsia="zh-CN"/>
              </w:rPr>
            </w:pPr>
            <w:r>
              <w:rPr>
                <w:rFonts w:hint="eastAsia" w:asciiTheme="minorEastAsia" w:hAnsiTheme="minorEastAsia" w:cstheme="minorEastAsia"/>
                <w:b/>
                <w:bCs/>
                <w:kern w:val="0"/>
                <w:sz w:val="21"/>
                <w:szCs w:val="21"/>
                <w:highlight w:val="none"/>
                <w:lang w:eastAsia="zh-CN"/>
              </w:rPr>
              <w:t>高端麻醉机。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540" w:type="dxa"/>
            <w:vAlign w:val="center"/>
          </w:tcPr>
          <w:p>
            <w:pPr>
              <w:spacing w:line="360" w:lineRule="auto"/>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18</w:t>
            </w:r>
          </w:p>
        </w:tc>
        <w:tc>
          <w:tcPr>
            <w:tcW w:w="966" w:type="dxa"/>
            <w:vAlign w:val="center"/>
          </w:tcPr>
          <w:p>
            <w:pPr>
              <w:spacing w:line="360" w:lineRule="auto"/>
              <w:rPr>
                <w:rFonts w:hint="eastAsia" w:asciiTheme="minorEastAsia" w:hAnsiTheme="minorEastAsia" w:cstheme="minorEastAsia"/>
                <w:szCs w:val="21"/>
                <w:highlight w:val="none"/>
                <w:lang w:eastAsia="zh-CN"/>
              </w:rPr>
            </w:pPr>
            <w:r>
              <w:rPr>
                <w:rFonts w:hint="eastAsia" w:ascii="宋体" w:hAnsi="宋体" w:eastAsia="宋体" w:cs="宋体"/>
                <w:color w:val="auto"/>
                <w:sz w:val="21"/>
                <w:szCs w:val="21"/>
                <w:lang w:val="en-US" w:eastAsia="zh-CN"/>
              </w:rPr>
              <w:t>项目性质</w:t>
            </w:r>
          </w:p>
        </w:tc>
        <w:tc>
          <w:tcPr>
            <w:tcW w:w="8193" w:type="dxa"/>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非专门面向中小企业采购</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对符合《政府采购促进中小企业发展管理办法</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(财库{2020}46号)规定的小微企业(监狱企业视同小型、微型企业)的报价给予</w:t>
            </w:r>
            <w:r>
              <w:rPr>
                <w:rFonts w:hint="eastAsia" w:ascii="宋体" w:hAnsi="宋体" w:eastAsia="宋体" w:cs="宋体"/>
                <w:color w:val="auto"/>
                <w:sz w:val="21"/>
                <w:szCs w:val="21"/>
                <w:u w:val="single"/>
                <w:lang w:val="en-US" w:eastAsia="zh-CN"/>
              </w:rPr>
              <w:t xml:space="preserve"> 10</w:t>
            </w:r>
            <w:r>
              <w:rPr>
                <w:rFonts w:hint="eastAsia" w:ascii="宋体" w:hAnsi="宋体" w:eastAsia="宋体" w:cs="宋体"/>
                <w:color w:val="auto"/>
                <w:sz w:val="21"/>
                <w:szCs w:val="21"/>
                <w:lang w:val="en-US" w:eastAsia="zh-CN"/>
              </w:rPr>
              <w:t>％的扣除,用扣除后的价格参加评审</w:t>
            </w:r>
            <w:r>
              <w:rPr>
                <w:rFonts w:hint="eastAsia" w:ascii="宋体" w:hAnsi="宋体" w:eastAsia="宋体" w:cs="宋体"/>
                <w:sz w:val="21"/>
                <w:szCs w:val="21"/>
                <w:lang w:val="en-US" w:eastAsia="zh-CN"/>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根据《政府采购促进中小企业发展暂行办法》，投标人提供的《中小企业声明函》</w:t>
            </w:r>
            <w:r>
              <w:rPr>
                <w:rFonts w:hint="eastAsia" w:ascii="宋体" w:hAnsi="宋体" w:eastAsia="宋体" w:cs="宋体"/>
                <w:b/>
                <w:bCs/>
                <w:color w:val="auto"/>
                <w:sz w:val="21"/>
                <w:szCs w:val="21"/>
              </w:rPr>
              <w:t>（附件二）</w:t>
            </w:r>
            <w:r>
              <w:rPr>
                <w:rFonts w:hint="eastAsia" w:ascii="宋体" w:hAnsi="宋体" w:eastAsia="宋体" w:cs="宋体"/>
                <w:color w:val="auto"/>
                <w:sz w:val="21"/>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专门面向中小企业采购</w:t>
            </w:r>
          </w:p>
          <w:p>
            <w:pPr>
              <w:spacing w:line="360" w:lineRule="auto"/>
              <w:jc w:val="left"/>
              <w:rPr>
                <w:rFonts w:hint="eastAsia" w:ascii="宋体" w:hAnsi="宋体" w:cs="宋体"/>
                <w:szCs w:val="21"/>
                <w:highlight w:val="none"/>
                <w:lang w:eastAsia="zh-CN"/>
              </w:rPr>
            </w:pPr>
            <w:r>
              <w:rPr>
                <w:rFonts w:hint="eastAsia" w:ascii="宋体" w:hAnsi="宋体" w:eastAsia="宋体" w:cs="宋体"/>
                <w:sz w:val="21"/>
                <w:szCs w:val="21"/>
                <w:lang w:val="en-US" w:eastAsia="zh-CN"/>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966" w:type="dxa"/>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000000"/>
                <w:sz w:val="21"/>
                <w:szCs w:val="21"/>
                <w:lang w:val="en-US" w:eastAsia="zh-CN"/>
              </w:rPr>
              <w:t>弃标须知</w:t>
            </w:r>
          </w:p>
        </w:tc>
        <w:tc>
          <w:tcPr>
            <w:tcW w:w="8193" w:type="dxa"/>
            <w:vAlign w:val="center"/>
          </w:tcPr>
          <w:p>
            <w:pPr>
              <w:spacing w:line="360" w:lineRule="auto"/>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bl>
    <w:p>
      <w:pPr>
        <w:pStyle w:val="3"/>
        <w:sectPr>
          <w:footerReference r:id="rId8" w:type="default"/>
          <w:pgSz w:w="11906" w:h="16838"/>
          <w:pgMar w:top="1440" w:right="1304" w:bottom="1440" w:left="1304" w:header="851" w:footer="992" w:gutter="0"/>
          <w:cols w:space="0" w:num="1"/>
          <w:docGrid w:type="lines" w:linePitch="325" w:charSpace="0"/>
        </w:sectPr>
      </w:pPr>
    </w:p>
    <w:p>
      <w:pPr>
        <w:pStyle w:val="3"/>
      </w:pPr>
      <w:bookmarkStart w:id="12" w:name="_Toc23317"/>
      <w:r>
        <w:rPr>
          <w:rFonts w:hint="eastAsia"/>
        </w:rPr>
        <w:t>第三部分  投标人须知</w:t>
      </w:r>
      <w:bookmarkEnd w:id="9"/>
      <w:bookmarkEnd w:id="10"/>
      <w:bookmarkEnd w:id="12"/>
    </w:p>
    <w:p>
      <w:pPr>
        <w:pStyle w:val="4"/>
        <w:rPr>
          <w:rFonts w:asciiTheme="minorEastAsia" w:hAnsiTheme="minorEastAsia" w:eastAsiaTheme="minorEastAsia" w:cstheme="minorEastAsia"/>
        </w:rPr>
      </w:pPr>
      <w:bookmarkStart w:id="13" w:name="_Toc15316"/>
      <w:bookmarkStart w:id="14" w:name="_Toc1370"/>
      <w:bookmarkStart w:id="15" w:name="_Toc26739"/>
      <w:r>
        <w:rPr>
          <w:rFonts w:hint="eastAsia" w:asciiTheme="minorEastAsia" w:hAnsiTheme="minorEastAsia" w:eastAsiaTheme="minorEastAsia" w:cstheme="minorEastAsia"/>
        </w:rPr>
        <w:t>一、总 则</w:t>
      </w:r>
      <w:bookmarkEnd w:id="13"/>
      <w:bookmarkEnd w:id="14"/>
      <w:bookmarkEnd w:id="15"/>
    </w:p>
    <w:p>
      <w:pPr>
        <w:pStyle w:val="5"/>
        <w:numPr>
          <w:ilvl w:val="0"/>
          <w:numId w:val="4"/>
        </w:numPr>
      </w:pPr>
      <w:bookmarkStart w:id="16" w:name="_Toc358364319"/>
      <w:bookmarkStart w:id="17" w:name="_Toc380336725"/>
      <w:bookmarkStart w:id="18" w:name="_Toc9257"/>
      <w:bookmarkStart w:id="19" w:name="_Toc6742"/>
      <w:r>
        <w:rPr>
          <w:rFonts w:hint="eastAsia"/>
        </w:rPr>
        <w:t>适用范围</w:t>
      </w:r>
      <w:bookmarkEnd w:id="16"/>
      <w:bookmarkEnd w:id="17"/>
      <w:bookmarkEnd w:id="18"/>
      <w:bookmarkEnd w:id="19"/>
    </w:p>
    <w:p>
      <w:pPr>
        <w:widowControl/>
        <w:numPr>
          <w:ilvl w:val="1"/>
          <w:numId w:val="5"/>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本招标文件适用于本次招标活动的全过程。</w:t>
      </w:r>
    </w:p>
    <w:p>
      <w:pPr>
        <w:widowControl/>
        <w:numPr>
          <w:ilvl w:val="1"/>
          <w:numId w:val="5"/>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本次采购属政府采购，采购人、采购代理机构、投标人、评标委员会的相关行为均受《中华人民共和国政府采购法》及实施条例、财政部规章及政府采购项目所在地有关法规</w:t>
      </w:r>
      <w:r>
        <w:rPr>
          <w:rFonts w:hint="eastAsia" w:asciiTheme="minorEastAsia" w:hAnsiTheme="minorEastAsia" w:cstheme="minorEastAsia"/>
          <w:color w:val="000000" w:themeColor="text1"/>
          <w:kern w:val="0"/>
          <w:sz w:val="24"/>
          <w:szCs w:val="24"/>
          <w14:textFill>
            <w14:solidFill>
              <w14:schemeClr w14:val="tx1"/>
            </w14:solidFill>
          </w14:textFill>
        </w:rPr>
        <w:t>、规章</w:t>
      </w:r>
      <w:r>
        <w:rPr>
          <w:rFonts w:hint="eastAsia" w:asciiTheme="minorEastAsia" w:hAnsiTheme="minorEastAsia" w:cstheme="minorEastAsia"/>
          <w:kern w:val="0"/>
          <w:sz w:val="24"/>
          <w:szCs w:val="24"/>
        </w:rPr>
        <w:t>的约束，其权利受到上述法律法规的保护。</w:t>
      </w:r>
    </w:p>
    <w:p>
      <w:pPr>
        <w:pStyle w:val="5"/>
        <w:numPr>
          <w:ilvl w:val="0"/>
          <w:numId w:val="4"/>
        </w:numPr>
      </w:pPr>
      <w:bookmarkStart w:id="20" w:name="_Toc7922"/>
      <w:bookmarkStart w:id="21" w:name="_Toc358364320"/>
      <w:bookmarkStart w:id="22" w:name="_Toc380336726"/>
      <w:bookmarkStart w:id="23" w:name="_Toc11287"/>
      <w:r>
        <w:rPr>
          <w:rFonts w:hint="eastAsia"/>
        </w:rPr>
        <w:t>定义</w:t>
      </w:r>
      <w:bookmarkEnd w:id="20"/>
      <w:bookmarkEnd w:id="21"/>
      <w:bookmarkEnd w:id="22"/>
      <w:bookmarkEnd w:id="23"/>
      <w:r>
        <w:rPr>
          <w:rFonts w:hint="eastAsia"/>
        </w:rPr>
        <w:t xml:space="preserve"> </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“采购人”是指依法进行政府采购的国家机关、事业单位、团体组织。本次政府采购的采购人名称、地址、电话见投标人须知前附表。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“采购代理机构”是指接受采购人委托，代理采购项目的集中采购机构和其他采购代理机构。本次采购代理机构名称、地址、电话见投标人须知前附表。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 “投标人”是</w:t>
      </w:r>
      <w:r>
        <w:rPr>
          <w:rFonts w:hint="eastAsia" w:ascii="宋体" w:hAnsi="宋体" w:cs="宋体"/>
          <w:sz w:val="24"/>
          <w:szCs w:val="24"/>
        </w:rPr>
        <w:t>参与本项目投标活动的</w:t>
      </w:r>
      <w:r>
        <w:rPr>
          <w:rFonts w:hint="eastAsia" w:ascii="宋体" w:hAnsi="宋体" w:eastAsia="宋体" w:cs="宋体"/>
          <w:color w:val="000000"/>
          <w:sz w:val="24"/>
          <w:szCs w:val="24"/>
        </w:rPr>
        <w:t>法人</w:t>
      </w:r>
      <w:r>
        <w:rPr>
          <w:rFonts w:hint="eastAsia" w:ascii="宋体" w:hAnsi="宋体" w:cs="宋体"/>
          <w:color w:val="000000"/>
          <w:sz w:val="24"/>
          <w:szCs w:val="24"/>
        </w:rPr>
        <w:t>、</w:t>
      </w:r>
      <w:r>
        <w:rPr>
          <w:rFonts w:hint="eastAsia" w:ascii="宋体" w:hAnsi="宋体" w:eastAsia="宋体" w:cs="宋体"/>
          <w:color w:val="000000"/>
          <w:sz w:val="24"/>
          <w:szCs w:val="24"/>
        </w:rPr>
        <w:t>其他组织</w:t>
      </w:r>
      <w:r>
        <w:rPr>
          <w:rFonts w:hint="eastAsia" w:ascii="宋体" w:hAnsi="宋体" w:cs="宋体"/>
          <w:color w:val="000000"/>
          <w:sz w:val="24"/>
          <w:szCs w:val="24"/>
        </w:rPr>
        <w:t>或自然人</w:t>
      </w:r>
      <w:r>
        <w:rPr>
          <w:rFonts w:hint="eastAsia" w:asciiTheme="minorEastAsia" w:hAnsiTheme="minorEastAsia" w:cstheme="minorEastAsia"/>
          <w:kern w:val="0"/>
          <w:sz w:val="24"/>
          <w:szCs w:val="24"/>
        </w:rPr>
        <w:t>。</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2.5 “服务”指除了货物和工程外的其他政府采购对象。包含除货物以外规定由投标人承担的与货物有关的辅助服务。</w:t>
      </w:r>
    </w:p>
    <w:p>
      <w:pPr>
        <w:pStyle w:val="5"/>
        <w:numPr>
          <w:ilvl w:val="0"/>
          <w:numId w:val="4"/>
        </w:numPr>
      </w:pPr>
      <w:bookmarkStart w:id="24" w:name="_Toc17676"/>
      <w:bookmarkStart w:id="25" w:name="_Toc23781"/>
      <w:bookmarkStart w:id="26" w:name="_Toc380336727"/>
      <w:bookmarkStart w:id="27" w:name="_Toc358364321"/>
      <w:r>
        <w:rPr>
          <w:rFonts w:hint="eastAsia"/>
        </w:rPr>
        <w:t>合格的</w:t>
      </w:r>
      <w:bookmarkEnd w:id="24"/>
      <w:bookmarkEnd w:id="25"/>
      <w:bookmarkEnd w:id="26"/>
      <w:bookmarkEnd w:id="27"/>
      <w:r>
        <w:rPr>
          <w:rFonts w:hint="eastAsia"/>
        </w:rPr>
        <w:t>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3.1具有本项目生产、制造、加工、供应或实施能力，符合、承认并承诺履行本招标文件各项规定的国内投标人。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3.2投标人应遵守有关的国家法律、法规和条例，具备《中华人民共和国政府采购法》和本文件中规定的条件：</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具有独立承担民事责任的能力；</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具有良好的商业信誉和健全的财务会计制度；</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具有履行合同所必需的设备和专业技术能力；</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具有依法缴纳税收和社会保障资金的良好记录；</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参加此项采购活动前三年内，在经营活动中没有重大违法记录；</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法律、行政法规规定的其他条件。</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3.3投标人购买招标文件时应登记备案，并提供有效联系方式。</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3.4如投标人代表不是法定代表人，须持有《法定代表人授权委托书》 (按招标文件提供的格式填写)。</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3.5投标人应独立于采购人，不得直接或间接地与采购人为采购本次招标的货物进行设计、编制技术规格和其它文 件所委托的咨询公司或其附属机构有任何关联。</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3.6投标人不得存在下列情形之一：</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（1）与采购人采购代理机构存在隶属关系或者其他利害关系；</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（2）与其他投标人的法定代表人（或者负责人）为同一人，或者与其他投标人存在直接控股、管理关系；</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（3）受到刑事处罚，或者受到三万元以上罚款，责令停产停业、在一年至三年内禁止参加政府采购活动、暂扣或吊销许可证、暂扣或吊销执照等情形之一的行政处罚，或者存在财政部门认定的其</w:t>
      </w:r>
      <w:r>
        <w:rPr>
          <w:rFonts w:hint="eastAsia" w:asciiTheme="minorEastAsia" w:hAnsiTheme="minorEastAsia" w:cstheme="minorEastAsia"/>
          <w:kern w:val="0"/>
          <w:sz w:val="24"/>
          <w:szCs w:val="24"/>
        </w:rPr>
        <w:t>他重大违法记录。</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4"/>
        </w:numPr>
      </w:pPr>
      <w:bookmarkStart w:id="28" w:name="_Toc540"/>
      <w:bookmarkStart w:id="29" w:name="_Toc380336728"/>
      <w:bookmarkStart w:id="30" w:name="_Toc358364322"/>
      <w:bookmarkStart w:id="31" w:name="_Toc22444"/>
      <w:r>
        <w:rPr>
          <w:rFonts w:hint="eastAsia"/>
        </w:rPr>
        <w:t>费用</w:t>
      </w:r>
      <w:bookmarkEnd w:id="28"/>
      <w:bookmarkEnd w:id="29"/>
      <w:bookmarkEnd w:id="30"/>
      <w:bookmarkEnd w:id="31"/>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w:t>
      </w:r>
      <w:r>
        <w:rPr>
          <w:rFonts w:hint="eastAsia" w:asciiTheme="minorEastAsia" w:hAnsiTheme="minorEastAsia" w:cstheme="minorEastAsia"/>
          <w:kern w:val="0"/>
          <w:sz w:val="24"/>
          <w:szCs w:val="24"/>
        </w:rPr>
        <w:t>标人应承担所有与准备和参加投标有关的费用，采购代理机构（或采购人)在任何情况下均无义务和责任承担这些费用。</w:t>
      </w:r>
    </w:p>
    <w:p>
      <w:pPr>
        <w:pStyle w:val="5"/>
        <w:numPr>
          <w:ilvl w:val="0"/>
          <w:numId w:val="4"/>
        </w:numPr>
      </w:pPr>
      <w:r>
        <w:rPr>
          <w:rFonts w:hint="eastAsia"/>
        </w:rPr>
        <w:t>采购进口产品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5.1 除公告及投标人须知前附表另有规定外，本项目拒绝进口产品参加采购活动，供应商以进口产品进行投标时，将在符合性审查时按照无效投标进行处理。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5.2 本项目第五部分采购要求中标明“可接受进口产品”的，采购活动不限制满足招标文件要求的国产产品参与本次采购。</w:t>
      </w:r>
    </w:p>
    <w:p>
      <w:pPr>
        <w:pStyle w:val="5"/>
        <w:numPr>
          <w:ilvl w:val="0"/>
          <w:numId w:val="4"/>
        </w:numPr>
        <w:spacing w:afterLines="100"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政府采购政策支持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6.3产品同时属于“非强制采购节能产品”、环境标志产品的，评审时只有其中一项能享受优先待遇（投标人自行选择，并在报价文件中填写相关信息及数据）。  </w:t>
      </w:r>
    </w:p>
    <w:p>
      <w:pPr>
        <w:pStyle w:val="4"/>
        <w:jc w:val="left"/>
      </w:pPr>
      <w:r>
        <w:rPr>
          <w:rFonts w:hint="eastAsia" w:asciiTheme="minorEastAsia" w:hAnsiTheme="minorEastAsia" w:cstheme="minorEastAsia"/>
          <w:color w:val="0000FF"/>
          <w:kern w:val="0"/>
          <w:szCs w:val="24"/>
        </w:rPr>
        <w:t xml:space="preserve"> </w:t>
      </w:r>
      <w:bookmarkStart w:id="32" w:name="_Toc21454"/>
      <w:bookmarkStart w:id="33" w:name="_Toc20225"/>
      <w:bookmarkStart w:id="34" w:name="_Toc7144"/>
      <w:r>
        <w:rPr>
          <w:rFonts w:hint="eastAsia"/>
        </w:rPr>
        <w:t>二、招标文件</w:t>
      </w:r>
      <w:bookmarkEnd w:id="32"/>
      <w:bookmarkEnd w:id="33"/>
      <w:bookmarkEnd w:id="34"/>
    </w:p>
    <w:p>
      <w:pPr>
        <w:pStyle w:val="5"/>
        <w:numPr>
          <w:ilvl w:val="0"/>
          <w:numId w:val="7"/>
        </w:numPr>
      </w:pPr>
      <w:bookmarkStart w:id="35" w:name="_Toc17817"/>
      <w:bookmarkStart w:id="36" w:name="_Toc5801"/>
      <w:r>
        <w:rPr>
          <w:rFonts w:hint="eastAsia"/>
        </w:rPr>
        <w:t>招标文件</w:t>
      </w:r>
      <w:bookmarkEnd w:id="35"/>
      <w:r>
        <w:rPr>
          <w:rFonts w:hint="eastAsia"/>
        </w:rPr>
        <w:t>的构成</w:t>
      </w:r>
      <w:bookmarkEnd w:id="36"/>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7" w:name="_Toc19797"/>
      <w:r>
        <w:rPr>
          <w:rFonts w:hint="eastAsia" w:asciiTheme="minorEastAsia" w:hAnsiTheme="minorEastAsia" w:cstheme="minorEastAsia"/>
          <w:sz w:val="24"/>
          <w:szCs w:val="24"/>
        </w:rPr>
        <w:t>1.1 招标文件是投标人准备投标文件和参加投标的依据，同时也是评标的重要依据，具有准法律文件性质。本招标文件包括以下内容：</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公开招标公告；</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投标人须知前附表；</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评审办法；</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采购要求；</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合同条款；</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投标文件格式。</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1.2 </w:t>
      </w:r>
      <w:r>
        <w:rPr>
          <w:rFonts w:hint="eastAsia" w:asciiTheme="minorEastAsia" w:hAnsiTheme="minorEastAsia" w:cstheme="minorEastAsia"/>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numPr>
          <w:ilvl w:val="0"/>
          <w:numId w:val="7"/>
        </w:numPr>
      </w:pPr>
      <w:r>
        <w:rPr>
          <w:rFonts w:hint="eastAsia"/>
        </w:rPr>
        <w:t>招标文件的澄清</w:t>
      </w:r>
      <w:bookmarkEnd w:id="37"/>
    </w:p>
    <w:p>
      <w:pPr>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任何对招标文件进行询问或要求进行澄清的投标人，均应在收到招标文件后七个工作日内按公开招标文件中的通讯地址以书面形式递交代理机构，采购人或代理机构对收到的任何询问或澄清要求将在三个工作日内作出书面答复。</w:t>
      </w:r>
    </w:p>
    <w:p>
      <w:pPr>
        <w:pStyle w:val="5"/>
        <w:keepNext w:val="0"/>
        <w:keepLines w:val="0"/>
        <w:numPr>
          <w:ilvl w:val="0"/>
          <w:numId w:val="7"/>
        </w:numPr>
        <w:spacing w:line="500" w:lineRule="exact"/>
        <w:ind w:firstLine="562" w:firstLineChars="200"/>
        <w:rPr>
          <w:rFonts w:asciiTheme="minorEastAsia" w:hAnsiTheme="minorEastAsia" w:cstheme="minorEastAsia"/>
          <w:szCs w:val="28"/>
        </w:rPr>
      </w:pPr>
      <w:bookmarkStart w:id="38" w:name="_Toc6390"/>
      <w:r>
        <w:rPr>
          <w:rFonts w:hint="eastAsia" w:asciiTheme="minorEastAsia" w:hAnsiTheme="minorEastAsia" w:cstheme="minorEastAsia"/>
          <w:szCs w:val="28"/>
        </w:rPr>
        <w:t>招标文件的修改</w:t>
      </w:r>
      <w:bookmarkEnd w:id="38"/>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9" w:name="_Toc31188"/>
      <w:r>
        <w:rPr>
          <w:rFonts w:hint="eastAsia" w:asciiTheme="minorEastAsia" w:hAnsiTheme="minorEastAsia" w:cstheme="minorEastAsia"/>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7"/>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招标文件的获取</w:t>
      </w:r>
      <w:bookmarkEnd w:id="39"/>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投标人必须从代理机构购买招标文件，投标人自行转让或复制招标文件视为无效。招标文件一经售出，一律不退，仅作为本次公开招标使用。</w:t>
      </w:r>
    </w:p>
    <w:p>
      <w:pPr>
        <w:pStyle w:val="5"/>
        <w:numPr>
          <w:ilvl w:val="0"/>
          <w:numId w:val="7"/>
        </w:numPr>
        <w:spacing w:line="500" w:lineRule="exact"/>
        <w:ind w:firstLine="562" w:firstLineChars="200"/>
        <w:rPr>
          <w:rFonts w:asciiTheme="minorEastAsia" w:hAnsiTheme="minorEastAsia" w:cstheme="minorEastAsia"/>
          <w:szCs w:val="28"/>
        </w:rPr>
      </w:pPr>
      <w:bookmarkStart w:id="40" w:name="_Toc5095"/>
      <w:r>
        <w:rPr>
          <w:rFonts w:hint="eastAsia" w:asciiTheme="minorEastAsia" w:hAnsiTheme="minorEastAsia" w:cstheme="minorEastAsia"/>
          <w:szCs w:val="28"/>
        </w:rPr>
        <w:t>招标文件的解释权归代理机构</w:t>
      </w:r>
      <w:bookmarkEnd w:id="40"/>
    </w:p>
    <w:p>
      <w:pPr>
        <w:pStyle w:val="4"/>
        <w:rPr>
          <w:rFonts w:asciiTheme="minorEastAsia" w:hAnsiTheme="minorEastAsia" w:eastAsiaTheme="minorEastAsia" w:cstheme="minorEastAsia"/>
        </w:rPr>
      </w:pPr>
      <w:bookmarkStart w:id="41" w:name="_Toc3059"/>
      <w:bookmarkStart w:id="42" w:name="_Toc30368"/>
      <w:bookmarkStart w:id="43" w:name="_Toc15601"/>
      <w:r>
        <w:rPr>
          <w:rFonts w:hint="eastAsia" w:asciiTheme="minorEastAsia" w:hAnsiTheme="minorEastAsia" w:eastAsiaTheme="minorEastAsia" w:cstheme="minorEastAsia"/>
        </w:rPr>
        <w:t>三、投标文件</w:t>
      </w:r>
      <w:bookmarkEnd w:id="41"/>
      <w:bookmarkEnd w:id="42"/>
      <w:bookmarkEnd w:id="43"/>
    </w:p>
    <w:p>
      <w:pPr>
        <w:pStyle w:val="5"/>
        <w:numPr>
          <w:ilvl w:val="0"/>
          <w:numId w:val="9"/>
        </w:numPr>
        <w:spacing w:line="500" w:lineRule="exact"/>
        <w:ind w:firstLine="562" w:firstLineChars="200"/>
        <w:rPr>
          <w:rFonts w:asciiTheme="minorEastAsia" w:hAnsiTheme="minorEastAsia" w:cstheme="minorEastAsia"/>
          <w:szCs w:val="28"/>
        </w:rPr>
      </w:pPr>
      <w:bookmarkStart w:id="44" w:name="_Toc17549"/>
      <w:r>
        <w:rPr>
          <w:rFonts w:hint="eastAsia" w:asciiTheme="minorEastAsia" w:hAnsiTheme="minorEastAsia" w:cstheme="minorEastAsia"/>
          <w:szCs w:val="28"/>
        </w:rPr>
        <w:t>投标文件的编制</w:t>
      </w:r>
      <w:bookmarkEnd w:id="44"/>
    </w:p>
    <w:p>
      <w:pPr>
        <w:spacing w:line="500" w:lineRule="exact"/>
        <w:ind w:firstLine="480" w:firstLineChars="200"/>
        <w:jc w:val="left"/>
        <w:rPr>
          <w:rFonts w:asciiTheme="minorEastAsia" w:hAnsiTheme="minorEastAsia" w:cstheme="minorEastAsia"/>
          <w:sz w:val="24"/>
          <w:szCs w:val="24"/>
          <w:highlight w:val="yellow"/>
        </w:rPr>
      </w:pPr>
      <w:r>
        <w:rPr>
          <w:rFonts w:hint="eastAsia" w:asciiTheme="minorEastAsia" w:hAnsiTheme="minorEastAsia" w:cstheme="minorEastAsia"/>
          <w:sz w:val="24"/>
          <w:szCs w:val="24"/>
        </w:rPr>
        <w:t>1.1 投标文件应根据代理机构发售的招标文件格式和顺序编制。具体内容包括：</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投标函；</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开标一览表；</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分项报价表；</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投标人资质证明资料；</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 xml:space="preserve">商务和技术响应偏离表；  </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技术支持资料；</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投标人业绩一览表；</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投标人认为有必要说明的其他问题；</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（9）投标人承诺书。</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1.2 投标人须依据招标文件内容和投标文件格式的要求编制投标文件；</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 </w:t>
      </w:r>
    </w:p>
    <w:p>
      <w:pPr>
        <w:pStyle w:val="5"/>
        <w:numPr>
          <w:ilvl w:val="0"/>
          <w:numId w:val="9"/>
        </w:numPr>
      </w:pPr>
      <w:bookmarkStart w:id="45" w:name="_Toc27646"/>
      <w:r>
        <w:rPr>
          <w:rFonts w:hint="eastAsia"/>
        </w:rPr>
        <w:t>投标报价</w:t>
      </w:r>
      <w:bookmarkEnd w:id="45"/>
    </w:p>
    <w:p>
      <w:pPr>
        <w:tabs>
          <w:tab w:val="left" w:pos="0"/>
        </w:tabs>
        <w:spacing w:line="500" w:lineRule="exact"/>
        <w:ind w:firstLine="480" w:firstLineChars="200"/>
        <w:rPr>
          <w:rFonts w:asciiTheme="minorEastAsia" w:hAnsiTheme="minorEastAsia" w:cstheme="minorEastAsia"/>
          <w:sz w:val="24"/>
          <w:szCs w:val="24"/>
        </w:rPr>
      </w:pPr>
      <w:bookmarkStart w:id="46" w:name="_Toc29200"/>
      <w:r>
        <w:rPr>
          <w:rFonts w:hint="eastAsia" w:asciiTheme="minorEastAsia" w:hAnsiTheme="minorEastAsia" w:cstheme="minorEastAsia"/>
          <w:sz w:val="24"/>
          <w:szCs w:val="24"/>
        </w:rPr>
        <w:t>2.1 投标人应在投标报价表中标明完成本次招标所要求的货物、服务且验收合格的所有费用，包括</w:t>
      </w:r>
      <w:r>
        <w:rPr>
          <w:rFonts w:hint="eastAsia" w:ascii="宋体" w:hAnsi="宋体" w:cs="宋体"/>
          <w:sz w:val="24"/>
          <w:szCs w:val="24"/>
          <w:lang w:eastAsia="zh-CN"/>
        </w:rPr>
        <w:t>货物</w:t>
      </w:r>
      <w:r>
        <w:rPr>
          <w:rFonts w:hint="eastAsia" w:ascii="宋体" w:hAnsi="宋体" w:cs="宋体"/>
          <w:sz w:val="24"/>
          <w:szCs w:val="24"/>
        </w:rPr>
        <w:t>报价、技术培训费、检测费、人工费、税金及进口产品（如果有）国家按现行税收政策征收的一切税费等</w:t>
      </w:r>
      <w:r>
        <w:rPr>
          <w:rFonts w:hint="eastAsia" w:asciiTheme="minorEastAsia" w:hAnsiTheme="minorEastAsia" w:cstheme="minorEastAsia"/>
          <w:sz w:val="24"/>
          <w:szCs w:val="24"/>
        </w:rPr>
        <w:t>。投标报价表中标明本次货物、服务的所有单项价格和总价，任何有选择的报价将不予接受，否则按无效投标处理。</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 投标人应在投标文件中的开标一览表（唱标报告）上，标明所投货物的</w:t>
      </w:r>
      <w:r>
        <w:rPr>
          <w:rFonts w:hint="eastAsia" w:asciiTheme="minorEastAsia" w:hAnsiTheme="minorEastAsia" w:cstheme="minorEastAsia"/>
          <w:sz w:val="24"/>
          <w:szCs w:val="24"/>
          <w:lang w:val="en-US" w:eastAsia="zh-CN"/>
        </w:rPr>
        <w:t>总报价</w:t>
      </w:r>
      <w:r>
        <w:rPr>
          <w:rFonts w:hint="eastAsia" w:asciiTheme="minorEastAsia" w:hAnsiTheme="minorEastAsia" w:cstheme="minorEastAsia"/>
          <w:sz w:val="24"/>
          <w:szCs w:val="24"/>
        </w:rPr>
        <w:t>、交货期、</w:t>
      </w:r>
      <w:r>
        <w:rPr>
          <w:rFonts w:hint="eastAsia" w:asciiTheme="minorEastAsia" w:hAnsiTheme="minorEastAsia" w:cstheme="minorEastAsia"/>
          <w:sz w:val="24"/>
          <w:szCs w:val="24"/>
          <w:lang w:eastAsia="zh-CN"/>
        </w:rPr>
        <w:t>质保期</w:t>
      </w:r>
      <w:r>
        <w:rPr>
          <w:rFonts w:hint="eastAsia" w:asciiTheme="minorEastAsia" w:hAnsiTheme="minorEastAsia" w:cstheme="minorEastAsia"/>
          <w:sz w:val="24"/>
          <w:szCs w:val="24"/>
        </w:rPr>
        <w:t>等，并由法定代表人或被授权人代表签署；任何有选择的报价不予接受。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2.3投标报价表中标的价格，在合同执行过程中，不得以任何理由变更。</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2.4 采用综合评分法的，最低报价不能作为中标的保证。</w:t>
      </w:r>
    </w:p>
    <w:p>
      <w:pPr>
        <w:pStyle w:val="5"/>
        <w:numPr>
          <w:ilvl w:val="0"/>
          <w:numId w:val="9"/>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投标货币</w:t>
      </w:r>
      <w:bookmarkEnd w:id="46"/>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投标人应当根据招标文件的要求和范围，以人民币为投标货币。</w:t>
      </w:r>
    </w:p>
    <w:p>
      <w:pPr>
        <w:pStyle w:val="5"/>
        <w:numPr>
          <w:ilvl w:val="0"/>
          <w:numId w:val="9"/>
        </w:numPr>
        <w:spacing w:line="500" w:lineRule="exact"/>
        <w:ind w:firstLine="562" w:firstLineChars="200"/>
        <w:rPr>
          <w:rFonts w:asciiTheme="minorEastAsia" w:hAnsiTheme="minorEastAsia" w:cstheme="minorEastAsia"/>
          <w:szCs w:val="28"/>
        </w:rPr>
      </w:pPr>
      <w:bookmarkStart w:id="47" w:name="_Toc19668"/>
      <w:r>
        <w:rPr>
          <w:rFonts w:hint="eastAsia" w:asciiTheme="minorEastAsia" w:hAnsiTheme="minorEastAsia" w:cstheme="minorEastAsia"/>
          <w:szCs w:val="28"/>
        </w:rPr>
        <w:t>投标有效期</w:t>
      </w:r>
      <w:bookmarkEnd w:id="47"/>
    </w:p>
    <w:p>
      <w:pPr>
        <w:adjustRightInd w:val="0"/>
        <w:snapToGrid w:val="0"/>
        <w:spacing w:line="500" w:lineRule="exact"/>
        <w:ind w:firstLine="480" w:firstLineChars="200"/>
        <w:rPr>
          <w:rFonts w:asciiTheme="minorEastAsia" w:hAnsiTheme="minorEastAsia" w:cstheme="minorEastAsia"/>
          <w:sz w:val="24"/>
          <w:szCs w:val="24"/>
          <w:highlight w:val="yellow"/>
        </w:rPr>
      </w:pPr>
      <w:r>
        <w:rPr>
          <w:rFonts w:hint="eastAsia" w:asciiTheme="minorEastAsia" w:hAnsiTheme="minorEastAsia" w:cstheme="minorEastAsia"/>
          <w:sz w:val="24"/>
          <w:szCs w:val="24"/>
        </w:rPr>
        <w:t>投标有效期见投标人须知前附表，无投标有效期或投标有效期短于此规定期限的投标文件，视为无效文件，其投标将被拒绝。</w:t>
      </w:r>
    </w:p>
    <w:p>
      <w:pPr>
        <w:pStyle w:val="5"/>
        <w:numPr>
          <w:ilvl w:val="0"/>
          <w:numId w:val="9"/>
        </w:numPr>
        <w:spacing w:line="500" w:lineRule="exact"/>
        <w:ind w:firstLine="562" w:firstLineChars="200"/>
        <w:rPr>
          <w:rFonts w:asciiTheme="minorEastAsia" w:hAnsiTheme="minorEastAsia" w:cstheme="minorEastAsia"/>
          <w:szCs w:val="28"/>
        </w:rPr>
      </w:pPr>
      <w:bookmarkStart w:id="48" w:name="_Toc24827"/>
      <w:r>
        <w:rPr>
          <w:rFonts w:hint="eastAsia" w:asciiTheme="minorEastAsia" w:hAnsiTheme="minorEastAsia" w:cstheme="minorEastAsia"/>
          <w:szCs w:val="28"/>
        </w:rPr>
        <w:t>投标文件的装订、密封和签署</w:t>
      </w:r>
      <w:bookmarkEnd w:id="48"/>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5.1 投标文件的装订</w:t>
      </w:r>
    </w:p>
    <w:p>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投标文件</w:t>
      </w:r>
      <w:r>
        <w:rPr>
          <w:rFonts w:hint="eastAsia" w:asciiTheme="minorEastAsia" w:hAnsiTheme="minorEastAsia" w:cstheme="minorEastAsia"/>
          <w:b/>
          <w:bCs/>
          <w:sz w:val="24"/>
          <w:szCs w:val="24"/>
        </w:rPr>
        <w:t>正本一份、副本四份</w:t>
      </w:r>
      <w:r>
        <w:rPr>
          <w:rFonts w:hint="eastAsia" w:asciiTheme="minorEastAsia" w:hAnsiTheme="minorEastAsia" w:cstheme="minorEastAsia"/>
          <w:sz w:val="24"/>
          <w:szCs w:val="24"/>
        </w:rPr>
        <w:t>，分别胶装装订成册，且封面须清楚地标明“正本”或“副本”；若正本和副本不符，以正本书面文件为准；同时提供与正本内容一致的</w:t>
      </w:r>
      <w:bookmarkStart w:id="49" w:name="OLE_LINK13"/>
      <w:r>
        <w:rPr>
          <w:rFonts w:hint="eastAsia" w:asciiTheme="minorEastAsia" w:hAnsiTheme="minorEastAsia" w:cstheme="minorEastAsia"/>
          <w:sz w:val="24"/>
          <w:szCs w:val="24"/>
        </w:rPr>
        <w:t>电子版</w:t>
      </w:r>
      <w:bookmarkEnd w:id="49"/>
      <w:r>
        <w:rPr>
          <w:rFonts w:hint="eastAsia" w:asciiTheme="minorEastAsia" w:hAnsiTheme="minorEastAsia" w:cstheme="minorEastAsia"/>
          <w:sz w:val="24"/>
          <w:szCs w:val="24"/>
        </w:rPr>
        <w:t>（U盘、</w:t>
      </w:r>
      <w:r>
        <w:rPr>
          <w:rFonts w:hint="eastAsia" w:asciiTheme="minorEastAsia" w:hAnsiTheme="minorEastAsia" w:cstheme="minorEastAsia"/>
          <w:b/>
          <w:bCs/>
          <w:sz w:val="24"/>
          <w:szCs w:val="24"/>
        </w:rPr>
        <w:t>电子文档应为PDF与WORD格式各一份</w:t>
      </w:r>
      <w:r>
        <w:rPr>
          <w:rFonts w:hint="eastAsia" w:asciiTheme="minorEastAsia" w:hAnsiTheme="minorEastAsia" w:cstheme="minorEastAsia"/>
          <w:sz w:val="24"/>
          <w:szCs w:val="24"/>
        </w:rPr>
        <w:t>）、开标一览表一份</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用于开标唱标单独提交的“开标一览表”应为原件</w:t>
      </w:r>
      <w:r>
        <w:rPr>
          <w:rFonts w:hint="eastAsia" w:asciiTheme="minorEastAsia" w:hAnsiTheme="minorEastAsia" w:cstheme="minorEastAsia"/>
          <w:b/>
          <w:bCs/>
          <w:sz w:val="24"/>
          <w:szCs w:val="24"/>
        </w:rPr>
        <w:t>）。</w:t>
      </w:r>
    </w:p>
    <w:p>
      <w:pPr>
        <w:spacing w:line="500" w:lineRule="exact"/>
        <w:ind w:left="420" w:left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5.2 投标文件的签署</w:t>
      </w:r>
    </w:p>
    <w:p>
      <w:pPr>
        <w:spacing w:line="500" w:lineRule="exact"/>
        <w:ind w:firstLine="480" w:firstLineChars="200"/>
        <w:jc w:val="left"/>
        <w:rPr>
          <w:rFonts w:asciiTheme="minorEastAsia" w:hAnsiTheme="minorEastAsia" w:cstheme="minorEastAsia"/>
          <w:color w:val="FF0000"/>
          <w:sz w:val="24"/>
          <w:szCs w:val="24"/>
        </w:rPr>
      </w:pPr>
      <w:r>
        <w:rPr>
          <w:rFonts w:hint="eastAsia" w:asciiTheme="minorEastAsia" w:hAnsiTheme="minorEastAsia" w:cstheme="minorEastAsia"/>
          <w:sz w:val="24"/>
          <w:szCs w:val="24"/>
        </w:rPr>
        <w:t>5.2.1投标人在投标文件中指定的页面的落款处，按招标文件要求由投标人的法定代表人或其授权代表在规定的签章处签字或盖章。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5.2.2投标人应按照招标文件要求，在每一份投标文件的正本和副本封面下方以及其他招标文件要求的位置填写投标人全称并加盖公章。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5.2.3投标文件应字迹清楚、内容齐全、不得涂改或增删。如有修改和增删，必须有投标人公章及法定代表人或其授权代表签字。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5.2.4因投标文件字迹潦草或表达不清所引起的不利后果由投标人承担。</w:t>
      </w:r>
    </w:p>
    <w:p>
      <w:pPr>
        <w:spacing w:line="500" w:lineRule="exact"/>
        <w:ind w:left="420" w:left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5.3 投标文件的密封</w:t>
      </w:r>
    </w:p>
    <w:p>
      <w:pPr>
        <w:numPr>
          <w:ilvl w:val="0"/>
          <w:numId w:val="11"/>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等标识、且</w:t>
      </w:r>
      <w:r>
        <w:rPr>
          <w:rFonts w:hint="eastAsia" w:asciiTheme="minorEastAsia" w:hAnsiTheme="minorEastAsia" w:cstheme="minorEastAsia"/>
          <w:kern w:val="0"/>
          <w:sz w:val="24"/>
          <w:szCs w:val="24"/>
        </w:rPr>
        <w:t>投标文件袋上应加盖投标人公章（</w:t>
      </w:r>
      <w:r>
        <w:rPr>
          <w:rFonts w:hint="eastAsia" w:asciiTheme="minorEastAsia" w:hAnsiTheme="minorEastAsia" w:cstheme="minorEastAsia"/>
          <w:sz w:val="24"/>
          <w:szCs w:val="24"/>
        </w:rPr>
        <w:t>封面标识见招标文件</w:t>
      </w:r>
      <w:r>
        <w:rPr>
          <w:rFonts w:hint="eastAsia" w:asciiTheme="minorEastAsia" w:hAnsiTheme="minorEastAsia" w:cstheme="minorEastAsia"/>
          <w:b/>
          <w:bCs/>
          <w:sz w:val="24"/>
          <w:szCs w:val="24"/>
        </w:rPr>
        <w:t>附件一</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如果未按上述规定进行密封，投标人的投标文件有权被拒绝</w:t>
      </w:r>
      <w:r>
        <w:rPr>
          <w:rFonts w:hint="eastAsia" w:asciiTheme="minorEastAsia" w:hAnsiTheme="minorEastAsia" w:cstheme="minorEastAsia"/>
          <w:sz w:val="24"/>
          <w:szCs w:val="24"/>
        </w:rPr>
        <w:t>；</w:t>
      </w:r>
    </w:p>
    <w:p>
      <w:pPr>
        <w:numPr>
          <w:ilvl w:val="0"/>
          <w:numId w:val="11"/>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如果投标人未按上述要求密封及加写标记，误投或过早启封的投标文件，将自行承担其投标文件被视为无效投标文件的风险；</w:t>
      </w:r>
    </w:p>
    <w:p>
      <w:pPr>
        <w:spacing w:line="500" w:lineRule="exact"/>
        <w:ind w:firstLine="420" w:firstLineChars="175"/>
        <w:rPr>
          <w:rFonts w:asciiTheme="minorEastAsia" w:hAnsiTheme="minorEastAsia" w:cstheme="minorEastAsia"/>
          <w:color w:val="FF0000"/>
          <w:sz w:val="24"/>
          <w:szCs w:val="24"/>
        </w:rPr>
      </w:pPr>
      <w:r>
        <w:rPr>
          <w:rFonts w:hint="eastAsia" w:asciiTheme="minorEastAsia" w:hAnsiTheme="minorEastAsia" w:cstheme="minorEastAsia"/>
          <w:sz w:val="24"/>
          <w:szCs w:val="24"/>
        </w:rPr>
        <w:t>（3）本次招标只接受简体中文文字的投标文件；</w:t>
      </w:r>
      <w:r>
        <w:rPr>
          <w:rFonts w:hint="eastAsia" w:asciiTheme="minorEastAsia" w:hAnsiTheme="minorEastAsia" w:cstheme="minorEastAsia"/>
          <w:b/>
          <w:bCs/>
          <w:sz w:val="24"/>
          <w:szCs w:val="24"/>
        </w:rPr>
        <w:t>如投标文件中出现外文资料，必须配以中文译文，否则，由此引发的一切责任由投标人自负</w:t>
      </w:r>
      <w:r>
        <w:rPr>
          <w:rFonts w:hint="eastAsia" w:asciiTheme="minorEastAsia" w:hAnsiTheme="minorEastAsia" w:cstheme="minorEastAsia"/>
          <w:sz w:val="24"/>
          <w:szCs w:val="24"/>
        </w:rPr>
        <w:t>。</w:t>
      </w:r>
    </w:p>
    <w:p>
      <w:pPr>
        <w:widowControl/>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（4）拒绝接受以电话、传真、电子邮件形式的投标。</w:t>
      </w:r>
    </w:p>
    <w:p>
      <w:pPr>
        <w:pStyle w:val="5"/>
        <w:numPr>
          <w:ilvl w:val="0"/>
          <w:numId w:val="9"/>
        </w:numPr>
        <w:spacing w:line="500" w:lineRule="exact"/>
        <w:ind w:firstLine="562" w:firstLineChars="200"/>
        <w:rPr>
          <w:rFonts w:asciiTheme="minorEastAsia" w:hAnsiTheme="minorEastAsia" w:cstheme="minorEastAsia"/>
          <w:szCs w:val="28"/>
        </w:rPr>
      </w:pPr>
      <w:bookmarkStart w:id="50" w:name="_Toc22752"/>
      <w:r>
        <w:rPr>
          <w:rFonts w:hint="eastAsia" w:asciiTheme="minorEastAsia" w:hAnsiTheme="minorEastAsia" w:cstheme="minorEastAsia"/>
          <w:szCs w:val="28"/>
        </w:rPr>
        <w:t>知识产权</w:t>
      </w:r>
      <w:bookmarkEnd w:id="50"/>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 采购人享有本项目在实施过程中产生的知识成果及知识产权。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6.3 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6.4 如投标人所不拥有的知识产权，则在投标报价中必须包括合法获取该知识产权的相关费用。</w:t>
      </w:r>
    </w:p>
    <w:p>
      <w:pPr>
        <w:pStyle w:val="4"/>
      </w:pPr>
      <w:bookmarkStart w:id="51" w:name="_Toc25288"/>
      <w:bookmarkStart w:id="52" w:name="_Toc1700"/>
      <w:bookmarkStart w:id="53" w:name="_Toc3565"/>
      <w:bookmarkStart w:id="54" w:name="_Toc3736"/>
      <w:r>
        <w:rPr>
          <w:rFonts w:hint="eastAsia"/>
        </w:rPr>
        <w:t>四、投标文件的递交</w:t>
      </w:r>
      <w:bookmarkEnd w:id="51"/>
      <w:bookmarkEnd w:id="52"/>
      <w:bookmarkEnd w:id="53"/>
    </w:p>
    <w:bookmarkEnd w:id="54"/>
    <w:p>
      <w:pPr>
        <w:pStyle w:val="5"/>
        <w:numPr>
          <w:ilvl w:val="0"/>
          <w:numId w:val="12"/>
        </w:numPr>
      </w:pPr>
      <w:bookmarkStart w:id="55" w:name="_Toc3685"/>
      <w:r>
        <w:rPr>
          <w:rFonts w:hint="eastAsia"/>
        </w:rPr>
        <w:t>投标文件递交</w:t>
      </w:r>
      <w:bookmarkEnd w:id="55"/>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1.2逾期送达或者未按照招标文件要求密封的投标文件，采购代理机构应当拒收。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1.3代理机构不接受邮寄的投标文件。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 无论投标人中标与否，其投标文件恕不退还。</w:t>
      </w:r>
    </w:p>
    <w:p>
      <w:pPr>
        <w:pStyle w:val="5"/>
        <w:numPr>
          <w:ilvl w:val="0"/>
          <w:numId w:val="12"/>
        </w:numPr>
      </w:pPr>
      <w:bookmarkStart w:id="56" w:name="_Toc12741"/>
      <w:r>
        <w:rPr>
          <w:rFonts w:hint="eastAsia"/>
        </w:rPr>
        <w:t>投标文件的修改和撤回</w:t>
      </w:r>
      <w:bookmarkEnd w:id="56"/>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投标人可以在投标截止时间前，对所递交的投标文件进行补充、修改或者撤回，并以书面形式通知采购代理机构（或采购人)。</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2.3 在投标截止时间之后，投标人不得对其投标文件进行补充、修改或撤回。</w:t>
      </w:r>
    </w:p>
    <w:p>
      <w:pPr>
        <w:pStyle w:val="4"/>
      </w:pPr>
      <w:bookmarkStart w:id="57" w:name="_Toc27066"/>
      <w:bookmarkStart w:id="58" w:name="_Toc21883"/>
      <w:bookmarkStart w:id="59" w:name="_Toc14415"/>
      <w:bookmarkStart w:id="60" w:name="_Toc10182"/>
      <w:r>
        <w:rPr>
          <w:rFonts w:hint="eastAsia"/>
        </w:rPr>
        <w:t>五、 开标、评审、定标</w:t>
      </w:r>
      <w:bookmarkEnd w:id="57"/>
      <w:bookmarkEnd w:id="58"/>
      <w:bookmarkEnd w:id="59"/>
      <w:bookmarkEnd w:id="60"/>
    </w:p>
    <w:p>
      <w:pPr>
        <w:pStyle w:val="5"/>
        <w:keepNext w:val="0"/>
        <w:keepLines w:val="0"/>
        <w:numPr>
          <w:ilvl w:val="0"/>
          <w:numId w:val="13"/>
        </w:numPr>
        <w:spacing w:line="500" w:lineRule="exact"/>
        <w:ind w:firstLine="562" w:firstLineChars="200"/>
        <w:rPr>
          <w:rFonts w:asciiTheme="minorEastAsia" w:hAnsiTheme="minorEastAsia" w:cstheme="minorEastAsia"/>
          <w:szCs w:val="28"/>
        </w:rPr>
      </w:pPr>
      <w:bookmarkStart w:id="61" w:name="_Toc27216"/>
      <w:r>
        <w:rPr>
          <w:rFonts w:hint="eastAsia" w:asciiTheme="minorEastAsia" w:hAnsiTheme="minorEastAsia" w:cstheme="minorEastAsia"/>
          <w:szCs w:val="28"/>
        </w:rPr>
        <w:t>开标</w:t>
      </w:r>
      <w:bookmarkEnd w:id="61"/>
    </w:p>
    <w:p>
      <w:pPr>
        <w:widowControl/>
        <w:numPr>
          <w:ilvl w:val="1"/>
          <w:numId w:val="14"/>
        </w:numPr>
        <w:tabs>
          <w:tab w:val="left" w:pos="0"/>
        </w:tabs>
        <w:spacing w:line="500" w:lineRule="exact"/>
        <w:ind w:firstLine="480" w:firstLineChars="200"/>
        <w:jc w:val="left"/>
      </w:pPr>
      <w:r>
        <w:rPr>
          <w:rFonts w:hint="eastAsia" w:asciiTheme="minorEastAsia" w:hAnsiTheme="minorEastAsia" w:cstheme="minorEastAsia"/>
          <w:sz w:val="24"/>
          <w:szCs w:val="24"/>
        </w:rPr>
        <w:t>采购代理机构按招标公告中规定的时间和地点接收投标人递交的投标文件，主持开标会议，邀请投标人参加。投标人不足三家的，不得开标。评标委员会成员不得参加开标活动。</w:t>
      </w:r>
    </w:p>
    <w:p>
      <w:pPr>
        <w:widowControl/>
        <w:numPr>
          <w:ilvl w:val="1"/>
          <w:numId w:val="14"/>
        </w:num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开标时，由投标人或者其推选的代表检查投标文件的密封情况；经确认无误后，由采购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numPr>
          <w:ilvl w:val="1"/>
          <w:numId w:val="14"/>
        </w:numPr>
        <w:tabs>
          <w:tab w:val="left" w:pos="0"/>
        </w:tabs>
        <w:spacing w:line="500" w:lineRule="exact"/>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代理机构指定专人负责将投标人的名称、投标项目名称、投标价格等</w:t>
      </w:r>
      <w:r>
        <w:rPr>
          <w:rFonts w:hint="eastAsia" w:asciiTheme="minorEastAsia" w:hAnsiTheme="minorEastAsia" w:cstheme="minorEastAsia"/>
          <w:sz w:val="24"/>
          <w:szCs w:val="24"/>
        </w:rPr>
        <w:t>开标过程</w:t>
      </w:r>
      <w:r>
        <w:rPr>
          <w:rFonts w:asciiTheme="minorEastAsia" w:hAnsiTheme="minorEastAsia" w:cstheme="minorEastAsia"/>
          <w:sz w:val="24"/>
          <w:szCs w:val="24"/>
        </w:rPr>
        <w:t>进行记录，</w:t>
      </w:r>
      <w:r>
        <w:rPr>
          <w:rFonts w:hint="eastAsia" w:asciiTheme="minorEastAsia" w:hAnsiTheme="minorEastAsia" w:cstheme="minorEastAsia"/>
          <w:sz w:val="24"/>
          <w:szCs w:val="24"/>
        </w:rPr>
        <w:t>由参加开标的各投标人代表和相关工作人员签字确认，</w:t>
      </w:r>
      <w:r>
        <w:rPr>
          <w:rFonts w:asciiTheme="minorEastAsia" w:hAnsiTheme="minorEastAsia" w:cstheme="minorEastAsia"/>
          <w:sz w:val="24"/>
          <w:szCs w:val="24"/>
        </w:rPr>
        <w:t>并存档备案</w:t>
      </w:r>
      <w:r>
        <w:rPr>
          <w:rFonts w:hint="eastAsia" w:asciiTheme="minorEastAsia" w:hAnsiTheme="minorEastAsia" w:cstheme="minorEastAsia"/>
          <w:sz w:val="24"/>
          <w:szCs w:val="24"/>
        </w:rPr>
        <w:t xml:space="preserve">。投标人未参加开标或未签字确认的，视同认可开标结果。 </w:t>
      </w:r>
    </w:p>
    <w:p>
      <w:pPr>
        <w:widowControl/>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1.4开标时，投标文件中出现下列情况，修正原则为：</w:t>
      </w:r>
    </w:p>
    <w:p>
      <w:pPr>
        <w:numPr>
          <w:ilvl w:val="0"/>
          <w:numId w:val="15"/>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投标文件中开标一览表（报价表）内容与投标文件中相应内容不一致的，以开标一览表（报价表）为准；</w:t>
      </w:r>
    </w:p>
    <w:p>
      <w:pPr>
        <w:numPr>
          <w:ilvl w:val="0"/>
          <w:numId w:val="15"/>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numPr>
          <w:ilvl w:val="0"/>
          <w:numId w:val="15"/>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单价金额小数点或者百分比有明显错位的，以开标一览表的总价为准，并修改单价；</w:t>
      </w:r>
    </w:p>
    <w:p>
      <w:pPr>
        <w:numPr>
          <w:ilvl w:val="0"/>
          <w:numId w:val="15"/>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numPr>
          <w:ilvl w:val="0"/>
          <w:numId w:val="15"/>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投标文件正本与副本不一致的，以正本为准；</w:t>
      </w:r>
    </w:p>
    <w:p>
      <w:pPr>
        <w:numPr>
          <w:ilvl w:val="0"/>
          <w:numId w:val="15"/>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报价金额精确到小数点后两位，不进行四舍五入； </w:t>
      </w:r>
    </w:p>
    <w:p>
      <w:pPr>
        <w:numPr>
          <w:ilvl w:val="0"/>
          <w:numId w:val="15"/>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投标文件单独密封递交的开标一览表与正本不一致的，以单独密封递交的开标一览表为准；</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同时出现两种以上不一致的，按照前款规定的顺序修正。修正后的报价按照《政府采购货物和服务招标投标管理办法》第五十一条第二款的规定经投标人确认后产生约束力，投标人不确认的，其投标无效。</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1.5投标人代表对开标过程和开标记录有疑义，以及认为采购人、采购代理机构相关工作人员有需要回避的情形的，应当场提出询问或者回避申请。</w:t>
      </w:r>
    </w:p>
    <w:p>
      <w:pPr>
        <w:pStyle w:val="5"/>
        <w:keepNext w:val="0"/>
        <w:keepLines w:val="0"/>
        <w:numPr>
          <w:ilvl w:val="0"/>
          <w:numId w:val="13"/>
        </w:numPr>
        <w:spacing w:line="500" w:lineRule="exact"/>
        <w:ind w:firstLine="562" w:firstLineChars="200"/>
        <w:rPr>
          <w:rFonts w:asciiTheme="minorEastAsia" w:hAnsiTheme="minorEastAsia" w:cstheme="minorEastAsia"/>
          <w:szCs w:val="28"/>
        </w:rPr>
      </w:pPr>
      <w:bookmarkStart w:id="62" w:name="_Toc801"/>
      <w:bookmarkStart w:id="63" w:name="_Toc358364344"/>
      <w:bookmarkStart w:id="64" w:name="_Toc20569"/>
      <w:bookmarkStart w:id="65" w:name="_Toc380336750"/>
      <w:r>
        <w:rPr>
          <w:rFonts w:hint="eastAsia" w:asciiTheme="minorEastAsia" w:hAnsiTheme="minorEastAsia" w:cstheme="minorEastAsia"/>
          <w:szCs w:val="28"/>
        </w:rPr>
        <w:t>评标委员会</w:t>
      </w:r>
      <w:bookmarkEnd w:id="62"/>
      <w:bookmarkEnd w:id="63"/>
      <w:bookmarkEnd w:id="64"/>
      <w:bookmarkEnd w:id="65"/>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r>
        <w:rPr>
          <w:rFonts w:ascii="宋体" w:hAnsi="宋体" w:cs="宋体"/>
          <w:sz w:val="24"/>
          <w:szCs w:val="24"/>
        </w:rPr>
        <w:t>为</w:t>
      </w:r>
      <w:r>
        <w:rPr>
          <w:rFonts w:hint="eastAsia" w:asciiTheme="minorEastAsia" w:hAnsiTheme="minorEastAsia" w:cstheme="minorEastAsia"/>
          <w:kern w:val="0"/>
          <w:sz w:val="24"/>
          <w:szCs w:val="24"/>
        </w:rPr>
        <w:t>确保评标工作公开、公平、公正，依法成立评标委员会。 评标委员会由采购人代表和评审专家组成，成员人数应当为5人（含）以上单数，其中评审专家不得少于成员总数的三分之二。评标委员会成员应当遵守并履行下列责任和义务：</w:t>
      </w:r>
    </w:p>
    <w:p>
      <w:pPr>
        <w:spacing w:line="500" w:lineRule="exact"/>
        <w:ind w:firstLine="720" w:firstLineChars="300"/>
        <w:jc w:val="left"/>
        <w:rPr>
          <w:rFonts w:ascii="宋体" w:hAnsi="宋体" w:cs="宋体"/>
          <w:sz w:val="24"/>
          <w:szCs w:val="24"/>
        </w:rPr>
      </w:pPr>
      <w:r>
        <w:rPr>
          <w:rFonts w:hint="eastAsia" w:asciiTheme="minorEastAsia" w:hAnsiTheme="minorEastAsia" w:cstheme="minorEastAsia"/>
          <w:kern w:val="0"/>
          <w:sz w:val="24"/>
          <w:szCs w:val="24"/>
        </w:rPr>
        <w:t>2.1.1遵纪守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文件的要求，并做出</w:t>
      </w:r>
      <w:r>
        <w:rPr>
          <w:rFonts w:ascii="宋体" w:hAnsi="宋体" w:cs="宋体"/>
          <w:sz w:val="24"/>
          <w:szCs w:val="24"/>
        </w:rPr>
        <w:t>评</w:t>
      </w:r>
      <w:r>
        <w:rPr>
          <w:rFonts w:hint="eastAsia" w:ascii="宋体" w:hAnsi="宋体" w:cs="宋体"/>
          <w:sz w:val="24"/>
          <w:szCs w:val="24"/>
        </w:rPr>
        <w:t>价；</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2.1.2审查、评价投标文件是否符合招标文件的商务、技术等实质性要求；</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2.1.3要求投标人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pPr>
        <w:spacing w:line="360" w:lineRule="auto"/>
        <w:ind w:firstLine="660" w:firstLineChars="275"/>
        <w:jc w:val="left"/>
        <w:rPr>
          <w:rFonts w:ascii="宋体" w:hAnsi="宋体" w:cs="宋体"/>
          <w:sz w:val="24"/>
          <w:szCs w:val="24"/>
        </w:rPr>
      </w:pPr>
      <w:r>
        <w:rPr>
          <w:rFonts w:hint="eastAsia" w:ascii="宋体" w:hAnsi="宋体" w:cs="宋体"/>
          <w:sz w:val="24"/>
          <w:szCs w:val="24"/>
        </w:rPr>
        <w:t>2.1.4对投标文件进行比较和评价，确定中标候选人名单，</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2.1.6</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pPr>
        <w:spacing w:line="360" w:lineRule="auto"/>
        <w:ind w:left="420" w:firstLine="240" w:firstLineChars="100"/>
        <w:jc w:val="left"/>
        <w:rPr>
          <w:rFonts w:eastAsia="宋体"/>
        </w:rPr>
      </w:pPr>
      <w:r>
        <w:rPr>
          <w:rFonts w:hint="eastAsia" w:ascii="宋体" w:hAnsi="宋体" w:cs="宋体"/>
          <w:sz w:val="24"/>
          <w:szCs w:val="24"/>
        </w:rPr>
        <w:t>2.1.7配合采</w:t>
      </w:r>
      <w:r>
        <w:rPr>
          <w:rFonts w:ascii="宋体" w:hAnsi="宋体" w:cs="宋体"/>
          <w:sz w:val="24"/>
          <w:szCs w:val="24"/>
        </w:rPr>
        <w:t>购</w:t>
      </w:r>
      <w:r>
        <w:rPr>
          <w:rFonts w:hint="eastAsia" w:ascii="宋体" w:hAnsi="宋体" w:cs="宋体"/>
          <w:sz w:val="24"/>
          <w:szCs w:val="24"/>
        </w:rPr>
        <w:t>人、代理机构答复投标人提出的</w:t>
      </w:r>
      <w:r>
        <w:rPr>
          <w:rFonts w:ascii="宋体" w:hAnsi="宋体" w:cs="宋体"/>
          <w:sz w:val="24"/>
          <w:szCs w:val="24"/>
        </w:rPr>
        <w:t>质</w:t>
      </w:r>
      <w:r>
        <w:rPr>
          <w:rFonts w:hint="eastAsia" w:ascii="宋体" w:hAnsi="宋体" w:cs="宋体"/>
          <w:sz w:val="24"/>
          <w:szCs w:val="24"/>
        </w:rPr>
        <w:t>疑，配合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pPr>
        <w:spacing w:line="360" w:lineRule="auto"/>
        <w:ind w:firstLine="420" w:firstLineChars="175"/>
        <w:jc w:val="left"/>
        <w:rPr>
          <w:rFonts w:asciiTheme="minorEastAsia" w:hAnsiTheme="minorEastAsia" w:cstheme="minorEastAsia"/>
          <w:kern w:val="0"/>
          <w:sz w:val="24"/>
          <w:szCs w:val="24"/>
        </w:rPr>
      </w:pPr>
      <w:r>
        <w:rPr>
          <w:rFonts w:hint="eastAsia" w:ascii="宋体" w:hAnsi="宋体" w:cs="宋体"/>
          <w:sz w:val="24"/>
          <w:szCs w:val="24"/>
        </w:rPr>
        <w:t xml:space="preserve">2.2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w:t>
      </w:r>
    </w:p>
    <w:p>
      <w:pPr>
        <w:pStyle w:val="5"/>
        <w:numPr>
          <w:ilvl w:val="0"/>
          <w:numId w:val="13"/>
        </w:numPr>
        <w:spacing w:line="500" w:lineRule="exact"/>
        <w:ind w:firstLine="562" w:firstLineChars="200"/>
        <w:rPr>
          <w:rFonts w:asciiTheme="minorEastAsia" w:hAnsiTheme="minorEastAsia" w:cstheme="minorEastAsia"/>
          <w:szCs w:val="28"/>
        </w:rPr>
      </w:pPr>
      <w:bookmarkStart w:id="66" w:name="_Toc386129876"/>
      <w:bookmarkStart w:id="67" w:name="_Toc385958808"/>
      <w:bookmarkStart w:id="68" w:name="_Toc27940"/>
      <w:bookmarkStart w:id="69" w:name="_Toc28085"/>
      <w:r>
        <w:rPr>
          <w:rFonts w:hint="eastAsia" w:asciiTheme="minorEastAsia" w:hAnsiTheme="minorEastAsia" w:cstheme="minorEastAsia"/>
          <w:szCs w:val="28"/>
        </w:rPr>
        <w:t>投标文件初审</w:t>
      </w:r>
      <w:bookmarkEnd w:id="66"/>
      <w:bookmarkEnd w:id="67"/>
      <w:bookmarkEnd w:id="68"/>
      <w:bookmarkEnd w:id="69"/>
    </w:p>
    <w:p>
      <w:pPr>
        <w:overflowPunct w:val="0"/>
        <w:adjustRightInd w:val="0"/>
        <w:snapToGrid w:val="0"/>
        <w:spacing w:line="500" w:lineRule="exact"/>
        <w:ind w:left="420"/>
        <w:rPr>
          <w:rFonts w:asciiTheme="minorEastAsia" w:hAnsiTheme="minorEastAsia" w:cstheme="minorEastAsia"/>
          <w:kern w:val="0"/>
          <w:sz w:val="24"/>
          <w:szCs w:val="24"/>
        </w:rPr>
      </w:pPr>
      <w:bookmarkStart w:id="70" w:name="_Toc17705"/>
      <w:r>
        <w:rPr>
          <w:rFonts w:hint="eastAsia" w:asciiTheme="minorEastAsia" w:hAnsiTheme="minorEastAsia" w:cstheme="minorEastAsia"/>
          <w:kern w:val="0"/>
          <w:sz w:val="24"/>
          <w:szCs w:val="24"/>
        </w:rPr>
        <w:t xml:space="preserve"> 3.1 投标人的资格性审查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按照《中华人民共和国政府采购法》及实施条例和《政府采购货物和服务招标投标管理办法》（中华人民共和国财政部令第87号）的规定，资格审查由采购代理机构或采购人对投标人的资格证明文件进行审查，</w:t>
      </w:r>
      <w:r>
        <w:rPr>
          <w:rFonts w:hint="eastAsia" w:asciiTheme="minorEastAsia" w:hAnsiTheme="minorEastAsia" w:cstheme="minorEastAsia"/>
          <w:b/>
          <w:bCs/>
          <w:kern w:val="0"/>
          <w:sz w:val="24"/>
          <w:szCs w:val="24"/>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rPr>
        <w:t xml:space="preserve">未通过资格审查的投标人不得进入评标，其投标将被认定为无效。 </w:t>
      </w:r>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3.2 投标文件符合性审查 </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29"/>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423"/>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restart"/>
            <w:vAlign w:val="center"/>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符合性</w:t>
            </w:r>
          </w:p>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审查</w:t>
            </w: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投标人名称是否与营业执照、资质证书一致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投标文件签字、盖章是否满足招标文件要求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szCs w:val="21"/>
              </w:rPr>
              <w:t>与招标文件商务要求条款不一致或增加了采购人难以接受的条款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是否符合法律法规和招标文件规定的其他实质性要求</w:t>
            </w:r>
          </w:p>
        </w:tc>
      </w:tr>
    </w:tbl>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3.3 经过对投标人及投标文件审查，出现下列情况者（但不限于），视为未响应招标文件实质性要求，其投标文件按无效投标处理：</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投标人的投标报价超过采购预算或者最高限价； </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投标人未经过正常渠道购买招标文件，或投标人名称与购买招标文件时登记的投标人名称不符的；</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投标文件未按招标文件要求签署、盖章的；无投标有效期或有效期达不到招标文件要求的；</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投标人未按照招标文件投标保证金的要求缴纳或投标保证金的交付单位和投标人的名称不一致，视为无效投标；</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投标人针对同一项目递交两份或多份内容不同的投标文件，未书面声明哪一份是有效的或出现选择性报价的；</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投标人未按招标文件要求提供产品的技术参数及产品供货渠道不明确的；</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经评标委员会一致认定为虚假应标的；</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投标报价出现漏项或货物数量与要求不符的；</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经评标委员会一致认定投标货物的技术参数、性能指标与招标文件要求出现重大负偏差的；或者提供虚假证明（包括第三方的虚假证明），除按无效文件处理外，还将按照政府采购法的有关规定进行处罚；</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投标文件与招标文件在商务要求条款不一致或附加了采购人不能接受的附加条件或条款的；</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如澄清、补正、说明的内容与投标文件内容有重大相悖或矛盾，将被认定为无效投标；</w:t>
      </w:r>
    </w:p>
    <w:p>
      <w:pPr>
        <w:numPr>
          <w:ilvl w:val="0"/>
          <w:numId w:val="16"/>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招标文件规定的其他投标无效的情形。</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3.4投标人有下列情形之一的，视为投标人串通投标，其投标无效：</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（1）不同投标人的投标文件由同一单位或者个人编制；</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（2）不同投标人委托同一单位或者个人办理投标事宜；</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（3）不同投标人的投标文件载明的项目管理成员或者联系人员为同一人；</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（4）不同投标人的投标文件异常一致或者投标报价呈规律性差异；</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（5）不同投标人的投标文件相互混装；</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（6）不同投标人的投标保证金从同一单位或者个人的账户转出。</w:t>
      </w:r>
    </w:p>
    <w:p>
      <w:pPr>
        <w:spacing w:line="500" w:lineRule="exact"/>
        <w:ind w:firstLine="420" w:firstLineChars="175"/>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3.5 如出现对招标文件作出实质性响应的投标人或者合格投标人不足三家的情况，不得评标。</w:t>
      </w:r>
    </w:p>
    <w:p>
      <w:pPr>
        <w:spacing w:line="500" w:lineRule="exact"/>
        <w:ind w:firstLine="422" w:firstLineChars="175"/>
        <w:rPr>
          <w:rFonts w:asciiTheme="minorEastAsia" w:hAnsiTheme="minorEastAsia" w:cstheme="minorEastAsia"/>
          <w:b/>
          <w:bCs/>
          <w:sz w:val="24"/>
          <w:szCs w:val="24"/>
        </w:rPr>
      </w:pPr>
      <w:r>
        <w:rPr>
          <w:rFonts w:hint="eastAsia" w:asciiTheme="minorEastAsia" w:hAnsiTheme="minorEastAsia" w:cstheme="minorEastAsia"/>
          <w:b/>
          <w:bCs/>
          <w:sz w:val="24"/>
          <w:szCs w:val="24"/>
        </w:rPr>
        <w:t>3.6根据《政府采购货物和服务招标投标管理办法》相关规定，单一产品采购项目提供相同品牌产品或非单一产品采购项目多家投标人提供的核心产品品牌相同的且通过资格审查、符合性审查的不同投标人参加同一合同项下投标的，按一家投标人计算，评审后得分最高的同品牌投标人获得中标候选人推荐资格；评审得分相同的，由采购人或者采购人委托评标委员会按照报价得分最高的方式确定一个投标人获得中标候选人推荐资格。</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sz w:val="24"/>
          <w:szCs w:val="24"/>
        </w:rPr>
        <w:t>4、投标文件澄清</w:t>
      </w:r>
      <w:bookmarkEnd w:id="70"/>
    </w:p>
    <w:p>
      <w:pPr>
        <w:overflowPunct w:val="0"/>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在评标期间,采购代理机构可根据评标委员会对其投标文件有疑义不清楚的内容，要求投标人对其投标文件进行澄清。</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13"/>
        </w:numPr>
      </w:pPr>
      <w:bookmarkStart w:id="71" w:name="_Toc8353"/>
      <w:r>
        <w:rPr>
          <w:rFonts w:hint="eastAsia"/>
        </w:rPr>
        <w:t>评标</w:t>
      </w:r>
      <w:bookmarkEnd w:id="71"/>
    </w:p>
    <w:p>
      <w:pPr>
        <w:spacing w:line="500" w:lineRule="exact"/>
        <w:ind w:firstLine="480" w:firstLineChars="200"/>
        <w:jc w:val="left"/>
        <w:rPr>
          <w:rFonts w:asciiTheme="minorEastAsia" w:hAnsiTheme="minorEastAsia" w:cstheme="minorEastAsia"/>
          <w:sz w:val="24"/>
          <w:szCs w:val="24"/>
        </w:rPr>
      </w:pPr>
      <w:bookmarkStart w:id="72" w:name="_Toc12947"/>
      <w:r>
        <w:rPr>
          <w:rFonts w:hint="eastAsia" w:asciiTheme="minorEastAsia" w:hAnsiTheme="minorEastAsia" w:cstheme="minorEastAsia"/>
          <w:sz w:val="24"/>
          <w:szCs w:val="24"/>
        </w:rPr>
        <w:t>4.1评标委员会有权对在开标、评标过程中出现的一切问题，根据《中华人民共和国政府采购法》和《政府采购货物和服务招标投标管理办法》的条款，本着公开、公平、公正的原则进行处理。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3名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4.3评标委员会只对实质上响应招标文件的投标进行评价和比较；评审应严格按照招标文件的要求和条件进行；具体评审原则和中标条件详见招标文件第四部分“评审办法”。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4.4评标委员会成员对需要共同认定的事项存在争议的，应当按照少数服从多数的原则作出结论。持不同意见的评标委员会成员应当在评标报告上签署不同意见及理由，否则视为同意评标报告。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4.5 评标结果汇总完成后，除下列情形外，任何人不得修改评标结果：</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（一）分值汇总计算错误的；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（二）分项评分超出评分标准范围的；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（三）评标委员会成员对客观评审因素评分不一致的；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（四）经评标委员会认定评分畸高、畸低的。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numPr>
          <w:ilvl w:val="0"/>
          <w:numId w:val="13"/>
        </w:numPr>
      </w:pPr>
      <w:r>
        <w:rPr>
          <w:rFonts w:hint="eastAsia"/>
        </w:rPr>
        <w:t>定标</w:t>
      </w:r>
      <w:bookmarkEnd w:id="72"/>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5.1代理机构在评标结束后1个工作日内将评标报告送达采购单位，采购单位在收到评标报告后4个工作日内，按照评标报告中推荐的中标候选人顺序确认第一中标候选人为中标单位，同时书面复函代理机构；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5.2代理机构收到采购单位“定标复函”后1个工作日内，在财政部门指定的政府采购信息媒体上发布中标公告，并向中标人发出“中标通知书”。</w:t>
      </w:r>
    </w:p>
    <w:p>
      <w:pPr>
        <w:pStyle w:val="5"/>
        <w:ind w:left="420"/>
      </w:pPr>
      <w:r>
        <w:rPr>
          <w:rFonts w:hint="eastAsia"/>
        </w:rPr>
        <w:t>6、政府采购信用融资</w:t>
      </w:r>
    </w:p>
    <w:p>
      <w:pPr>
        <w:spacing w:line="500" w:lineRule="exact"/>
        <w:ind w:firstLine="480" w:firstLineChars="200"/>
        <w:jc w:val="left"/>
        <w:rPr>
          <w:rFonts w:hint="eastAsia" w:ascii="宋体" w:hAnsi="宋体" w:eastAsia="宋体" w:cs="宋体"/>
          <w:sz w:val="24"/>
          <w:szCs w:val="24"/>
          <w:lang w:eastAsia="zh-CN"/>
        </w:rPr>
      </w:pPr>
      <w:r>
        <w:rPr>
          <w:rFonts w:ascii="宋体" w:hAnsi="宋体" w:eastAsia="宋体" w:cs="宋体"/>
          <w:sz w:val="24"/>
          <w:szCs w:val="24"/>
        </w:rPr>
        <w:t>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具体名单见网址：</w:t>
      </w:r>
      <w:r>
        <w:rPr>
          <w:rFonts w:ascii="宋体" w:hAnsi="宋体" w:eastAsia="宋体" w:cs="宋体"/>
          <w:sz w:val="24"/>
          <w:szCs w:val="24"/>
        </w:rPr>
        <w:drawing>
          <wp:inline distT="0" distB="0" distL="114300" distR="114300">
            <wp:extent cx="190500" cy="142875"/>
            <wp:effectExtent l="0" t="0" r="0" b="9525"/>
            <wp:docPr id="1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1"/>
                    </pic:cNvPicPr>
                  </pic:nvPicPr>
                  <pic:blipFill>
                    <a:blip r:embed="rId21" cstate="print"/>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http://xaczj.xa.gov.cn/zfcg/cgfg/5db9054565cbd804f69e97e0.html中《西安市财政局关于进一步做好政府采购信用担保及信用融资工作有关事宜的通知》）。</w:t>
      </w:r>
    </w:p>
    <w:p>
      <w:pPr>
        <w:spacing w:line="500" w:lineRule="exact"/>
        <w:ind w:firstLine="480" w:firstLineChars="200"/>
        <w:jc w:val="left"/>
        <w:rPr>
          <w:rFonts w:asciiTheme="minorEastAsia" w:hAnsiTheme="minorEastAsia" w:cstheme="minorEastAsia"/>
          <w:sz w:val="24"/>
          <w:szCs w:val="24"/>
        </w:rPr>
      </w:pPr>
      <w:r>
        <w:rPr>
          <w:rFonts w:ascii="宋体" w:hAnsi="宋体" w:eastAsia="宋体" w:cs="宋体"/>
          <w:sz w:val="24"/>
          <w:szCs w:val="24"/>
        </w:rPr>
        <w:t>投标供应商在缴纳投标保证金及中标供应商缴纳履约保证金时可自愿选择通过担保机构保函的形式缴纳；中标供应商如果需要融资贷款服务的，可凭中标通知书、政府采购合同等相关资料，按照实施方案规定的程序申请办理，具体规定可登陆西安市财政局网站(</w:t>
      </w:r>
      <w:r>
        <w:rPr>
          <w:rFonts w:ascii="宋体" w:hAnsi="宋体" w:eastAsia="宋体" w:cs="宋体"/>
          <w:sz w:val="24"/>
          <w:szCs w:val="24"/>
        </w:rPr>
        <w:drawing>
          <wp:inline distT="0" distB="0" distL="114300" distR="114300">
            <wp:extent cx="190500" cy="142875"/>
            <wp:effectExtent l="0" t="0" r="0" b="9525"/>
            <wp:docPr id="1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7"/>
                    <pic:cNvPicPr>
                      <a:picLocks noChangeAspect="1"/>
                    </pic:cNvPicPr>
                  </pic:nvPicPr>
                  <pic:blipFill>
                    <a:blip r:embed="rId21" cstate="print"/>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http://xaczj.xa.gov.cn/)政府采购专栏中查询了解。</w:t>
      </w:r>
    </w:p>
    <w:p>
      <w:pPr>
        <w:pStyle w:val="10"/>
      </w:pPr>
    </w:p>
    <w:p>
      <w:pPr>
        <w:pStyle w:val="4"/>
      </w:pPr>
      <w:bookmarkStart w:id="73" w:name="_Toc25308"/>
      <w:bookmarkStart w:id="74" w:name="_Toc3364"/>
      <w:bookmarkStart w:id="75" w:name="_Toc19972"/>
      <w:bookmarkStart w:id="76" w:name="_Toc30525"/>
      <w:r>
        <w:rPr>
          <w:rFonts w:hint="eastAsia"/>
        </w:rPr>
        <w:t>六、签订合同</w:t>
      </w:r>
      <w:bookmarkEnd w:id="73"/>
      <w:bookmarkEnd w:id="74"/>
      <w:bookmarkEnd w:id="75"/>
      <w:bookmarkEnd w:id="76"/>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1、中标后，中标人与采购人洽谈合同条款，并签订供货合同，同时送代理机构归档，招标文件及中标人的投标文件均作为合同的组成部分。</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2、所签订的合同不得对招标文件和中标人投标文件作实质性修改。</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3、招标文件、中标人的投标文件及澄清文件等，均作为合同的附件，是签订合同的依据。</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4、根据需要，代理机构应协助采购人监督、协调和处理履约过程中出现的问题。</w:t>
      </w:r>
    </w:p>
    <w:p>
      <w:pPr>
        <w:spacing w:line="360" w:lineRule="auto"/>
        <w:ind w:firstLine="480"/>
        <w:jc w:val="left"/>
        <w:rPr>
          <w:rFonts w:asciiTheme="minorEastAsia" w:hAnsiTheme="minorEastAsia" w:cstheme="minorEastAsia"/>
          <w:sz w:val="24"/>
          <w:szCs w:val="24"/>
        </w:rPr>
      </w:pPr>
      <w:r>
        <w:rPr>
          <w:rFonts w:hint="eastAsia" w:asciiTheme="minorEastAsia" w:hAnsiTheme="minorEastAsia" w:cstheme="minorEastAsia"/>
          <w:sz w:val="24"/>
          <w:szCs w:val="24"/>
        </w:rPr>
        <w:t>5、西安市财政局政府采购管理处在合同履行期间以及履行期后，可以随时检查项目的执行情况，对采购标准、采购内容进行调查核实，并对发现的问题进行处理。</w:t>
      </w:r>
    </w:p>
    <w:p>
      <w:pPr>
        <w:pStyle w:val="4"/>
      </w:pPr>
      <w:bookmarkStart w:id="77" w:name="_Toc28110"/>
      <w:bookmarkStart w:id="78" w:name="_Toc2796"/>
      <w:bookmarkStart w:id="79" w:name="_Toc26132"/>
      <w:bookmarkStart w:id="80" w:name="_Toc17938"/>
      <w:r>
        <w:rPr>
          <w:rFonts w:hint="eastAsia"/>
        </w:rPr>
        <w:t>七、代理服务费</w:t>
      </w:r>
      <w:bookmarkEnd w:id="77"/>
      <w:bookmarkEnd w:id="78"/>
      <w:bookmarkEnd w:id="79"/>
      <w:bookmarkEnd w:id="80"/>
    </w:p>
    <w:p>
      <w:pPr>
        <w:spacing w:line="360" w:lineRule="auto"/>
        <w:ind w:firstLine="480" w:firstLineChars="200"/>
        <w:jc w:val="left"/>
        <w:rPr>
          <w:rFonts w:asciiTheme="minorEastAsia" w:hAnsiTheme="minorEastAsia" w:cstheme="minorEastAsia"/>
          <w:sz w:val="24"/>
          <w:szCs w:val="24"/>
        </w:rPr>
      </w:pPr>
      <w:r>
        <w:rPr>
          <w:rFonts w:hint="eastAsia" w:ascii="宋体" w:hAnsi="宋体" w:cs="宋体"/>
          <w:sz w:val="24"/>
          <w:szCs w:val="24"/>
        </w:rPr>
        <w:t>以本采购项目中标价为基数，参照国家计委关于印发《招标代理服务收费管理暂行办法》的通知（计价格[2002]1980号）和发改办价格[2003]857号规定</w:t>
      </w:r>
      <w:r>
        <w:rPr>
          <w:rFonts w:hint="eastAsia" w:ascii="宋体" w:hAnsi="宋体" w:cs="宋体"/>
          <w:b/>
          <w:bCs/>
          <w:sz w:val="24"/>
          <w:szCs w:val="24"/>
        </w:rPr>
        <w:t>下浮20%</w:t>
      </w:r>
      <w:r>
        <w:rPr>
          <w:rFonts w:hint="eastAsia" w:ascii="宋体" w:hAnsi="宋体" w:cs="宋体"/>
          <w:sz w:val="24"/>
          <w:szCs w:val="24"/>
        </w:rPr>
        <w:t>收取；</w:t>
      </w:r>
      <w:r>
        <w:rPr>
          <w:rFonts w:hint="eastAsia" w:asciiTheme="minorEastAsia" w:hAnsiTheme="minorEastAsia" w:cstheme="minorEastAsia"/>
          <w:sz w:val="24"/>
          <w:szCs w:val="24"/>
        </w:rPr>
        <w:t xml:space="preserve"> </w:t>
      </w:r>
    </w:p>
    <w:p>
      <w:pPr>
        <w:spacing w:line="360" w:lineRule="auto"/>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投标人将招标代理服务费计入投标报价但不单独列明，中标单位在领取中标通知书前，须向采购代理机构一次性支付招标代理服务费；代理服务费以转账、电汇或现金等形式交纳</w:t>
      </w:r>
      <w:r>
        <w:rPr>
          <w:rFonts w:hint="eastAsia" w:asciiTheme="minorEastAsia" w:hAnsiTheme="minorEastAsia" w:cstheme="minorEastAsia"/>
          <w:sz w:val="28"/>
          <w:szCs w:val="28"/>
        </w:rPr>
        <w:t>。</w:t>
      </w:r>
    </w:p>
    <w:p>
      <w:pPr>
        <w:pStyle w:val="10"/>
        <w:numPr>
          <w:ilvl w:val="0"/>
          <w:numId w:val="17"/>
        </w:numPr>
        <w:jc w:val="center"/>
        <w:rPr>
          <w:rFonts w:ascii="Arial" w:hAnsi="Arial" w:eastAsia="宋体"/>
          <w:b/>
          <w:sz w:val="24"/>
        </w:rPr>
      </w:pPr>
      <w:r>
        <w:rPr>
          <w:rFonts w:hint="eastAsia" w:ascii="Arial" w:hAnsi="Arial" w:eastAsia="宋体"/>
          <w:b/>
          <w:sz w:val="24"/>
        </w:rPr>
        <w:t>履约验收</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履约验收的费用及要求详见“供应商须知前附表”。</w:t>
      </w:r>
    </w:p>
    <w:p>
      <w:pPr>
        <w:pStyle w:val="4"/>
      </w:pPr>
      <w:bookmarkStart w:id="81" w:name="_Toc12124"/>
      <w:bookmarkStart w:id="82" w:name="_Toc6199"/>
      <w:bookmarkStart w:id="83" w:name="_Toc12904"/>
      <w:bookmarkStart w:id="84" w:name="_Toc3298"/>
      <w:r>
        <w:rPr>
          <w:rFonts w:hint="eastAsia"/>
        </w:rPr>
        <w:t>九、质疑和投诉</w:t>
      </w:r>
      <w:bookmarkEnd w:id="81"/>
      <w:bookmarkEnd w:id="82"/>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eastAsia="宋体"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eastAsia="宋体" w:cs="宋体"/>
          <w:color w:val="333333"/>
          <w:sz w:val="24"/>
          <w:szCs w:val="24"/>
          <w:shd w:val="clear" w:color="auto" w:fill="FFFFFF"/>
        </w:rPr>
        <w:t>供应商应该在法定质疑期内一次性提出针对同一采购程序环节的质疑</w:t>
      </w:r>
      <w:r>
        <w:rPr>
          <w:rFonts w:hint="eastAsia" w:ascii="宋体" w:hAnsi="宋体" w:cs="宋体"/>
          <w:color w:val="333333"/>
          <w:sz w:val="24"/>
          <w:szCs w:val="24"/>
          <w:shd w:val="clear" w:color="auto" w:fill="FFFFFF"/>
        </w:rPr>
        <w:t>，</w:t>
      </w:r>
      <w:r>
        <w:rPr>
          <w:rFonts w:hint="eastAsia" w:asciiTheme="minorEastAsia" w:hAnsiTheme="minorEastAsia" w:cstheme="minorEastAsia"/>
          <w:sz w:val="24"/>
          <w:szCs w:val="24"/>
        </w:rPr>
        <w:t>逾期质疑无效。</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 质疑文件应当包括下列主要内容：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tabs>
          <w:tab w:val="left" w:pos="840"/>
        </w:tabs>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 xml:space="preserve">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cstheme="minorEastAsia"/>
          <w:color w:val="000000" w:themeColor="text1"/>
          <w:sz w:val="24"/>
          <w:szCs w:val="24"/>
          <w14:textFill>
            <w14:solidFill>
              <w14:schemeClr w14:val="tx1"/>
            </w14:solidFill>
          </w14:textFill>
        </w:rPr>
        <w:t>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cstheme="minorEastAsia"/>
          <w:color w:val="000000" w:themeColor="text1"/>
          <w:sz w:val="24"/>
          <w:szCs w:val="24"/>
          <w14:textFill>
            <w14:solidFill>
              <w14:schemeClr w14:val="tx1"/>
            </w14:solidFill>
          </w14:textFill>
        </w:rPr>
        <w:t>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cstheme="minorEastAsia"/>
          <w:color w:val="000000" w:themeColor="text1"/>
          <w:sz w:val="24"/>
          <w:szCs w:val="24"/>
          <w14:textFill>
            <w14:solidFill>
              <w14:schemeClr w14:val="tx1"/>
            </w14:solidFill>
          </w14:textFill>
        </w:rPr>
        <w:t>提交质疑文件地点：西安市西关正街英达大厦1507室。</w:t>
      </w:r>
    </w:p>
    <w:p>
      <w:pPr>
        <w:tabs>
          <w:tab w:val="left" w:pos="0"/>
          <w:tab w:val="left" w:pos="600"/>
          <w:tab w:val="left" w:pos="4700"/>
        </w:tabs>
        <w:autoSpaceDE w:val="0"/>
        <w:autoSpaceDN w:val="0"/>
        <w:spacing w:line="360" w:lineRule="auto"/>
        <w:ind w:left="599" w:leftChars="228" w:hanging="120" w:hangingChars="50"/>
        <w:textAlignment w:val="bottom"/>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本次采购活动中，采购代理机构对质疑回复等文件的送达方式为现场取件。</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10</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质疑函应当使用中文。质疑函范本详见财政部制定的范本即招标文件附件六。</w:t>
      </w:r>
    </w:p>
    <w:p>
      <w:pPr>
        <w:pStyle w:val="3"/>
        <w:sectPr>
          <w:headerReference r:id="rId9" w:type="default"/>
          <w:footerReference r:id="rId10" w:type="default"/>
          <w:pgSz w:w="11906" w:h="16838"/>
          <w:pgMar w:top="1440" w:right="1304" w:bottom="1440" w:left="1304" w:header="851" w:footer="992" w:gutter="0"/>
          <w:cols w:space="0" w:num="1"/>
          <w:docGrid w:type="lines" w:linePitch="325" w:charSpace="0"/>
        </w:sectPr>
      </w:pPr>
    </w:p>
    <w:bookmarkEnd w:id="83"/>
    <w:bookmarkEnd w:id="84"/>
    <w:p>
      <w:pPr>
        <w:pStyle w:val="3"/>
      </w:pPr>
      <w:bookmarkStart w:id="85" w:name="_Toc5393"/>
      <w:bookmarkStart w:id="86" w:name="_Toc15136"/>
      <w:bookmarkStart w:id="87" w:name="_Toc19586"/>
      <w:bookmarkStart w:id="88" w:name="_Toc473"/>
      <w:r>
        <w:rPr>
          <w:rFonts w:hint="eastAsia"/>
        </w:rPr>
        <w:t>第四部分  评审办法</w:t>
      </w:r>
      <w:bookmarkEnd w:id="85"/>
    </w:p>
    <w:p>
      <w:pPr>
        <w:spacing w:line="50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w:t>
      </w:r>
      <w:r>
        <w:rPr>
          <w:rFonts w:hint="eastAsia" w:asciiTheme="minorEastAsia" w:hAnsiTheme="minorEastAsia" w:cstheme="minorEastAsia"/>
          <w:sz w:val="24"/>
          <w:szCs w:val="24"/>
          <w:lang w:val="en-US" w:eastAsia="zh-CN"/>
        </w:rPr>
        <w:t>商务</w:t>
      </w:r>
      <w:r>
        <w:rPr>
          <w:rFonts w:hint="eastAsia" w:asciiTheme="minorEastAsia" w:hAnsiTheme="minorEastAsia" w:cstheme="minorEastAsia"/>
          <w:sz w:val="24"/>
          <w:szCs w:val="24"/>
        </w:rPr>
        <w:t>等以及对招标文件的响应程度。每一投标人的最终得分为所有评委评分的算数平均值。</w:t>
      </w:r>
    </w:p>
    <w:p>
      <w:pPr>
        <w:spacing w:line="500" w:lineRule="exact"/>
        <w:ind w:firstLine="482" w:firstLineChars="200"/>
        <w:jc w:val="center"/>
        <w:rPr>
          <w:b/>
          <w:bCs/>
        </w:rPr>
      </w:pPr>
      <w:r>
        <w:rPr>
          <w:rFonts w:hint="eastAsia" w:asciiTheme="minorEastAsia" w:hAnsiTheme="minorEastAsia" w:cstheme="minorEastAsia"/>
          <w:b/>
          <w:bCs/>
          <w:sz w:val="24"/>
          <w:szCs w:val="24"/>
          <w:lang w:eastAsia="zh-CN"/>
        </w:rPr>
        <w:t>评审办法</w:t>
      </w:r>
    </w:p>
    <w:tbl>
      <w:tblPr>
        <w:tblStyle w:val="29"/>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45"/>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93"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因素</w:t>
            </w:r>
          </w:p>
        </w:tc>
        <w:tc>
          <w:tcPr>
            <w:tcW w:w="1245"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分值</w:t>
            </w:r>
          </w:p>
        </w:tc>
        <w:tc>
          <w:tcPr>
            <w:tcW w:w="5927"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3"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（30分）</w:t>
            </w:r>
          </w:p>
        </w:tc>
        <w:tc>
          <w:tcPr>
            <w:tcW w:w="1245"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30分</w:t>
            </w:r>
          </w:p>
        </w:tc>
        <w:tc>
          <w:tcPr>
            <w:tcW w:w="5927" w:type="dxa"/>
            <w:noWrap w:val="0"/>
            <w:vAlign w:val="center"/>
          </w:tcPr>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价格分采用低价优先法计算，即满足招标文件要求且投标价格最低的投标报价为评标基准价，其他供应商的价格分按照下列公式计算：</w:t>
            </w:r>
          </w:p>
          <w:p>
            <w:pPr>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价格分=（评标基准价/投标报价）×30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3" w:type="dxa"/>
            <w:vMerge w:val="restart"/>
            <w:noWrap w:val="0"/>
            <w:vAlign w:val="top"/>
          </w:tcPr>
          <w:p>
            <w:pPr>
              <w:jc w:val="center"/>
              <w:outlineLvl w:val="9"/>
              <w:rPr>
                <w:rFonts w:hint="eastAsia" w:ascii="宋体" w:hAnsi="宋体" w:eastAsia="宋体" w:cs="宋体"/>
                <w:color w:val="000000"/>
                <w:sz w:val="24"/>
                <w:szCs w:val="24"/>
                <w:highlight w:val="none"/>
                <w:lang w:val="en-US" w:eastAsia="zh-CN"/>
              </w:rPr>
            </w:pPr>
          </w:p>
          <w:p>
            <w:pPr>
              <w:jc w:val="center"/>
              <w:outlineLvl w:val="9"/>
              <w:rPr>
                <w:rFonts w:hint="eastAsia" w:ascii="宋体" w:hAnsi="宋体" w:eastAsia="宋体" w:cs="宋体"/>
                <w:color w:val="000000"/>
                <w:sz w:val="24"/>
                <w:szCs w:val="24"/>
                <w:highlight w:val="none"/>
                <w:lang w:val="en-US" w:eastAsia="zh-CN"/>
              </w:rPr>
            </w:pPr>
          </w:p>
          <w:p>
            <w:pPr>
              <w:jc w:val="center"/>
              <w:outlineLvl w:val="9"/>
              <w:rPr>
                <w:rFonts w:hint="eastAsia" w:ascii="宋体" w:hAnsi="宋体" w:eastAsia="宋体" w:cs="宋体"/>
                <w:color w:val="000000"/>
                <w:sz w:val="24"/>
                <w:szCs w:val="24"/>
                <w:highlight w:val="none"/>
                <w:lang w:val="en-US" w:eastAsia="zh-CN"/>
              </w:rPr>
            </w:pPr>
          </w:p>
          <w:p>
            <w:pPr>
              <w:jc w:val="center"/>
              <w:outlineLvl w:val="9"/>
              <w:rPr>
                <w:rFonts w:hint="eastAsia" w:ascii="宋体" w:hAnsi="宋体" w:eastAsia="宋体" w:cs="宋体"/>
                <w:color w:val="000000"/>
                <w:sz w:val="24"/>
                <w:szCs w:val="24"/>
                <w:highlight w:val="none"/>
                <w:lang w:val="en-US" w:eastAsia="zh-CN"/>
              </w:rPr>
            </w:pPr>
          </w:p>
          <w:p>
            <w:pPr>
              <w:jc w:val="center"/>
              <w:outlineLvl w:val="9"/>
              <w:rPr>
                <w:rFonts w:hint="eastAsia" w:ascii="宋体" w:hAnsi="宋体" w:eastAsia="宋体" w:cs="宋体"/>
                <w:color w:val="000000"/>
                <w:sz w:val="24"/>
                <w:szCs w:val="24"/>
                <w:highlight w:val="none"/>
                <w:lang w:val="en-US" w:eastAsia="zh-CN"/>
              </w:rPr>
            </w:pPr>
          </w:p>
          <w:p>
            <w:pPr>
              <w:jc w:val="center"/>
              <w:outlineLvl w:val="9"/>
              <w:rPr>
                <w:rFonts w:hint="eastAsia" w:ascii="宋体" w:hAnsi="宋体" w:eastAsia="宋体" w:cs="宋体"/>
                <w:color w:val="000000"/>
                <w:sz w:val="24"/>
                <w:szCs w:val="24"/>
                <w:highlight w:val="none"/>
                <w:lang w:val="en-US" w:eastAsia="zh-CN"/>
              </w:rPr>
            </w:pPr>
          </w:p>
          <w:p>
            <w:pPr>
              <w:jc w:val="center"/>
              <w:outlineLvl w:val="9"/>
              <w:rPr>
                <w:rFonts w:hint="eastAsia" w:ascii="宋体" w:hAnsi="宋体" w:eastAsia="宋体" w:cs="宋体"/>
                <w:color w:val="000000"/>
                <w:sz w:val="24"/>
                <w:szCs w:val="24"/>
                <w:highlight w:val="none"/>
                <w:lang w:val="en-US" w:eastAsia="zh-CN"/>
              </w:rPr>
            </w:pPr>
          </w:p>
          <w:p>
            <w:pPr>
              <w:jc w:val="center"/>
              <w:outlineLvl w:val="9"/>
              <w:rPr>
                <w:rFonts w:hint="eastAsia" w:ascii="宋体" w:hAnsi="宋体" w:eastAsia="宋体" w:cs="宋体"/>
                <w:color w:val="000000"/>
                <w:sz w:val="24"/>
                <w:szCs w:val="24"/>
                <w:highlight w:val="none"/>
                <w:lang w:val="en-US" w:eastAsia="zh-CN"/>
              </w:rPr>
            </w:pP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（50分）</w:t>
            </w:r>
          </w:p>
        </w:tc>
        <w:tc>
          <w:tcPr>
            <w:tcW w:w="1245"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产品技术参数（35分）</w:t>
            </w:r>
          </w:p>
        </w:tc>
        <w:tc>
          <w:tcPr>
            <w:tcW w:w="5927" w:type="dxa"/>
            <w:noWrap w:val="0"/>
            <w:vAlign w:val="center"/>
          </w:tcPr>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投标产品技术参数清楚、明确，有相应齐全的技术资料，完全满足招标技术参数要求得35分；“</w:t>
            </w: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”为重要参数；负偏离一项扣2分，扣完为止；一般参数负偏离一项扣1分，扣完为止。</w:t>
            </w:r>
          </w:p>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评审依据：技术参数及性能指标清楚、明确，技术资料齐全，供应商应提供详细的证明材料，不限于投标产品注册证及附件、（产品）彩页（如有）、（产品）说明书、 检测/检验报告、产品功能说明等；无证明资料或证明资料不能证明其满足参数技术指标的，将被视为负偏离。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3" w:type="dxa"/>
            <w:vMerge w:val="continue"/>
            <w:noWrap w:val="0"/>
            <w:vAlign w:val="top"/>
          </w:tcPr>
          <w:p>
            <w:pPr>
              <w:jc w:val="center"/>
              <w:outlineLvl w:val="9"/>
              <w:rPr>
                <w:rFonts w:hint="eastAsia" w:ascii="宋体" w:hAnsi="宋体" w:eastAsia="宋体" w:cs="宋体"/>
                <w:color w:val="000000"/>
                <w:sz w:val="24"/>
                <w:szCs w:val="24"/>
                <w:highlight w:val="none"/>
                <w:lang w:val="en-US" w:eastAsia="zh-CN"/>
              </w:rPr>
            </w:pPr>
          </w:p>
        </w:tc>
        <w:tc>
          <w:tcPr>
            <w:tcW w:w="1245"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产品质量保证（10分）</w:t>
            </w:r>
          </w:p>
        </w:tc>
        <w:tc>
          <w:tcPr>
            <w:tcW w:w="5927" w:type="dxa"/>
            <w:noWrap w:val="0"/>
            <w:vAlign w:val="center"/>
          </w:tcPr>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1、所响应设备（产品）技术资料详尽、齐全、表述真实一致，计3.1-5分；较详尽齐全计1-3分，未提供不得分；</w:t>
            </w:r>
          </w:p>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所投设备（产品）及备品备件符合国内、国际相关标准且无产权纠纷，无假货、水货、翻新货，提供所投产品来源渠道合法证明文件（包括但不限于销售协议、代理协议、原厂授权等）等，齐全计3.1-5分，较齐全计1-3分，未提供不得分；</w:t>
            </w:r>
          </w:p>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评审依据：所投产品来源渠道的合法证明文件，不限于认证证书，销售协议、代理协议、原厂授权等和生产厂家出具的相应功能证明材料、检测报告等。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93" w:type="dxa"/>
            <w:vMerge w:val="continue"/>
            <w:noWrap w:val="0"/>
            <w:vAlign w:val="top"/>
          </w:tcPr>
          <w:p>
            <w:pPr>
              <w:jc w:val="center"/>
              <w:outlineLvl w:val="9"/>
              <w:rPr>
                <w:rFonts w:hint="eastAsia" w:ascii="宋体" w:hAnsi="宋体" w:eastAsia="宋体" w:cs="宋体"/>
                <w:color w:val="000000"/>
                <w:sz w:val="24"/>
                <w:szCs w:val="24"/>
                <w:highlight w:val="none"/>
                <w:lang w:val="en-US" w:eastAsia="zh-CN"/>
              </w:rPr>
            </w:pPr>
          </w:p>
        </w:tc>
        <w:tc>
          <w:tcPr>
            <w:tcW w:w="1245"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实施</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方案</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（5分）</w:t>
            </w:r>
          </w:p>
        </w:tc>
        <w:tc>
          <w:tcPr>
            <w:tcW w:w="5927" w:type="dxa"/>
            <w:noWrap w:val="0"/>
            <w:vAlign w:val="center"/>
          </w:tcPr>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根据投标人针对本项目实施方案（不限于供货配送方案、运输保管方案、安装调试、质量标准、人员配备、产品调换方案以及出现紧急情况下的应急方案等实施方案）进行综合评分。</w:t>
            </w:r>
          </w:p>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1.方案细致完整、描述条理清晰，内容齐全，有较高的针对性，得3.1-5分；</w:t>
            </w:r>
          </w:p>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2.方案较完整，可基本实现及满足采购要求，得1.0-3分；</w:t>
            </w:r>
          </w:p>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3.方案有明显缺陷，针对性较差不得分。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293" w:type="dxa"/>
            <w:vMerge w:val="restart"/>
            <w:noWrap w:val="0"/>
            <w:vAlign w:val="top"/>
          </w:tcPr>
          <w:p>
            <w:pPr>
              <w:jc w:val="center"/>
              <w:outlineLvl w:val="9"/>
              <w:rPr>
                <w:rFonts w:hint="eastAsia" w:ascii="宋体" w:hAnsi="宋体" w:eastAsia="宋体" w:cs="宋体"/>
                <w:color w:val="000000"/>
                <w:sz w:val="24"/>
                <w:szCs w:val="24"/>
                <w:highlight w:val="none"/>
                <w:lang w:val="en-US" w:eastAsia="zh-CN"/>
              </w:rPr>
            </w:pPr>
          </w:p>
          <w:p>
            <w:pPr>
              <w:jc w:val="center"/>
              <w:outlineLvl w:val="9"/>
              <w:rPr>
                <w:rFonts w:hint="eastAsia" w:ascii="宋体" w:hAnsi="宋体" w:eastAsia="宋体" w:cs="宋体"/>
                <w:color w:val="000000"/>
                <w:sz w:val="24"/>
                <w:szCs w:val="24"/>
                <w:highlight w:val="none"/>
                <w:lang w:val="en-US" w:eastAsia="zh-CN"/>
              </w:rPr>
            </w:pP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商务</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（20分）</w:t>
            </w:r>
          </w:p>
          <w:p>
            <w:pPr>
              <w:jc w:val="center"/>
              <w:outlineLvl w:val="9"/>
              <w:rPr>
                <w:rFonts w:hint="eastAsia" w:ascii="宋体" w:hAnsi="宋体" w:eastAsia="宋体" w:cs="宋体"/>
                <w:color w:val="000000"/>
                <w:sz w:val="24"/>
                <w:szCs w:val="24"/>
                <w:highlight w:val="none"/>
                <w:lang w:val="en-US" w:eastAsia="zh-CN"/>
              </w:rPr>
            </w:pPr>
          </w:p>
        </w:tc>
        <w:tc>
          <w:tcPr>
            <w:tcW w:w="1245"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售后服务方案（10分）</w:t>
            </w:r>
          </w:p>
        </w:tc>
        <w:tc>
          <w:tcPr>
            <w:tcW w:w="5927" w:type="dxa"/>
            <w:noWrap w:val="0"/>
            <w:vAlign w:val="top"/>
          </w:tcPr>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制定相应的售后服务方案，包括维修响应时间、维修到场时间、调换货响应时效、维保方案提供具体可行的售后服务措施承诺及明确详细的售后服务人员组成和安排，为招标人提供必要的技术支持等内容根据响应程度计0-</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eastAsia="zh-CN"/>
              </w:rPr>
              <w:t>分</w:t>
            </w:r>
            <w:r>
              <w:rPr>
                <w:rFonts w:hint="eastAsia" w:ascii="宋体" w:hAnsi="宋体" w:eastAsia="宋体" w:cs="宋体"/>
                <w:color w:val="000000"/>
                <w:sz w:val="24"/>
                <w:szCs w:val="24"/>
                <w:highlight w:val="none"/>
                <w:lang w:val="en-US" w:eastAsia="zh-CN"/>
              </w:rPr>
              <w:t>。</w:t>
            </w:r>
          </w:p>
          <w:p>
            <w:pPr>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eastAsia="zh-CN"/>
              </w:rPr>
              <w:t>为采购人负责培训操作人员，并附有完整的培训方案，列出详细的培训内容、培训方式等说明，根据响应程度计</w:t>
            </w:r>
            <w:r>
              <w:rPr>
                <w:rFonts w:hint="eastAsia" w:ascii="宋体" w:hAnsi="宋体" w:eastAsia="宋体" w:cs="宋体"/>
                <w:color w:val="000000"/>
                <w:sz w:val="24"/>
                <w:szCs w:val="24"/>
                <w:highlight w:val="none"/>
                <w:lang w:val="en-US" w:eastAsia="zh-CN"/>
              </w:rPr>
              <w:t>0-3</w:t>
            </w:r>
            <w:r>
              <w:rPr>
                <w:rFonts w:hint="eastAsia" w:ascii="宋体" w:hAnsi="宋体" w:eastAsia="宋体" w:cs="宋体"/>
                <w:color w:val="000000"/>
                <w:sz w:val="24"/>
                <w:szCs w:val="24"/>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293" w:type="dxa"/>
            <w:vMerge w:val="continue"/>
            <w:noWrap w:val="0"/>
            <w:vAlign w:val="top"/>
          </w:tcPr>
          <w:p>
            <w:pPr>
              <w:jc w:val="center"/>
              <w:outlineLvl w:val="9"/>
              <w:rPr>
                <w:rFonts w:hint="eastAsia" w:ascii="宋体" w:hAnsi="宋体" w:eastAsia="宋体" w:cs="宋体"/>
                <w:color w:val="000000"/>
                <w:sz w:val="24"/>
                <w:szCs w:val="24"/>
                <w:highlight w:val="none"/>
                <w:lang w:val="en-US" w:eastAsia="zh-CN"/>
              </w:rPr>
            </w:pPr>
          </w:p>
        </w:tc>
        <w:tc>
          <w:tcPr>
            <w:tcW w:w="1245"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商务</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（5分）</w:t>
            </w:r>
          </w:p>
        </w:tc>
        <w:tc>
          <w:tcPr>
            <w:tcW w:w="5927" w:type="dxa"/>
            <w:noWrap w:val="0"/>
            <w:vAlign w:val="top"/>
          </w:tcPr>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响应文件完全满足招标文件商务要求并有相应商务响应说明得2分；交货期优于招标文件要求的加1分，</w:t>
            </w:r>
            <w:r>
              <w:rPr>
                <w:rFonts w:hint="eastAsia" w:ascii="宋体" w:hAnsi="宋体" w:eastAsia="宋体" w:cs="宋体"/>
                <w:color w:val="000000"/>
                <w:sz w:val="24"/>
                <w:szCs w:val="24"/>
                <w:highlight w:val="none"/>
                <w:lang w:val="zh-CN" w:eastAsia="zh-CN"/>
              </w:rPr>
              <w:t>产品质保期每增加</w:t>
            </w:r>
            <w:r>
              <w:rPr>
                <w:rFonts w:hint="eastAsia" w:ascii="宋体" w:hAnsi="宋体" w:eastAsia="宋体" w:cs="宋体"/>
                <w:color w:val="000000"/>
                <w:sz w:val="24"/>
                <w:szCs w:val="24"/>
                <w:highlight w:val="none"/>
                <w:lang w:val="en-US" w:eastAsia="zh-CN"/>
              </w:rPr>
              <w:t>1年加1分，最多加2分。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93" w:type="dxa"/>
            <w:vMerge w:val="continue"/>
            <w:noWrap w:val="0"/>
            <w:vAlign w:val="center"/>
          </w:tcPr>
          <w:p>
            <w:pPr>
              <w:jc w:val="center"/>
              <w:outlineLvl w:val="9"/>
              <w:rPr>
                <w:rFonts w:hint="eastAsia" w:ascii="宋体" w:hAnsi="宋体" w:eastAsia="宋体" w:cs="宋体"/>
                <w:color w:val="000000"/>
                <w:sz w:val="24"/>
                <w:szCs w:val="24"/>
                <w:highlight w:val="none"/>
                <w:lang w:val="en-US" w:eastAsia="zh-CN"/>
              </w:rPr>
            </w:pPr>
          </w:p>
        </w:tc>
        <w:tc>
          <w:tcPr>
            <w:tcW w:w="1245" w:type="dxa"/>
            <w:noWrap w:val="0"/>
            <w:vAlign w:val="center"/>
          </w:tcPr>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业绩</w:t>
            </w:r>
          </w:p>
          <w:p>
            <w:pPr>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（5分）</w:t>
            </w:r>
          </w:p>
        </w:tc>
        <w:tc>
          <w:tcPr>
            <w:tcW w:w="5927" w:type="dxa"/>
            <w:noWrap w:val="0"/>
            <w:vAlign w:val="center"/>
          </w:tcPr>
          <w:p>
            <w:pPr>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提供2020年1月1日至今所投</w:t>
            </w:r>
            <w:r>
              <w:rPr>
                <w:rFonts w:hint="eastAsia" w:ascii="宋体" w:hAnsi="宋体" w:eastAsia="宋体" w:cs="宋体"/>
                <w:b/>
                <w:bCs/>
                <w:color w:val="000000"/>
                <w:sz w:val="24"/>
                <w:szCs w:val="24"/>
                <w:highlight w:val="none"/>
                <w:lang w:val="en-US" w:eastAsia="zh-CN"/>
              </w:rPr>
              <w:t>核心产品</w:t>
            </w:r>
            <w:r>
              <w:rPr>
                <w:rFonts w:hint="eastAsia" w:ascii="宋体" w:hAnsi="宋体" w:eastAsia="宋体" w:cs="宋体"/>
                <w:color w:val="000000"/>
                <w:sz w:val="24"/>
                <w:szCs w:val="24"/>
                <w:highlight w:val="none"/>
                <w:lang w:val="en-US" w:eastAsia="zh-CN"/>
              </w:rPr>
              <w:t>业绩合同（以合同签订时间为准）1个业绩计1分，最高得5分。</w:t>
            </w:r>
          </w:p>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评审依据：须提供完整清晰的合同复印件并加盖公章。 </w:t>
            </w:r>
          </w:p>
        </w:tc>
      </w:tr>
    </w:tbl>
    <w:p>
      <w:pPr>
        <w:rPr>
          <w:rFonts w:ascii="宋体" w:hAnsi="宋体" w:cs="宋体"/>
          <w:sz w:val="24"/>
          <w:szCs w:val="24"/>
        </w:rPr>
      </w:pPr>
      <w:r>
        <w:rPr>
          <w:rFonts w:hint="eastAsia" w:ascii="宋体" w:hAnsi="宋体" w:cs="宋体"/>
          <w:sz w:val="24"/>
          <w:szCs w:val="24"/>
        </w:rPr>
        <w:t>备注：</w:t>
      </w:r>
    </w:p>
    <w:p>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eastAsia="宋体" w:cs="宋体"/>
          <w:sz w:val="24"/>
          <w:szCs w:val="24"/>
        </w:rPr>
      </w:pPr>
      <w:r>
        <w:rPr>
          <w:rFonts w:hint="eastAsia" w:ascii="宋体" w:hAnsi="宋体" w:cs="宋体"/>
          <w:sz w:val="24"/>
          <w:szCs w:val="24"/>
        </w:rPr>
        <w:t>根据《政府采购促进中小企业发展管理办法》（财库[2020]46号）的规定，对于非专门面向中小企业的项目，对小型和微型企业产品的价格给予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ascii="宋体" w:hAnsi="宋体" w:cs="宋体"/>
          <w:sz w:val="24"/>
          <w:szCs w:val="24"/>
          <w:lang w:val="en-US" w:eastAsia="zh-CN"/>
        </w:rPr>
        <w:t>10</w:t>
      </w:r>
      <w:r>
        <w:rPr>
          <w:rFonts w:hint="eastAsia" w:ascii="宋体" w:hAnsi="宋体" w:cs="宋体"/>
          <w:sz w:val="24"/>
          <w:szCs w:val="24"/>
        </w:rPr>
        <w:t xml:space="preserve">%的价格扣除，用扣除后的价格参与评审。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rPr>
          <w:sz w:val="24"/>
          <w:szCs w:val="24"/>
        </w:rPr>
        <w:sectPr>
          <w:pgSz w:w="11900" w:h="16840"/>
          <w:pgMar w:top="1440" w:right="1800" w:bottom="1440" w:left="1800" w:header="851" w:footer="992" w:gutter="0"/>
          <w:cols w:space="425" w:num="1"/>
          <w:docGrid w:type="lines" w:linePitch="312" w:charSpace="0"/>
        </w:sectPr>
      </w:pPr>
    </w:p>
    <w:p>
      <w:pPr>
        <w:pStyle w:val="3"/>
        <w:pageBreakBefore/>
        <w:spacing w:beforeLines="100" w:afterLines="100" w:line="500" w:lineRule="exact"/>
        <w:rPr>
          <w:rFonts w:asciiTheme="minorEastAsia" w:hAnsiTheme="minorEastAsia" w:cstheme="minorEastAsia"/>
          <w:szCs w:val="32"/>
        </w:rPr>
      </w:pPr>
      <w:bookmarkStart w:id="89" w:name="_Toc30485"/>
      <w:r>
        <w:rPr>
          <w:rFonts w:hint="eastAsia" w:asciiTheme="minorEastAsia" w:hAnsiTheme="minorEastAsia" w:eastAsiaTheme="minorEastAsia" w:cstheme="minorEastAsia"/>
          <w:sz w:val="36"/>
          <w:szCs w:val="36"/>
        </w:rPr>
        <w:t>第五部分  采购要求</w:t>
      </w:r>
      <w:bookmarkEnd w:id="86"/>
      <w:bookmarkEnd w:id="89"/>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一、商务要求</w:t>
      </w:r>
    </w:p>
    <w:p>
      <w:pPr>
        <w:spacing w:line="360" w:lineRule="auto"/>
        <w:ind w:right="57" w:rightChars="27"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1、项目名称：</w:t>
      </w:r>
      <w:r>
        <w:rPr>
          <w:rFonts w:hint="eastAsia" w:asciiTheme="minorEastAsia" w:hAnsiTheme="minorEastAsia" w:cstheme="minorEastAsia"/>
          <w:bCs/>
          <w:sz w:val="24"/>
          <w:szCs w:val="24"/>
          <w:lang w:eastAsia="zh-CN"/>
        </w:rPr>
        <w:t>西安市第五医院下肢康复运动器等设备一批采购项目</w:t>
      </w:r>
      <w:r>
        <w:rPr>
          <w:rFonts w:hint="eastAsia" w:asciiTheme="minorEastAsia" w:hAnsiTheme="minorEastAsia" w:cstheme="minorEastAsia"/>
          <w:bCs/>
          <w:sz w:val="24"/>
          <w:szCs w:val="24"/>
        </w:rPr>
        <w:t xml:space="preserve">     </w:t>
      </w:r>
    </w:p>
    <w:p>
      <w:pPr>
        <w:tabs>
          <w:tab w:val="left" w:pos="420"/>
        </w:tabs>
        <w:spacing w:line="360" w:lineRule="auto"/>
        <w:ind w:firstLine="480" w:firstLineChars="200"/>
        <w:rPr>
          <w:rFonts w:hint="eastAsia" w:asciiTheme="minorEastAsia" w:hAnsiTheme="minorEastAsia" w:cstheme="minorEastAsia"/>
          <w:bCs/>
          <w:sz w:val="24"/>
          <w:szCs w:val="24"/>
          <w:highlight w:val="none"/>
        </w:rPr>
      </w:pPr>
      <w:r>
        <w:rPr>
          <w:rFonts w:hint="eastAsia" w:asciiTheme="minorEastAsia" w:hAnsiTheme="minorEastAsia" w:cstheme="minorEastAsia"/>
          <w:bCs/>
          <w:sz w:val="24"/>
          <w:szCs w:val="24"/>
        </w:rPr>
        <w:t>2、</w:t>
      </w:r>
      <w:r>
        <w:rPr>
          <w:rFonts w:hint="eastAsia" w:asciiTheme="minorEastAsia" w:hAnsiTheme="minorEastAsia" w:cstheme="minorEastAsia"/>
          <w:bCs/>
          <w:sz w:val="24"/>
          <w:szCs w:val="24"/>
          <w:highlight w:val="none"/>
        </w:rPr>
        <w:t>交货期：自合同签订之日起5个工作日</w:t>
      </w:r>
      <w:r>
        <w:rPr>
          <w:rFonts w:hint="eastAsia" w:asciiTheme="minorEastAsia" w:hAnsiTheme="minorEastAsia" w:cstheme="minorEastAsia"/>
          <w:bCs/>
          <w:sz w:val="24"/>
          <w:szCs w:val="24"/>
          <w:highlight w:val="none"/>
          <w:lang w:eastAsia="zh-CN"/>
        </w:rPr>
        <w:t>内</w:t>
      </w:r>
      <w:r>
        <w:rPr>
          <w:rFonts w:hint="eastAsia" w:asciiTheme="minorEastAsia" w:hAnsiTheme="minorEastAsia" w:cstheme="minorEastAsia"/>
          <w:bCs/>
          <w:sz w:val="24"/>
          <w:szCs w:val="24"/>
          <w:highlight w:val="none"/>
        </w:rPr>
        <w:t>完成货物的安装、调试并正常运行。</w:t>
      </w:r>
    </w:p>
    <w:p>
      <w:pPr>
        <w:widowControl/>
        <w:numPr>
          <w:ilvl w:val="0"/>
          <w:numId w:val="0"/>
        </w:numPr>
        <w:spacing w:line="360" w:lineRule="auto"/>
        <w:ind w:leftChars="0" w:right="57" w:rightChars="27"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lang w:eastAsia="zh-CN"/>
        </w:rPr>
        <w:t>质保期：所投设备整机质保三年（含第三方设备）。</w:t>
      </w:r>
    </w:p>
    <w:p>
      <w:pPr>
        <w:widowControl/>
        <w:spacing w:line="360" w:lineRule="auto"/>
        <w:ind w:right="57" w:rightChars="27" w:firstLine="480" w:firstLineChars="200"/>
        <w:jc w:val="left"/>
        <w:rPr>
          <w:rFonts w:asciiTheme="minorEastAsia" w:hAnsiTheme="minorEastAsia" w:cstheme="minorEastAsia"/>
          <w:bCs/>
          <w:sz w:val="24"/>
          <w:szCs w:val="24"/>
        </w:rPr>
      </w:pPr>
      <w:r>
        <w:rPr>
          <w:rFonts w:hint="eastAsia" w:ascii="宋体" w:hAnsi="宋体"/>
          <w:sz w:val="24"/>
          <w:szCs w:val="24"/>
          <w:lang w:val="en-US" w:eastAsia="zh-CN"/>
        </w:rPr>
        <w:t>4</w:t>
      </w:r>
      <w:r>
        <w:rPr>
          <w:rFonts w:hint="eastAsia" w:ascii="宋体" w:hAnsi="宋体"/>
          <w:sz w:val="24"/>
          <w:szCs w:val="24"/>
        </w:rPr>
        <w:t>、</w:t>
      </w:r>
      <w:r>
        <w:rPr>
          <w:rFonts w:hint="eastAsia" w:asciiTheme="minorEastAsia" w:hAnsiTheme="minorEastAsia" w:cstheme="minorEastAsia"/>
          <w:bCs/>
          <w:sz w:val="24"/>
          <w:szCs w:val="24"/>
        </w:rPr>
        <w:t>交货地点：</w:t>
      </w:r>
      <w:r>
        <w:rPr>
          <w:rFonts w:hint="eastAsia" w:asciiTheme="minorEastAsia" w:hAnsiTheme="minorEastAsia" w:cstheme="minorEastAsia"/>
          <w:bCs/>
          <w:sz w:val="24"/>
          <w:szCs w:val="24"/>
          <w:lang w:eastAsia="zh-CN"/>
        </w:rPr>
        <w:t>西安市第五医院</w:t>
      </w:r>
      <w:r>
        <w:rPr>
          <w:rFonts w:hint="eastAsia" w:asciiTheme="minorEastAsia" w:hAnsiTheme="minorEastAsia" w:cstheme="minorEastAsia"/>
          <w:bCs/>
          <w:sz w:val="24"/>
          <w:szCs w:val="24"/>
        </w:rPr>
        <w:t>指定地点；</w:t>
      </w:r>
    </w:p>
    <w:p>
      <w:pPr>
        <w:tabs>
          <w:tab w:val="left" w:pos="420"/>
        </w:tabs>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、其他要求：</w:t>
      </w:r>
    </w:p>
    <w:p>
      <w:pPr>
        <w:bidi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1、付款方式和结算条件</w:t>
      </w:r>
    </w:p>
    <w:p>
      <w:pPr>
        <w:bidi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（1）付款方式</w:t>
      </w:r>
    </w:p>
    <w:p>
      <w:pPr>
        <w:bidi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通过银行转账方式将款项转入乙方银行账户。乙方银行账户信息如下：</w:t>
      </w:r>
    </w:p>
    <w:p>
      <w:pPr>
        <w:bidi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账户全称：                            </w:t>
      </w:r>
    </w:p>
    <w:p>
      <w:pPr>
        <w:bidi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账    号：                            </w:t>
      </w:r>
    </w:p>
    <w:p>
      <w:pPr>
        <w:bidi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开 户 行：                            </w:t>
      </w:r>
    </w:p>
    <w:p>
      <w:pPr>
        <w:bidi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甲方仅认可上述指定账户并向该账户付款。否则甲方有权拒绝向指定账户之外的任何账户付款，并且由此导致的付款延迟责任由乙方承担。</w:t>
      </w:r>
    </w:p>
    <w:p>
      <w:pPr>
        <w:bidi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乙方要如实开具发票，不得变更开票内容，乙方开具发票出现税务争议时，乙方需承担税款、滞纳金、罚款等赔偿责任以及其他相关责任。</w:t>
      </w:r>
    </w:p>
    <w:p>
      <w:pPr>
        <w:bidi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（2）结算条件</w:t>
      </w:r>
    </w:p>
    <w:p>
      <w:pPr>
        <w:bidi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结算方式：验收合格后填写西安市第五医院设备验收单（一式两份）, 发票（按合同总价直开甲方），持中标通知书、供货合同、发票及其复印件、项目验收单，到甲方办理资金结算。</w:t>
      </w:r>
    </w:p>
    <w:p>
      <w:pPr>
        <w:numPr>
          <w:ilvl w:val="0"/>
          <w:numId w:val="11"/>
        </w:numPr>
        <w:bidi w:val="0"/>
        <w:spacing w:line="360" w:lineRule="auto"/>
        <w:ind w:left="0" w:leftChars="0" w:firstLine="420"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其他详见第六部分合同条款；</w:t>
      </w:r>
    </w:p>
    <w:p>
      <w:pPr>
        <w:spacing w:line="360" w:lineRule="auto"/>
        <w:ind w:right="57" w:rightChars="27"/>
        <w:rPr>
          <w:rFonts w:ascii="宋体" w:hAnsi="宋体" w:eastAsia="宋体" w:cs="宋体"/>
          <w:b/>
          <w:bCs/>
          <w:sz w:val="24"/>
          <w:szCs w:val="24"/>
        </w:rPr>
      </w:pPr>
      <w:r>
        <w:rPr>
          <w:rFonts w:hint="eastAsia" w:asciiTheme="minorEastAsia" w:hAnsiTheme="minorEastAsia" w:cstheme="minorEastAsia"/>
          <w:b/>
          <w:sz w:val="24"/>
          <w:szCs w:val="24"/>
        </w:rPr>
        <w:t>二、采购内容及数量</w:t>
      </w:r>
    </w:p>
    <w:tbl>
      <w:tblPr>
        <w:tblStyle w:val="29"/>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67"/>
        <w:gridCol w:w="1033"/>
        <w:gridCol w:w="1691"/>
        <w:gridCol w:w="1201"/>
        <w:gridCol w:w="109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47" w:type="dxa"/>
            <w:vAlign w:val="center"/>
          </w:tcPr>
          <w:p>
            <w:pPr>
              <w:widowControl/>
              <w:tabs>
                <w:tab w:val="left" w:pos="1620"/>
              </w:tabs>
              <w:wordWrap w:val="0"/>
              <w:snapToGrid w:val="0"/>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序号</w:t>
            </w:r>
          </w:p>
        </w:tc>
        <w:tc>
          <w:tcPr>
            <w:tcW w:w="2867" w:type="dxa"/>
            <w:vAlign w:val="center"/>
          </w:tcPr>
          <w:p>
            <w:pPr>
              <w:widowControl/>
              <w:tabs>
                <w:tab w:val="left" w:pos="1620"/>
              </w:tabs>
              <w:wordWrap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采购内容</w:t>
            </w:r>
          </w:p>
        </w:tc>
        <w:tc>
          <w:tcPr>
            <w:tcW w:w="1033" w:type="dxa"/>
            <w:vAlign w:val="center"/>
          </w:tcPr>
          <w:p>
            <w:pPr>
              <w:tabs>
                <w:tab w:val="left" w:pos="480"/>
              </w:tabs>
              <w:spacing w:line="240" w:lineRule="exact"/>
              <w:jc w:val="center"/>
              <w:rPr>
                <w:rFonts w:ascii="宋体" w:hAnsi="宋体" w:eastAsia="宋体" w:cs="宋体"/>
                <w:kern w:val="0"/>
                <w:szCs w:val="21"/>
              </w:rPr>
            </w:pPr>
            <w:r>
              <w:rPr>
                <w:rFonts w:hint="eastAsia" w:ascii="宋体" w:hAnsi="宋体" w:eastAsia="宋体" w:cs="宋体"/>
                <w:kern w:val="0"/>
                <w:szCs w:val="21"/>
              </w:rPr>
              <w:t>采购数量</w:t>
            </w:r>
          </w:p>
        </w:tc>
        <w:tc>
          <w:tcPr>
            <w:tcW w:w="1691" w:type="dxa"/>
            <w:vAlign w:val="center"/>
          </w:tcPr>
          <w:p>
            <w:pPr>
              <w:tabs>
                <w:tab w:val="left" w:pos="480"/>
              </w:tabs>
              <w:spacing w:line="240" w:lineRule="exact"/>
              <w:jc w:val="center"/>
              <w:rPr>
                <w:rFonts w:hint="eastAsia" w:ascii="宋体" w:hAnsi="宋体" w:eastAsia="宋体" w:cs="宋体"/>
                <w:kern w:val="0"/>
                <w:szCs w:val="21"/>
              </w:rPr>
            </w:pPr>
            <w:r>
              <w:rPr>
                <w:rFonts w:hint="eastAsia" w:ascii="宋体" w:hAnsi="宋体" w:eastAsia="宋体" w:cs="宋体"/>
                <w:kern w:val="0"/>
                <w:szCs w:val="21"/>
              </w:rPr>
              <w:t>采购预算</w:t>
            </w:r>
          </w:p>
          <w:p>
            <w:pPr>
              <w:tabs>
                <w:tab w:val="left" w:pos="480"/>
              </w:tabs>
              <w:spacing w:line="240" w:lineRule="exact"/>
              <w:jc w:val="center"/>
              <w:rPr>
                <w:rFonts w:hint="eastAsia" w:ascii="宋体" w:hAnsi="宋体" w:eastAsia="宋体" w:cs="宋体"/>
                <w:kern w:val="0"/>
                <w:szCs w:val="21"/>
              </w:rPr>
            </w:pPr>
            <w:r>
              <w:rPr>
                <w:rFonts w:hint="eastAsia" w:ascii="宋体" w:hAnsi="宋体" w:eastAsia="宋体" w:cs="宋体"/>
                <w:kern w:val="0"/>
                <w:szCs w:val="21"/>
              </w:rPr>
              <w:t>金额</w:t>
            </w:r>
          </w:p>
          <w:p>
            <w:pPr>
              <w:tabs>
                <w:tab w:val="left" w:pos="480"/>
              </w:tabs>
              <w:spacing w:line="24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元）</w:t>
            </w:r>
          </w:p>
        </w:tc>
        <w:tc>
          <w:tcPr>
            <w:tcW w:w="1201" w:type="dxa"/>
            <w:vAlign w:val="center"/>
          </w:tcPr>
          <w:p>
            <w:pPr>
              <w:widowControl/>
              <w:tabs>
                <w:tab w:val="left" w:pos="1620"/>
              </w:tabs>
              <w:wordWrap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项目性质</w:t>
            </w:r>
          </w:p>
        </w:tc>
        <w:tc>
          <w:tcPr>
            <w:tcW w:w="1091" w:type="dxa"/>
            <w:vAlign w:val="center"/>
          </w:tcPr>
          <w:p>
            <w:pPr>
              <w:widowControl/>
              <w:tabs>
                <w:tab w:val="left" w:pos="1620"/>
              </w:tabs>
              <w:wordWrap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项目用途</w:t>
            </w:r>
          </w:p>
        </w:tc>
        <w:tc>
          <w:tcPr>
            <w:tcW w:w="1140" w:type="dxa"/>
            <w:vAlign w:val="center"/>
          </w:tcPr>
          <w:p>
            <w:pPr>
              <w:widowControl/>
              <w:tabs>
                <w:tab w:val="left" w:pos="1620"/>
              </w:tabs>
              <w:wordWrap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2867" w:type="dxa"/>
            <w:vAlign w:val="center"/>
          </w:tcPr>
          <w:p>
            <w:pPr>
              <w:widowControl/>
              <w:tabs>
                <w:tab w:val="left" w:pos="1620"/>
              </w:tabs>
              <w:wordWrap w:val="0"/>
              <w:snapToGrid w:val="0"/>
              <w:spacing w:line="360" w:lineRule="auto"/>
              <w:jc w:val="center"/>
              <w:rPr>
                <w:rFonts w:ascii="宋体" w:hAnsi="宋体" w:eastAsia="宋体" w:cs="宋体"/>
                <w:kern w:val="0"/>
                <w:sz w:val="21"/>
                <w:szCs w:val="21"/>
              </w:rPr>
            </w:pPr>
            <w:r>
              <w:rPr>
                <w:rFonts w:hint="eastAsia" w:ascii="宋体" w:hAnsi="宋体" w:eastAsia="宋体" w:cs="宋体"/>
                <w:kern w:val="0"/>
                <w:sz w:val="21"/>
                <w:szCs w:val="21"/>
                <w:highlight w:val="none"/>
                <w:lang w:val="en-US" w:eastAsia="zh-CN"/>
              </w:rPr>
              <w:t>妇科</w:t>
            </w:r>
            <w:r>
              <w:rPr>
                <w:rFonts w:hint="eastAsia" w:ascii="宋体" w:hAnsi="宋体" w:eastAsia="宋体" w:cs="宋体"/>
                <w:kern w:val="0"/>
                <w:sz w:val="21"/>
                <w:szCs w:val="21"/>
                <w:highlight w:val="none"/>
              </w:rPr>
              <w:t>臭氧治疗仪</w:t>
            </w:r>
          </w:p>
        </w:tc>
        <w:tc>
          <w:tcPr>
            <w:tcW w:w="1033" w:type="dxa"/>
            <w:vAlign w:val="center"/>
          </w:tcPr>
          <w:p>
            <w:pPr>
              <w:spacing w:line="240" w:lineRule="exact"/>
              <w:ind w:firstLine="102" w:firstLineChars="49"/>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台</w:t>
            </w:r>
          </w:p>
        </w:tc>
        <w:tc>
          <w:tcPr>
            <w:tcW w:w="1691" w:type="dxa"/>
            <w:vAlign w:val="center"/>
          </w:tcPr>
          <w:p>
            <w:pPr>
              <w:spacing w:line="240" w:lineRule="exact"/>
              <w:ind w:firstLine="102" w:firstLineChars="49"/>
              <w:jc w:val="center"/>
              <w:rPr>
                <w:rFonts w:hint="default" w:ascii="宋体" w:hAnsi="宋体" w:cs="宋体" w:eastAsiaTheme="minorEastAsia"/>
                <w:kern w:val="0"/>
                <w:sz w:val="21"/>
                <w:szCs w:val="21"/>
                <w:lang w:val="en-US" w:eastAsia="zh-CN"/>
              </w:rPr>
            </w:pPr>
            <w:r>
              <w:rPr>
                <w:rFonts w:hint="eastAsia" w:ascii="宋体" w:hAnsi="宋体" w:eastAsia="宋体" w:cs="宋体"/>
                <w:b w:val="0"/>
                <w:bCs/>
                <w:color w:val="000000" w:themeColor="text1"/>
                <w:kern w:val="2"/>
                <w:sz w:val="21"/>
                <w:szCs w:val="21"/>
                <w:lang w:val="en-US" w:eastAsia="zh-CN"/>
                <w14:textFill>
                  <w14:solidFill>
                    <w14:schemeClr w14:val="tx1"/>
                  </w14:solidFill>
                </w14:textFill>
              </w:rPr>
              <w:t>80000.00</w:t>
            </w:r>
          </w:p>
        </w:tc>
        <w:tc>
          <w:tcPr>
            <w:tcW w:w="1201" w:type="dxa"/>
            <w:vMerge w:val="restart"/>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lang w:val="en-US" w:eastAsia="zh-CN"/>
              </w:rPr>
              <w:t>自筹资金（含财政资金）</w:t>
            </w:r>
          </w:p>
        </w:tc>
        <w:tc>
          <w:tcPr>
            <w:tcW w:w="1091" w:type="dxa"/>
            <w:vMerge w:val="restart"/>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自用</w:t>
            </w:r>
          </w:p>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40" w:type="dxa"/>
            <w:vMerge w:val="restart"/>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具体详见第五部分采购要求</w:t>
            </w:r>
          </w:p>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2</w:t>
            </w:r>
          </w:p>
        </w:tc>
        <w:tc>
          <w:tcPr>
            <w:tcW w:w="286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default" w:asciiTheme="minorEastAsia" w:hAnsiTheme="minorEastAsia" w:cstheme="minorEastAsia"/>
                <w:kern w:val="0"/>
                <w:sz w:val="21"/>
                <w:szCs w:val="21"/>
                <w:highlight w:val="none"/>
                <w:lang w:val="en-US" w:eastAsia="zh-CN"/>
              </w:rPr>
              <w:t>便携高频电灼电离子治疗仪（电凝止血切割）</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eastAsia="zh-CN"/>
              </w:rPr>
              <w:t>台</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5000.00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09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40"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3</w:t>
            </w:r>
          </w:p>
        </w:tc>
        <w:tc>
          <w:tcPr>
            <w:tcW w:w="2867" w:type="dxa"/>
            <w:vAlign w:val="center"/>
          </w:tcPr>
          <w:p>
            <w:pPr>
              <w:widowControl/>
              <w:tabs>
                <w:tab w:val="left" w:pos="1620"/>
              </w:tabs>
              <w:wordWrap w:val="0"/>
              <w:snapToGrid w:val="0"/>
              <w:spacing w:line="360" w:lineRule="auto"/>
              <w:jc w:val="center"/>
              <w:rPr>
                <w:rFonts w:hint="eastAsia" w:asciiTheme="minorEastAsia" w:hAnsi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电脑验光仪</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1套</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130000.00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09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40"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4</w:t>
            </w:r>
          </w:p>
        </w:tc>
        <w:tc>
          <w:tcPr>
            <w:tcW w:w="2867" w:type="dxa"/>
            <w:vAlign w:val="center"/>
          </w:tcPr>
          <w:p>
            <w:pPr>
              <w:widowControl/>
              <w:tabs>
                <w:tab w:val="left" w:pos="1620"/>
              </w:tabs>
              <w:wordWrap w:val="0"/>
              <w:snapToGrid w:val="0"/>
              <w:spacing w:line="360" w:lineRule="auto"/>
              <w:jc w:val="center"/>
              <w:rPr>
                <w:rFonts w:hint="eastAsia" w:asciiTheme="minorEastAsia" w:hAnsi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高端麻醉机</w:t>
            </w:r>
            <w:r>
              <w:rPr>
                <w:rFonts w:hint="eastAsia" w:asciiTheme="minorEastAsia" w:hAnsiTheme="minorEastAsia" w:cstheme="minorEastAsia"/>
                <w:b/>
                <w:bCs/>
                <w:kern w:val="0"/>
                <w:sz w:val="21"/>
                <w:szCs w:val="21"/>
                <w:highlight w:val="none"/>
                <w:lang w:eastAsia="zh-CN"/>
              </w:rPr>
              <w:t>（核心产品）</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1台</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600000.00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09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40"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5</w:t>
            </w:r>
          </w:p>
        </w:tc>
        <w:tc>
          <w:tcPr>
            <w:tcW w:w="2867" w:type="dxa"/>
            <w:vAlign w:val="center"/>
          </w:tcPr>
          <w:p>
            <w:pPr>
              <w:widowControl/>
              <w:tabs>
                <w:tab w:val="left" w:pos="1620"/>
              </w:tabs>
              <w:wordWrap w:val="0"/>
              <w:snapToGrid w:val="0"/>
              <w:spacing w:line="360" w:lineRule="auto"/>
              <w:jc w:val="center"/>
              <w:rPr>
                <w:rFonts w:hint="eastAsia" w:asciiTheme="minorEastAsia" w:hAnsi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皮肤镜图像处理工作站</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1套</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250000.00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09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40"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6</w:t>
            </w:r>
          </w:p>
        </w:tc>
        <w:tc>
          <w:tcPr>
            <w:tcW w:w="2867" w:type="dxa"/>
            <w:vAlign w:val="center"/>
          </w:tcPr>
          <w:p>
            <w:pPr>
              <w:widowControl/>
              <w:tabs>
                <w:tab w:val="left" w:pos="1620"/>
              </w:tabs>
              <w:wordWrap w:val="0"/>
              <w:snapToGrid w:val="0"/>
              <w:spacing w:line="360" w:lineRule="auto"/>
              <w:jc w:val="center"/>
              <w:rPr>
                <w:rFonts w:hint="eastAsia" w:asciiTheme="minorEastAsia" w:hAnsi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无线超声多普勒胎心监测仪</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2台</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120000.00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09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40"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7" w:type="dxa"/>
            <w:vAlign w:val="center"/>
          </w:tcPr>
          <w:p>
            <w:pPr>
              <w:widowControl/>
              <w:tabs>
                <w:tab w:val="left" w:pos="1620"/>
              </w:tabs>
              <w:wordWrap w:val="0"/>
              <w:snapToGrid w:val="0"/>
              <w:spacing w:line="360" w:lineRule="auto"/>
              <w:jc w:val="center"/>
              <w:rPr>
                <w:rFonts w:hint="default"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7</w:t>
            </w:r>
          </w:p>
        </w:tc>
        <w:tc>
          <w:tcPr>
            <w:tcW w:w="2867" w:type="dxa"/>
            <w:vAlign w:val="center"/>
          </w:tcPr>
          <w:p>
            <w:pPr>
              <w:widowControl/>
              <w:tabs>
                <w:tab w:val="left" w:pos="1620"/>
              </w:tabs>
              <w:wordWrap w:val="0"/>
              <w:snapToGrid w:val="0"/>
              <w:spacing w:line="360" w:lineRule="auto"/>
              <w:jc w:val="center"/>
              <w:rPr>
                <w:rFonts w:hint="eastAsia" w:asciiTheme="minorEastAsia" w:hAnsi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下肢康复运动器</w:t>
            </w:r>
          </w:p>
        </w:tc>
        <w:tc>
          <w:tcPr>
            <w:tcW w:w="1033" w:type="dxa"/>
            <w:vAlign w:val="center"/>
          </w:tcPr>
          <w:p>
            <w:pPr>
              <w:spacing w:line="240" w:lineRule="exact"/>
              <w:ind w:firstLine="102" w:firstLineChars="49"/>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1套</w:t>
            </w:r>
          </w:p>
        </w:tc>
        <w:tc>
          <w:tcPr>
            <w:tcW w:w="1691" w:type="dxa"/>
            <w:vAlign w:val="center"/>
          </w:tcPr>
          <w:p>
            <w:pPr>
              <w:spacing w:line="240" w:lineRule="exact"/>
              <w:ind w:firstLine="102" w:firstLineChars="49"/>
              <w:jc w:val="cente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430000.00</w:t>
            </w:r>
          </w:p>
        </w:tc>
        <w:tc>
          <w:tcPr>
            <w:tcW w:w="120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091" w:type="dxa"/>
            <w:vMerge w:val="continue"/>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eastAsia="zh-CN"/>
              </w:rPr>
            </w:pPr>
          </w:p>
        </w:tc>
        <w:tc>
          <w:tcPr>
            <w:tcW w:w="1140" w:type="dxa"/>
            <w:vMerge w:val="continue"/>
            <w:vAlign w:val="center"/>
          </w:tcPr>
          <w:p>
            <w:pPr>
              <w:widowControl/>
              <w:tabs>
                <w:tab w:val="left" w:pos="1620"/>
              </w:tabs>
              <w:wordWrap w:val="0"/>
              <w:snapToGrid w:val="0"/>
              <w:spacing w:line="360" w:lineRule="auto"/>
              <w:jc w:val="center"/>
              <w:rPr>
                <w:rFonts w:hint="eastAsia" w:ascii="宋体" w:hAnsi="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670" w:type="dxa"/>
            <w:gridSpan w:val="7"/>
            <w:vAlign w:val="center"/>
          </w:tcPr>
          <w:p>
            <w:pPr>
              <w:widowControl/>
              <w:tabs>
                <w:tab w:val="left" w:pos="1620"/>
              </w:tabs>
              <w:wordWrap w:val="0"/>
              <w:snapToGrid w:val="0"/>
              <w:spacing w:line="360" w:lineRule="auto"/>
              <w:jc w:val="center"/>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总计：1615000.00元/</w:t>
            </w:r>
            <w:r>
              <w:rPr>
                <w:rFonts w:hint="eastAsia" w:ascii="宋体" w:hAnsi="宋体" w:cs="宋体"/>
                <w:kern w:val="0"/>
                <w:sz w:val="21"/>
                <w:szCs w:val="21"/>
                <w:highlight w:val="none"/>
                <w:lang w:val="en-US" w:eastAsia="zh-CN"/>
              </w:rPr>
              <w:t>最高限价：</w:t>
            </w:r>
            <w:r>
              <w:rPr>
                <w:rFonts w:hint="eastAsia" w:ascii="宋体" w:hAnsi="宋体" w:cs="宋体"/>
                <w:i w:val="0"/>
                <w:color w:val="000000"/>
                <w:kern w:val="0"/>
                <w:sz w:val="21"/>
                <w:szCs w:val="21"/>
                <w:highlight w:val="none"/>
                <w:u w:val="none"/>
                <w:lang w:val="en-US" w:eastAsia="zh-CN" w:bidi="ar"/>
              </w:rPr>
              <w:t>1615000.00元</w:t>
            </w:r>
          </w:p>
        </w:tc>
      </w:tr>
    </w:tbl>
    <w:p>
      <w:pPr>
        <w:numPr>
          <w:ilvl w:val="0"/>
          <w:numId w:val="18"/>
        </w:numPr>
        <w:tabs>
          <w:tab w:val="left" w:pos="1470"/>
        </w:tabs>
        <w:spacing w:line="360" w:lineRule="auto"/>
        <w:ind w:right="57" w:rightChars="27"/>
        <w:rPr>
          <w:rFonts w:hint="eastAsia" w:asciiTheme="minorEastAsia" w:hAnsiTheme="minorEastAsia" w:cstheme="minorEastAsia"/>
          <w:b/>
          <w:sz w:val="24"/>
          <w:szCs w:val="24"/>
        </w:rPr>
      </w:pPr>
      <w:r>
        <w:rPr>
          <w:rFonts w:hint="eastAsia" w:asciiTheme="minorEastAsia" w:hAnsiTheme="minorEastAsia" w:cstheme="minorEastAsia"/>
          <w:b/>
          <w:sz w:val="24"/>
          <w:szCs w:val="24"/>
        </w:rPr>
        <w:t xml:space="preserve">技术要求 </w:t>
      </w:r>
    </w:p>
    <w:bookmarkEnd w:id="87"/>
    <w:p>
      <w:pPr>
        <w:pStyle w:val="4"/>
        <w:bidi w:val="0"/>
        <w:jc w:val="both"/>
        <w:rPr>
          <w:rFonts w:hint="default"/>
          <w:lang w:val="en-US" w:eastAsia="zh-CN"/>
        </w:rPr>
      </w:pPr>
      <w:bookmarkStart w:id="90" w:name="_Toc24641"/>
      <w:r>
        <w:rPr>
          <w:rFonts w:hint="eastAsia"/>
          <w:lang w:val="en-US" w:eastAsia="zh-CN"/>
        </w:rPr>
        <w:t>（一）妇科臭氧治疗仪      数量：1台</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1、性能要求</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一体化设计，双液晶触摸屏显示，内置加热，自动恒温；具备以空气源制造臭氧功能，设备具有臭氧水冲洗、臭氧气和超声波臭氧雾化治疗三合一功能；具有臭氧气治疗和超声波臭氧雾化治疗一键自动切换功能。</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（2）冲洗液可选择手动加水，也可选择自动进水，配备净水装置。冲洗液加热保护采用继电器加可控硅双重控制。储水桶在缺水时，控制面板有报警闪烁和报警蜂鸣响，加温不冲洗，冲洗不加温。</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（3）冲洗部分和治疗部分采用单独的液晶显示屏，可自动记录冲洗及治疗的次数，同时，冲洗部分和治疗部分可单独使用也可以同时使用。</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（4）冲洗系统配有脚踏开关，与控制面板冲洗开关并联控制，冲洗过程无需长按按钮。</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2、技术参数</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（1）臭氧气体浓度：</w:t>
      </w:r>
      <w:r>
        <w:rPr>
          <w:rFonts w:hint="eastAsia" w:ascii="宋体" w:hAnsi="宋体" w:eastAsia="宋体" w:cs="宋体"/>
          <w:bCs/>
          <w:sz w:val="24"/>
          <w:szCs w:val="24"/>
          <w:highlight w:val="none"/>
          <w:lang w:val="en-US" w:eastAsia="zh-CN"/>
        </w:rPr>
        <w:t>可调（0.1~3.6mg/L）</w:t>
      </w:r>
      <w:r>
        <w:rPr>
          <w:rFonts w:hint="eastAsia" w:ascii="宋体" w:hAnsi="宋体" w:eastAsia="宋体" w:cs="宋体"/>
          <w:bCs/>
          <w:sz w:val="24"/>
          <w:szCs w:val="24"/>
          <w:lang w:val="en-US" w:eastAsia="zh-CN"/>
        </w:rPr>
        <w:t>≤3.6mg/L。</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*（2）臭氧水浓度：≥0.75mg/L。</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*（3）臭氧产量：≥800mg/h。</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（4）雾化率：≥12ml/min。</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（5）多功能工作模式：气、雾、水三种工作模式。</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（6）冲洗流量：≥0.5L/min。</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（7）冲洗液加热温度范围：18-40℃可调。</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（8）冲洗出水压力：≥10Kpa。</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（9）治疗定时：5min、10min、15min等多档。</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（10）臭氧雾化治疗和臭氧气体治疗可自动切换。</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*（11）自带尾气回收，消除臭氧残留。</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（12）治疗仪正常工作时臭氧气体泄露量≤0.03mg/m³。</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（13）随机携带耗材需为仪器厂家配套生产的，经过环氧乙烷灭菌的二类无菌医疗耗材。</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（14）医疗器材机箱专用ABS工程塑料，防静电、防辐射。</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（15）提供相关检验报告。 </w:t>
      </w:r>
    </w:p>
    <w:p>
      <w:pPr>
        <w:numPr>
          <w:ilvl w:val="0"/>
          <w:numId w:val="0"/>
        </w:numPr>
        <w:spacing w:line="360" w:lineRule="auto"/>
        <w:ind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pStyle w:val="4"/>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（二）便携高频电灼电离子治疗仪（电凝止血切割）   数量1台</w:t>
      </w:r>
    </w:p>
    <w:p>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1、刀头</w:t>
      </w:r>
    </w:p>
    <w:p>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(1)细针：长：6cm   粗：0.3mm</w:t>
      </w:r>
    </w:p>
    <w:p>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(2)粗短针：长：5cm   粗：1mm</w:t>
      </w:r>
    </w:p>
    <w:p>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(3)绝缘短针：长：9cm   粗：1mm</w:t>
      </w:r>
    </w:p>
    <w:p>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2、主机功率0~100w可调。</w:t>
      </w:r>
    </w:p>
    <w:p>
      <w:pPr>
        <w:numPr>
          <w:ilvl w:val="0"/>
          <w:numId w:val="0"/>
        </w:numPr>
        <w:spacing w:line="360" w:lineRule="auto"/>
        <w:rPr>
          <w:rFonts w:hint="eastAsia" w:ascii="宋体" w:hAnsi="宋体" w:eastAsia="宋体" w:cs="宋体"/>
          <w:bCs/>
          <w:sz w:val="24"/>
          <w:szCs w:val="24"/>
          <w:lang w:val="en-US" w:eastAsia="zh-CN"/>
        </w:rPr>
      </w:pPr>
    </w:p>
    <w:p>
      <w:pPr>
        <w:pStyle w:val="4"/>
        <w:numPr>
          <w:ilvl w:val="0"/>
          <w:numId w:val="19"/>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w:t>
      </w:r>
      <w:r>
        <w:rPr>
          <w:rFonts w:hint="eastAsia" w:ascii="宋体" w:hAnsi="宋体" w:eastAsia="宋体" w:cs="宋体"/>
          <w:sz w:val="24"/>
          <w:szCs w:val="24"/>
          <w:lang w:eastAsia="zh-CN"/>
        </w:rPr>
        <w:t>脑验光仪</w:t>
      </w:r>
      <w:r>
        <w:rPr>
          <w:rFonts w:hint="eastAsia" w:ascii="宋体" w:hAnsi="宋体" w:eastAsia="宋体" w:cs="宋体"/>
          <w:sz w:val="24"/>
          <w:szCs w:val="24"/>
          <w:lang w:val="en-US" w:eastAsia="zh-CN"/>
        </w:rPr>
        <w:t xml:space="preserve">    数量1套 </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验光仪参数</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球镜： -25D～+22D（0.12D/0.25D精度）</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柱镜： 0D～±10D（0.12D/0.25D精度）</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轴向： 0°～180°（1°或5°精度）</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最小瞳孔直径：φ2.0mm</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b/>
          <w:bCs w:val="0"/>
          <w:sz w:val="24"/>
          <w:szCs w:val="24"/>
          <w:lang w:val="en-US"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具有白内障测量模式</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配置：电动升降台，</w:t>
      </w:r>
      <w:r>
        <w:rPr>
          <w:rFonts w:hint="eastAsia" w:ascii="宋体" w:hAnsi="宋体" w:eastAsia="宋体" w:cs="宋体"/>
          <w:sz w:val="24"/>
          <w:szCs w:val="24"/>
          <w:lang w:val="en-US" w:eastAsia="zh-CN"/>
        </w:rPr>
        <w:t>内置</w:t>
      </w:r>
      <w:r>
        <w:rPr>
          <w:rFonts w:hint="eastAsia" w:ascii="宋体" w:hAnsi="宋体" w:eastAsia="宋体" w:cs="宋体"/>
          <w:sz w:val="24"/>
          <w:szCs w:val="24"/>
        </w:rPr>
        <w:t>热敏打印</w:t>
      </w:r>
      <w:r>
        <w:rPr>
          <w:rFonts w:hint="eastAsia" w:ascii="宋体" w:hAnsi="宋体" w:eastAsia="宋体" w:cs="宋体"/>
          <w:sz w:val="24"/>
          <w:szCs w:val="24"/>
          <w:lang w:val="en-US" w:eastAsia="zh-CN"/>
        </w:rPr>
        <w:t>机</w:t>
      </w:r>
      <w:r>
        <w:rPr>
          <w:rFonts w:hint="eastAsia" w:ascii="宋体" w:hAnsi="宋体" w:eastAsia="宋体" w:cs="宋体"/>
          <w:sz w:val="24"/>
          <w:szCs w:val="24"/>
        </w:rPr>
        <w:t>，主机，防尘罩，颌托纸，模拟眼。</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角膜曲率模式</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角膜曲率半径： 5.00mm～10.00mm（0.01mm精度）</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角膜折射率参数： 1.3375</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角膜屈光参数： 67.5D～33.75D（0.12D/0.25D精度）</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角膜散光： 0D～±10D（0.12D/0.25D精度）</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角膜散光轴向： 0°至180°（1°和5°精度）</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其他</w:t>
      </w:r>
    </w:p>
    <w:p>
      <w:pPr>
        <w:spacing w:line="360" w:lineRule="auto"/>
        <w:ind w:firstLine="241" w:firstLineChars="100"/>
        <w:rPr>
          <w:rFonts w:hint="eastAsia" w:ascii="宋体" w:hAnsi="宋体" w:eastAsia="宋体" w:cs="宋体"/>
          <w:sz w:val="24"/>
          <w:szCs w:val="24"/>
        </w:rPr>
      </w:pPr>
      <w:r>
        <w:rPr>
          <w:rFonts w:hint="eastAsia" w:ascii="宋体" w:hAnsi="宋体" w:eastAsia="宋体" w:cs="宋体"/>
          <w:b/>
          <w:bCs w:val="0"/>
          <w:sz w:val="24"/>
          <w:szCs w:val="24"/>
          <w:lang w:val="en-US"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操作方式：≥8英寸触摸屏，具有操纵杆两种操作模式。</w:t>
      </w:r>
    </w:p>
    <w:p>
      <w:pPr>
        <w:spacing w:line="360" w:lineRule="auto"/>
        <w:ind w:firstLine="241" w:firstLineChars="100"/>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w:t>
      </w:r>
      <w:r>
        <w:rPr>
          <w:rFonts w:hint="eastAsia" w:ascii="宋体" w:hAnsi="宋体" w:eastAsia="宋体" w:cs="宋体"/>
          <w:sz w:val="24"/>
          <w:szCs w:val="24"/>
          <w:lang w:val="en-US" w:eastAsia="zh-CN"/>
        </w:rPr>
        <w:t>（2）具有旋转棱镜测量系统。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瞳距测量范围： 20～85mm（0.5 mm精度）</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数据传输方式：USB(输入), RS-232C(输出)，LAN(输出)</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电源：100-240V 交流</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验光镜片箱参数(</w:t>
      </w:r>
      <w:r>
        <w:rPr>
          <w:rFonts w:hint="eastAsia" w:ascii="宋体" w:hAnsi="宋体" w:eastAsia="宋体" w:cs="宋体"/>
          <w:sz w:val="24"/>
          <w:szCs w:val="24"/>
          <w:lang w:eastAsia="zh-CN"/>
        </w:rPr>
        <w:t>数量：</w:t>
      </w:r>
      <w:r>
        <w:rPr>
          <w:rFonts w:hint="eastAsia" w:ascii="宋体" w:hAnsi="宋体" w:eastAsia="宋体" w:cs="宋体"/>
          <w:sz w:val="24"/>
          <w:szCs w:val="24"/>
        </w:rPr>
        <w:t>2</w:t>
      </w:r>
      <w:r>
        <w:rPr>
          <w:rFonts w:hint="eastAsia" w:ascii="宋体" w:hAnsi="宋体" w:eastAsia="宋体" w:cs="宋体"/>
          <w:sz w:val="24"/>
          <w:szCs w:val="24"/>
          <w:lang w:eastAsia="zh-CN"/>
        </w:rPr>
        <w:t>个</w:t>
      </w:r>
      <w:r>
        <w:rPr>
          <w:rFonts w:hint="eastAsia" w:ascii="宋体" w:hAnsi="宋体" w:eastAsia="宋体" w:cs="宋体"/>
          <w:sz w:val="24"/>
          <w:szCs w:val="24"/>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光学玻璃片：</w:t>
      </w:r>
      <w:r>
        <w:rPr>
          <w:rFonts w:hint="eastAsia" w:ascii="宋体" w:hAnsi="宋体" w:eastAsia="宋体" w:cs="宋体"/>
          <w:sz w:val="24"/>
          <w:szCs w:val="24"/>
          <w:lang w:val="en-US" w:eastAsia="zh-CN"/>
        </w:rPr>
        <w:t>≥</w:t>
      </w:r>
      <w:r>
        <w:rPr>
          <w:rFonts w:hint="eastAsia" w:ascii="宋体" w:hAnsi="宋体" w:eastAsia="宋体" w:cs="宋体"/>
          <w:sz w:val="24"/>
          <w:szCs w:val="24"/>
        </w:rPr>
        <w:t>26</w:t>
      </w:r>
      <w:r>
        <w:rPr>
          <w:rFonts w:hint="eastAsia" w:ascii="宋体" w:hAnsi="宋体" w:eastAsia="宋体" w:cs="宋体"/>
          <w:sz w:val="24"/>
          <w:szCs w:val="24"/>
          <w:lang w:val="en-US" w:eastAsia="zh-CN"/>
        </w:rPr>
        <w:t>0</w:t>
      </w:r>
      <w:r>
        <w:rPr>
          <w:rFonts w:hint="eastAsia" w:ascii="宋体" w:hAnsi="宋体" w:eastAsia="宋体" w:cs="宋体"/>
          <w:sz w:val="24"/>
          <w:szCs w:val="24"/>
        </w:rPr>
        <w:t>片，36mm金属圈柄</w:t>
      </w:r>
      <w:r>
        <w:rPr>
          <w:rFonts w:hint="eastAsia" w:ascii="宋体" w:hAnsi="宋体" w:eastAsia="宋体" w:cs="宋体"/>
          <w:sz w:val="24"/>
          <w:szCs w:val="24"/>
          <w:lang w:eastAsia="zh-CN"/>
        </w:rPr>
        <w:t>；</w:t>
      </w:r>
    </w:p>
    <w:p>
      <w:pPr>
        <w:spacing w:line="360" w:lineRule="auto"/>
        <w:ind w:firstLine="120" w:firstLineChars="50"/>
        <w:rPr>
          <w:rFonts w:hint="eastAsia" w:ascii="宋体" w:hAnsi="宋体" w:eastAsia="宋体" w:cs="宋体"/>
          <w:sz w:val="24"/>
          <w:szCs w:val="24"/>
          <w:lang w:eastAsia="zh-CN"/>
        </w:rPr>
      </w:pPr>
      <w:r>
        <w:rPr>
          <w:rFonts w:hint="eastAsia" w:ascii="宋体" w:hAnsi="宋体" w:eastAsia="宋体" w:cs="宋体"/>
          <w:sz w:val="24"/>
          <w:szCs w:val="24"/>
        </w:rPr>
        <w:t>测量范围：0.12-20.0D</w:t>
      </w:r>
      <w:r>
        <w:rPr>
          <w:rFonts w:hint="eastAsia" w:ascii="宋体" w:hAnsi="宋体" w:eastAsia="宋体" w:cs="宋体"/>
          <w:sz w:val="24"/>
          <w:szCs w:val="24"/>
          <w:lang w:eastAsia="zh-CN"/>
        </w:rPr>
        <w:t>。</w:t>
      </w:r>
    </w:p>
    <w:p>
      <w:pPr>
        <w:widowControl/>
        <w:spacing w:line="360" w:lineRule="auto"/>
        <w:rPr>
          <w:rFonts w:hint="eastAsia" w:ascii="宋体" w:hAnsi="宋体" w:eastAsia="宋体" w:cs="宋体"/>
          <w:color w:val="000000"/>
          <w:kern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rPr>
        <w:t>视力表</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标准对数视力表：5米用，超薄LED灯箱</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铝合金外框，含红绿视标，散光视标，Worth四点视标。</w:t>
      </w:r>
    </w:p>
    <w:p>
      <w:pPr>
        <w:spacing w:line="360" w:lineRule="auto"/>
        <w:rPr>
          <w:rFonts w:hint="eastAsia" w:ascii="宋体" w:hAnsi="宋体" w:eastAsia="宋体" w:cs="宋体"/>
          <w:sz w:val="24"/>
          <w:szCs w:val="24"/>
          <w:lang w:val="en-US" w:eastAsia="zh-CN"/>
        </w:rPr>
      </w:pPr>
    </w:p>
    <w:p>
      <w:pPr>
        <w:pStyle w:val="4"/>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（四）高端麻醉机</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（核心产品）   数量：1台</w:t>
      </w:r>
    </w:p>
    <w:p>
      <w:pPr>
        <w:pStyle w:val="18"/>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15英寸彩色触控屏，可多角度旋转，可折叠。</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rPr>
        <w:t>主机具备</w:t>
      </w:r>
      <w:r>
        <w:rPr>
          <w:rFonts w:hint="eastAsia" w:ascii="宋体" w:hAnsi="宋体" w:eastAsia="宋体" w:cs="宋体"/>
          <w:sz w:val="24"/>
          <w:szCs w:val="24"/>
          <w:lang w:val="en-US" w:eastAsia="zh-CN"/>
        </w:rPr>
        <w:t>≥</w:t>
      </w:r>
      <w:r>
        <w:rPr>
          <w:rFonts w:hint="eastAsia" w:ascii="宋体" w:hAnsi="宋体" w:eastAsia="宋体" w:cs="宋体"/>
          <w:sz w:val="24"/>
          <w:szCs w:val="24"/>
        </w:rPr>
        <w:t>3个模块插槽，支持</w:t>
      </w:r>
      <w:r>
        <w:rPr>
          <w:rFonts w:hint="eastAsia" w:ascii="宋体" w:hAnsi="宋体" w:eastAsia="宋体" w:cs="宋体"/>
          <w:sz w:val="24"/>
          <w:szCs w:val="24"/>
          <w:lang w:val="en-US" w:eastAsia="zh-CN"/>
        </w:rPr>
        <w:t>≥</w:t>
      </w:r>
      <w:r>
        <w:rPr>
          <w:rFonts w:hint="eastAsia" w:ascii="宋体" w:hAnsi="宋体" w:eastAsia="宋体" w:cs="宋体"/>
          <w:sz w:val="24"/>
          <w:szCs w:val="24"/>
        </w:rPr>
        <w:t>3个模块同时使用，可与同品牌的插件式监护仪实现模块共享。</w:t>
      </w:r>
      <w:r>
        <w:rPr>
          <w:rFonts w:hint="eastAsia" w:ascii="宋体" w:hAnsi="宋体" w:eastAsia="宋体" w:cs="宋体"/>
          <w:sz w:val="24"/>
          <w:szCs w:val="24"/>
          <w:lang w:eastAsia="zh-CN"/>
        </w:rPr>
        <w:t>配置</w:t>
      </w:r>
      <w:r>
        <w:rPr>
          <w:rFonts w:hint="eastAsia" w:ascii="宋体" w:hAnsi="宋体" w:eastAsia="宋体" w:cs="宋体"/>
          <w:sz w:val="24"/>
          <w:szCs w:val="24"/>
        </w:rPr>
        <w:t>CO</w:t>
      </w:r>
      <w:r>
        <w:rPr>
          <w:rFonts w:hint="eastAsia" w:ascii="宋体" w:hAnsi="宋体" w:eastAsia="宋体" w:cs="宋体"/>
          <w:sz w:val="24"/>
          <w:szCs w:val="24"/>
          <w:vertAlign w:val="subscript"/>
        </w:rPr>
        <w:t>2</w:t>
      </w:r>
      <w:r>
        <w:rPr>
          <w:rFonts w:hint="eastAsia" w:ascii="宋体" w:hAnsi="宋体" w:eastAsia="宋体" w:cs="宋体"/>
          <w:sz w:val="24"/>
          <w:szCs w:val="24"/>
        </w:rPr>
        <w:t>、AG、BIS、O</w:t>
      </w:r>
      <w:r>
        <w:rPr>
          <w:rFonts w:hint="eastAsia" w:ascii="宋体" w:hAnsi="宋体" w:eastAsia="宋体" w:cs="宋体"/>
          <w:sz w:val="24"/>
          <w:szCs w:val="24"/>
          <w:vertAlign w:val="subscript"/>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2IBP监测模块。</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rPr>
        <w:t>氧气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中央供氧</w:t>
      </w:r>
      <w:r>
        <w:rPr>
          <w:rFonts w:hint="eastAsia" w:ascii="宋体" w:hAnsi="宋体" w:eastAsia="宋体" w:cs="宋体"/>
          <w:sz w:val="24"/>
          <w:szCs w:val="24"/>
          <w:lang w:eastAsia="zh-CN"/>
        </w:rPr>
        <w:t>）</w:t>
      </w:r>
      <w:r>
        <w:rPr>
          <w:rFonts w:hint="eastAsia" w:ascii="宋体" w:hAnsi="宋体" w:eastAsia="宋体" w:cs="宋体"/>
          <w:sz w:val="24"/>
          <w:szCs w:val="24"/>
        </w:rPr>
        <w:t>、氧气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瓶供氧</w:t>
      </w:r>
      <w:r>
        <w:rPr>
          <w:rFonts w:hint="eastAsia" w:ascii="宋体" w:hAnsi="宋体" w:eastAsia="宋体" w:cs="宋体"/>
          <w:sz w:val="24"/>
          <w:szCs w:val="24"/>
          <w:lang w:eastAsia="zh-CN"/>
        </w:rPr>
        <w:t>）、</w:t>
      </w:r>
      <w:r>
        <w:rPr>
          <w:rFonts w:hint="eastAsia" w:ascii="宋体" w:hAnsi="宋体" w:eastAsia="宋体" w:cs="宋体"/>
          <w:sz w:val="24"/>
          <w:szCs w:val="24"/>
        </w:rPr>
        <w:t>笑气</w:t>
      </w:r>
      <w:r>
        <w:rPr>
          <w:rFonts w:hint="eastAsia" w:ascii="宋体" w:hAnsi="宋体" w:eastAsia="宋体" w:cs="宋体"/>
          <w:sz w:val="24"/>
          <w:szCs w:val="24"/>
          <w:lang w:eastAsia="zh-CN"/>
        </w:rPr>
        <w:t>、</w:t>
      </w:r>
      <w:r>
        <w:rPr>
          <w:rFonts w:hint="eastAsia" w:ascii="宋体" w:hAnsi="宋体" w:eastAsia="宋体" w:cs="宋体"/>
          <w:sz w:val="24"/>
          <w:szCs w:val="24"/>
        </w:rPr>
        <w:t>空气</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气源，</w:t>
      </w:r>
      <w:r>
        <w:rPr>
          <w:rFonts w:hint="eastAsia" w:ascii="宋体" w:hAnsi="宋体" w:eastAsia="宋体" w:cs="宋体"/>
          <w:sz w:val="24"/>
          <w:szCs w:val="24"/>
        </w:rPr>
        <w:t>可进行非纯氧供气，工作压力为0.28~0.6Mpa。</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rPr>
        <w:t>具备氧气，笑气，空气电子流量计，触屏操作，调节范围：0-15L/min，调节精度为0.01L，适合低微流量麻醉手术。</w:t>
      </w:r>
    </w:p>
    <w:p>
      <w:pPr>
        <w:pStyle w:val="83"/>
        <w:numPr>
          <w:ilvl w:val="0"/>
          <w:numId w:val="20"/>
        </w:numPr>
        <w:spacing w:line="360" w:lineRule="auto"/>
        <w:ind w:left="-210" w:leftChars="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具有新鲜气体流量水平指示功能，可直接设定氧浓度，电子自动混合。氧气与空气混合时，氧浓度设定范围21%</w:t>
      </w:r>
      <w:r>
        <w:rPr>
          <w:rFonts w:hint="eastAsia" w:ascii="宋体" w:hAnsi="宋体" w:eastAsia="宋体" w:cs="宋体"/>
          <w:sz w:val="24"/>
          <w:szCs w:val="24"/>
        </w:rPr>
        <w:t>～</w:t>
      </w:r>
      <w:r>
        <w:rPr>
          <w:rFonts w:hint="eastAsia" w:ascii="宋体" w:hAnsi="宋体" w:eastAsia="宋体" w:cs="宋体"/>
          <w:color w:val="000000"/>
          <w:sz w:val="24"/>
          <w:szCs w:val="24"/>
        </w:rPr>
        <w:t>100%</w:t>
      </w:r>
      <w:r>
        <w:rPr>
          <w:rFonts w:hint="eastAsia" w:ascii="宋体" w:hAnsi="宋体" w:eastAsia="宋体" w:cs="宋体"/>
          <w:color w:val="000000"/>
          <w:sz w:val="24"/>
          <w:szCs w:val="24"/>
          <w:lang w:eastAsia="zh-CN"/>
        </w:rPr>
        <w:t>。</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rPr>
        <w:t>配备备用旋钮式电子流量计</w:t>
      </w:r>
      <w:r>
        <w:rPr>
          <w:rFonts w:hint="eastAsia" w:ascii="宋体" w:hAnsi="宋体" w:eastAsia="宋体" w:cs="宋体"/>
          <w:sz w:val="24"/>
          <w:szCs w:val="24"/>
          <w:lang w:eastAsia="zh-CN"/>
        </w:rPr>
        <w:t>。</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rPr>
        <w:t>通气模式：VCV、PCV、SIMV-VC、SIMV-PC、CPAP/PSV、PRVC、PSVPro、SIMV-PRVC、手动。</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rPr>
        <w:t>控制通气模式下：</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b/>
          <w:bCs w:val="0"/>
          <w:sz w:val="24"/>
          <w:szCs w:val="24"/>
          <w:lang w:val="en-US" w:eastAsia="zh-CN"/>
        </w:rPr>
        <w:t>*</w:t>
      </w:r>
      <w:r>
        <w:rPr>
          <w:rFonts w:hint="eastAsia" w:ascii="宋体" w:hAnsi="宋体" w:eastAsia="宋体" w:cs="宋体"/>
          <w:bCs/>
          <w:sz w:val="24"/>
          <w:szCs w:val="24"/>
          <w:lang w:val="en-US" w:eastAsia="zh-CN"/>
        </w:rPr>
        <w:t>8.1</w:t>
      </w:r>
      <w:r>
        <w:rPr>
          <w:rFonts w:hint="eastAsia" w:ascii="宋体" w:hAnsi="宋体" w:eastAsia="宋体" w:cs="宋体"/>
          <w:sz w:val="24"/>
          <w:szCs w:val="24"/>
        </w:rPr>
        <w:t>VCV模式下潮气量设定范围：15～1500ml。</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b/>
          <w:bCs w:val="0"/>
          <w:sz w:val="24"/>
          <w:szCs w:val="24"/>
          <w:lang w:val="en-US" w:eastAsia="zh-CN"/>
        </w:rPr>
        <w:t>*</w:t>
      </w:r>
      <w:r>
        <w:rPr>
          <w:rFonts w:hint="eastAsia" w:ascii="宋体" w:hAnsi="宋体" w:eastAsia="宋体" w:cs="宋体"/>
          <w:bCs/>
          <w:sz w:val="24"/>
          <w:szCs w:val="24"/>
          <w:lang w:val="en-US" w:eastAsia="zh-CN"/>
        </w:rPr>
        <w:t>8.2</w:t>
      </w:r>
      <w:r>
        <w:rPr>
          <w:rFonts w:hint="eastAsia" w:ascii="宋体" w:hAnsi="宋体" w:eastAsia="宋体" w:cs="宋体"/>
          <w:sz w:val="24"/>
          <w:szCs w:val="24"/>
        </w:rPr>
        <w:t>PCV模式下潮气量控制范围：5～1500ml。</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8.3</w:t>
      </w:r>
      <w:r>
        <w:rPr>
          <w:rFonts w:hint="eastAsia" w:ascii="宋体" w:hAnsi="宋体" w:eastAsia="宋体" w:cs="宋体"/>
          <w:sz w:val="24"/>
          <w:szCs w:val="24"/>
        </w:rPr>
        <w:t>吸呼比设定范围：4:1～1:10。</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bCs/>
          <w:sz w:val="24"/>
          <w:szCs w:val="24"/>
          <w:lang w:val="en-US" w:eastAsia="zh-CN"/>
        </w:rPr>
        <w:t>8.4</w:t>
      </w:r>
      <w:r>
        <w:rPr>
          <w:rFonts w:hint="eastAsia" w:ascii="宋体" w:hAnsi="宋体" w:eastAsia="宋体" w:cs="宋体"/>
          <w:sz w:val="24"/>
          <w:szCs w:val="24"/>
        </w:rPr>
        <w:t>吸气暂停设定范围：</w:t>
      </w:r>
      <w:r>
        <w:rPr>
          <w:rFonts w:hint="eastAsia" w:ascii="宋体" w:hAnsi="宋体" w:eastAsia="宋体" w:cs="宋体"/>
          <w:sz w:val="24"/>
          <w:szCs w:val="24"/>
          <w:lang w:val="en-US" w:eastAsia="zh-CN"/>
        </w:rPr>
        <w:t>关闭</w:t>
      </w:r>
      <w:r>
        <w:rPr>
          <w:rFonts w:hint="eastAsia" w:ascii="宋体" w:hAnsi="宋体" w:eastAsia="宋体" w:cs="宋体"/>
          <w:sz w:val="24"/>
          <w:szCs w:val="24"/>
          <w:lang w:eastAsia="zh-CN"/>
        </w:rPr>
        <w:t>，</w:t>
      </w:r>
      <w:r>
        <w:rPr>
          <w:rFonts w:hint="eastAsia" w:ascii="宋体" w:hAnsi="宋体" w:eastAsia="宋体" w:cs="宋体"/>
          <w:sz w:val="24"/>
          <w:szCs w:val="24"/>
        </w:rPr>
        <w:t>5%~60%。</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rPr>
        <w:t>潮气量控制系统：</w:t>
      </w:r>
    </w:p>
    <w:p>
      <w:pPr>
        <w:pStyle w:val="42"/>
        <w:autoSpaceDE w:val="0"/>
        <w:autoSpaceDN w:val="0"/>
        <w:adjustRightInd w:val="0"/>
        <w:spacing w:line="360" w:lineRule="auto"/>
        <w:ind w:left="424" w:leftChars="202" w:firstLine="0" w:firstLineChars="0"/>
        <w:jc w:val="left"/>
        <w:rPr>
          <w:rFonts w:hint="eastAsia" w:ascii="宋体" w:hAnsi="宋体" w:eastAsia="宋体" w:cs="宋体"/>
          <w:sz w:val="24"/>
          <w:szCs w:val="24"/>
        </w:rPr>
      </w:pPr>
      <w:r>
        <w:rPr>
          <w:rFonts w:hint="eastAsia" w:ascii="宋体" w:hAnsi="宋体" w:eastAsia="宋体" w:cs="宋体"/>
          <w:sz w:val="24"/>
          <w:szCs w:val="24"/>
        </w:rPr>
        <w:t>潮气量在15 mL～60 mL范围内：±10 mL；</w:t>
      </w:r>
    </w:p>
    <w:p>
      <w:pPr>
        <w:pStyle w:val="42"/>
        <w:autoSpaceDE w:val="0"/>
        <w:autoSpaceDN w:val="0"/>
        <w:adjustRightInd w:val="0"/>
        <w:spacing w:line="360" w:lineRule="auto"/>
        <w:ind w:left="424" w:leftChars="202" w:firstLine="0" w:firstLineChars="0"/>
        <w:jc w:val="left"/>
        <w:rPr>
          <w:rFonts w:hint="eastAsia" w:ascii="宋体" w:hAnsi="宋体" w:eastAsia="宋体" w:cs="宋体"/>
          <w:sz w:val="24"/>
          <w:szCs w:val="24"/>
        </w:rPr>
      </w:pPr>
      <w:r>
        <w:rPr>
          <w:rFonts w:hint="eastAsia" w:ascii="宋体" w:hAnsi="宋体" w:eastAsia="宋体" w:cs="宋体"/>
          <w:sz w:val="24"/>
          <w:szCs w:val="24"/>
        </w:rPr>
        <w:t>潮气量在210 mL～1500 mL范围内（不包括210 mL）：设置值的±7%。</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rPr>
        <w:t>同步和支持通气模式下：</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10.1</w:t>
      </w:r>
      <w:r>
        <w:rPr>
          <w:rFonts w:hint="eastAsia" w:ascii="宋体" w:hAnsi="宋体" w:eastAsia="宋体" w:cs="宋体"/>
          <w:sz w:val="24"/>
          <w:szCs w:val="24"/>
        </w:rPr>
        <w:t>触发窗设定范围：</w:t>
      </w:r>
      <w:r>
        <w:rPr>
          <w:rFonts w:hint="eastAsia" w:ascii="宋体" w:hAnsi="宋体" w:eastAsia="宋体" w:cs="宋体"/>
          <w:color w:val="000000"/>
          <w:sz w:val="24"/>
          <w:szCs w:val="24"/>
          <w:lang w:val="zh-CN"/>
        </w:rPr>
        <w:t>5%～90%</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rPr>
        <w:t>10.2</w:t>
      </w:r>
      <w:r>
        <w:rPr>
          <w:rFonts w:hint="eastAsia" w:ascii="宋体" w:hAnsi="宋体" w:eastAsia="宋体" w:cs="宋体"/>
          <w:color w:val="000000"/>
          <w:sz w:val="24"/>
          <w:szCs w:val="24"/>
          <w:lang w:val="zh-CN"/>
        </w:rPr>
        <w:t>吸气时间</w:t>
      </w:r>
      <w:r>
        <w:rPr>
          <w:rFonts w:hint="eastAsia" w:ascii="宋体" w:hAnsi="宋体" w:eastAsia="宋体" w:cs="宋体"/>
          <w:sz w:val="24"/>
          <w:szCs w:val="24"/>
        </w:rPr>
        <w:t>设定范围：</w:t>
      </w:r>
      <w:r>
        <w:rPr>
          <w:rFonts w:hint="eastAsia" w:ascii="宋体" w:hAnsi="宋体" w:eastAsia="宋体" w:cs="宋体"/>
          <w:color w:val="000000"/>
          <w:sz w:val="24"/>
          <w:szCs w:val="24"/>
          <w:lang w:val="zh-CN"/>
        </w:rPr>
        <w:t>0.2</w:t>
      </w:r>
      <w:r>
        <w:rPr>
          <w:rFonts w:hint="eastAsia" w:ascii="宋体" w:hAnsi="宋体" w:eastAsia="宋体" w:cs="宋体"/>
          <w:sz w:val="24"/>
          <w:szCs w:val="24"/>
        </w:rPr>
        <w:t>～</w:t>
      </w:r>
      <w:r>
        <w:rPr>
          <w:rFonts w:hint="eastAsia" w:ascii="宋体" w:hAnsi="宋体" w:eastAsia="宋体" w:cs="宋体"/>
          <w:color w:val="000000"/>
          <w:sz w:val="24"/>
          <w:szCs w:val="24"/>
          <w:lang w:val="zh-CN"/>
        </w:rPr>
        <w:t>0.5s</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10.3</w:t>
      </w:r>
      <w:r>
        <w:rPr>
          <w:rFonts w:hint="eastAsia" w:ascii="宋体" w:hAnsi="宋体" w:eastAsia="宋体" w:cs="宋体"/>
          <w:sz w:val="24"/>
          <w:szCs w:val="24"/>
        </w:rPr>
        <w:t>吸气触发设定范围：流量触发1</w:t>
      </w:r>
      <w:r>
        <w:rPr>
          <w:rFonts w:hint="eastAsia" w:ascii="宋体" w:hAnsi="宋体" w:eastAsia="宋体" w:cs="宋体"/>
          <w:color w:val="000000"/>
          <w:sz w:val="24"/>
          <w:szCs w:val="24"/>
          <w:lang w:val="zh-CN"/>
        </w:rPr>
        <w:t>～</w:t>
      </w:r>
      <w:r>
        <w:rPr>
          <w:rFonts w:hint="eastAsia" w:ascii="宋体" w:hAnsi="宋体" w:eastAsia="宋体" w:cs="宋体"/>
          <w:sz w:val="24"/>
          <w:szCs w:val="24"/>
        </w:rPr>
        <w:t>15L/min，压力触发-20</w:t>
      </w:r>
      <w:r>
        <w:rPr>
          <w:rFonts w:hint="eastAsia" w:ascii="宋体" w:hAnsi="宋体" w:eastAsia="宋体" w:cs="宋体"/>
          <w:color w:val="000000"/>
          <w:sz w:val="24"/>
          <w:szCs w:val="24"/>
          <w:lang w:val="zh-CN"/>
        </w:rPr>
        <w:t>～-</w:t>
      </w:r>
      <w:r>
        <w:rPr>
          <w:rFonts w:hint="eastAsia" w:ascii="宋体" w:hAnsi="宋体" w:eastAsia="宋体" w:cs="宋体"/>
          <w:sz w:val="24"/>
          <w:szCs w:val="24"/>
        </w:rPr>
        <w:t>1cmH</w:t>
      </w:r>
      <w:r>
        <w:rPr>
          <w:rFonts w:hint="eastAsia" w:ascii="宋体" w:hAnsi="宋体" w:eastAsia="宋体" w:cs="宋体"/>
          <w:sz w:val="24"/>
          <w:szCs w:val="24"/>
          <w:vertAlign w:val="subscript"/>
        </w:rPr>
        <w:t>2</w:t>
      </w:r>
      <w:r>
        <w:rPr>
          <w:rFonts w:hint="eastAsia" w:ascii="宋体" w:hAnsi="宋体" w:eastAsia="宋体" w:cs="宋体"/>
          <w:sz w:val="24"/>
          <w:szCs w:val="24"/>
        </w:rPr>
        <w:t>O。</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10.4</w:t>
      </w:r>
      <w:r>
        <w:rPr>
          <w:rFonts w:hint="eastAsia" w:ascii="宋体" w:hAnsi="宋体" w:eastAsia="宋体" w:cs="宋体"/>
          <w:sz w:val="24"/>
          <w:szCs w:val="24"/>
        </w:rPr>
        <w:t>支持压力设定范围：3～60 cmH</w:t>
      </w:r>
      <w:r>
        <w:rPr>
          <w:rFonts w:hint="eastAsia" w:ascii="宋体" w:hAnsi="宋体" w:eastAsia="宋体" w:cs="宋体"/>
          <w:sz w:val="24"/>
          <w:szCs w:val="24"/>
          <w:vertAlign w:val="subscript"/>
        </w:rPr>
        <w:t>2</w:t>
      </w:r>
      <w:r>
        <w:rPr>
          <w:rFonts w:hint="eastAsia" w:ascii="宋体" w:hAnsi="宋体" w:eastAsia="宋体" w:cs="宋体"/>
          <w:sz w:val="24"/>
          <w:szCs w:val="24"/>
        </w:rPr>
        <w:t>O</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rPr>
        <w:t>重点参数监测范围：</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分钟通气量监测范围：0～100L/min</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11.2</w:t>
      </w:r>
      <w:r>
        <w:rPr>
          <w:rFonts w:hint="eastAsia" w:ascii="宋体" w:hAnsi="宋体" w:eastAsia="宋体" w:cs="宋体"/>
          <w:sz w:val="24"/>
          <w:szCs w:val="24"/>
        </w:rPr>
        <w:t>吸气和呼气潮气量监测范围：0～3000ml</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b/>
          <w:bCs w:val="0"/>
          <w:sz w:val="24"/>
          <w:szCs w:val="24"/>
          <w:lang w:val="en-US" w:eastAsia="zh-CN"/>
        </w:rPr>
        <w:t>*</w:t>
      </w:r>
      <w:r>
        <w:rPr>
          <w:rFonts w:hint="eastAsia" w:ascii="宋体" w:hAnsi="宋体" w:eastAsia="宋体" w:cs="宋体"/>
          <w:bCs/>
          <w:sz w:val="24"/>
          <w:szCs w:val="24"/>
          <w:lang w:val="en-US" w:eastAsia="zh-CN"/>
        </w:rPr>
        <w:t>11.3</w:t>
      </w:r>
      <w:r>
        <w:rPr>
          <w:rFonts w:hint="eastAsia" w:ascii="宋体" w:hAnsi="宋体" w:eastAsia="宋体" w:cs="宋体"/>
          <w:sz w:val="24"/>
          <w:szCs w:val="24"/>
        </w:rPr>
        <w:t>顺应性监测范围：0～300mL/cmH</w:t>
      </w:r>
      <w:r>
        <w:rPr>
          <w:rFonts w:hint="eastAsia" w:ascii="宋体" w:hAnsi="宋体" w:eastAsia="宋体" w:cs="宋体"/>
          <w:sz w:val="24"/>
          <w:szCs w:val="24"/>
          <w:vertAlign w:val="subscript"/>
        </w:rPr>
        <w:t>2</w:t>
      </w:r>
      <w:r>
        <w:rPr>
          <w:rFonts w:hint="eastAsia" w:ascii="宋体" w:hAnsi="宋体" w:eastAsia="宋体" w:cs="宋体"/>
          <w:sz w:val="24"/>
          <w:szCs w:val="24"/>
        </w:rPr>
        <w:t>O</w:t>
      </w:r>
    </w:p>
    <w:p>
      <w:pPr>
        <w:pStyle w:val="42"/>
        <w:numPr>
          <w:ilvl w:val="0"/>
          <w:numId w:val="0"/>
        </w:numPr>
        <w:autoSpaceDE w:val="0"/>
        <w:autoSpaceDN w:val="0"/>
        <w:adjustRightInd w:val="0"/>
        <w:spacing w:line="360" w:lineRule="auto"/>
        <w:ind w:left="431"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11.4</w:t>
      </w:r>
      <w:r>
        <w:rPr>
          <w:rFonts w:hint="eastAsia" w:ascii="宋体" w:hAnsi="宋体" w:eastAsia="宋体" w:cs="宋体"/>
          <w:sz w:val="24"/>
          <w:szCs w:val="24"/>
        </w:rPr>
        <w:t>气阻监测范围：0～600 cmH</w:t>
      </w:r>
      <w:r>
        <w:rPr>
          <w:rFonts w:hint="eastAsia" w:ascii="宋体" w:hAnsi="宋体" w:eastAsia="宋体" w:cs="宋体"/>
          <w:sz w:val="24"/>
          <w:szCs w:val="24"/>
          <w:vertAlign w:val="subscript"/>
        </w:rPr>
        <w:t>2</w:t>
      </w:r>
      <w:r>
        <w:rPr>
          <w:rFonts w:hint="eastAsia" w:ascii="宋体" w:hAnsi="宋体" w:eastAsia="宋体" w:cs="宋体"/>
          <w:sz w:val="24"/>
          <w:szCs w:val="24"/>
        </w:rPr>
        <w:t>O/(s/L)</w:t>
      </w:r>
    </w:p>
    <w:p>
      <w:pPr>
        <w:pStyle w:val="42"/>
        <w:numPr>
          <w:ilvl w:val="0"/>
          <w:numId w:val="20"/>
        </w:numPr>
        <w:spacing w:line="360" w:lineRule="auto"/>
        <w:ind w:left="-210" w:leftChars="0" w:firstLineChars="0"/>
        <w:rPr>
          <w:rFonts w:hint="eastAsia" w:ascii="宋体" w:hAnsi="宋体" w:eastAsia="宋体" w:cs="宋体"/>
          <w:sz w:val="24"/>
          <w:szCs w:val="24"/>
        </w:rPr>
      </w:pPr>
      <w:r>
        <w:rPr>
          <w:rFonts w:hint="eastAsia" w:ascii="宋体" w:hAnsi="宋体" w:eastAsia="宋体" w:cs="宋体"/>
          <w:sz w:val="24"/>
          <w:szCs w:val="24"/>
        </w:rPr>
        <w:t>其他监测参数：呼吸频率、峰压、平均压、平台压、呼末正压、吸入和呼出氧浓度、吸呼比、吸入和呼末CO</w:t>
      </w:r>
      <w:r>
        <w:rPr>
          <w:rFonts w:hint="eastAsia" w:ascii="宋体" w:hAnsi="宋体" w:eastAsia="宋体" w:cs="宋体"/>
          <w:sz w:val="24"/>
          <w:szCs w:val="24"/>
          <w:vertAlign w:val="subscript"/>
        </w:rPr>
        <w:t>2</w:t>
      </w:r>
      <w:r>
        <w:rPr>
          <w:rFonts w:hint="eastAsia" w:ascii="宋体" w:hAnsi="宋体" w:eastAsia="宋体" w:cs="宋体"/>
          <w:sz w:val="24"/>
          <w:szCs w:val="24"/>
        </w:rPr>
        <w:t>浓度、吸入和呼末麻醉气体浓度、麻醉深度监测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双有创血压</w:t>
      </w:r>
      <w:r>
        <w:rPr>
          <w:rFonts w:hint="eastAsia" w:ascii="宋体" w:hAnsi="宋体" w:eastAsia="宋体" w:cs="宋体"/>
          <w:sz w:val="24"/>
          <w:szCs w:val="24"/>
        </w:rPr>
        <w:t>等。</w:t>
      </w:r>
    </w:p>
    <w:p>
      <w:pPr>
        <w:pStyle w:val="42"/>
        <w:numPr>
          <w:ilvl w:val="0"/>
          <w:numId w:val="0"/>
        </w:numPr>
        <w:spacing w:line="360" w:lineRule="auto"/>
        <w:ind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eastAsia="宋体" w:cs="宋体"/>
          <w:sz w:val="24"/>
          <w:szCs w:val="24"/>
        </w:rPr>
        <w:t>呼吸力学监测：压力波形、流速波形、容量波形、CO2波形、EEG波形，能够5道波形同屏显示。</w:t>
      </w:r>
    </w:p>
    <w:p>
      <w:pPr>
        <w:pStyle w:val="42"/>
        <w:numPr>
          <w:ilvl w:val="0"/>
          <w:numId w:val="0"/>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rPr>
        <w:t>压力-容积环、压力-流速环、流速-容积环，环图分析功能，可标记参考环，并提供参考环相关呼吸力学参数。</w:t>
      </w:r>
    </w:p>
    <w:p>
      <w:pPr>
        <w:pStyle w:val="42"/>
        <w:numPr>
          <w:ilvl w:val="0"/>
          <w:numId w:val="0"/>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w:t>
      </w:r>
      <w:r>
        <w:rPr>
          <w:rFonts w:hint="eastAsia" w:ascii="宋体" w:hAnsi="宋体" w:eastAsia="宋体" w:cs="宋体"/>
          <w:sz w:val="24"/>
          <w:szCs w:val="24"/>
        </w:rPr>
        <w:t>呼吸回路的进气端和出气端均位于麻醉机正前方</w:t>
      </w:r>
      <w:r>
        <w:rPr>
          <w:rFonts w:hint="eastAsia" w:ascii="宋体" w:hAnsi="宋体" w:eastAsia="宋体" w:cs="宋体"/>
          <w:sz w:val="24"/>
          <w:szCs w:val="24"/>
          <w:lang w:val="en-US" w:eastAsia="zh-CN"/>
        </w:rPr>
        <w:t>或侧方</w:t>
      </w:r>
      <w:r>
        <w:rPr>
          <w:rFonts w:hint="eastAsia" w:ascii="宋体" w:hAnsi="宋体" w:eastAsia="宋体" w:cs="宋体"/>
          <w:sz w:val="24"/>
          <w:szCs w:val="24"/>
          <w:lang w:eastAsia="zh-CN"/>
        </w:rPr>
        <w:t>。</w:t>
      </w:r>
    </w:p>
    <w:p>
      <w:pPr>
        <w:pStyle w:val="42"/>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w:t>
      </w:r>
      <w:r>
        <w:rPr>
          <w:rFonts w:hint="eastAsia" w:ascii="宋体" w:hAnsi="宋体" w:eastAsia="宋体" w:cs="宋体"/>
          <w:sz w:val="24"/>
          <w:szCs w:val="24"/>
        </w:rPr>
        <w:t>一体化回路采用PPSU材料制作，回路整体可</w:t>
      </w:r>
      <w:r>
        <w:rPr>
          <w:rFonts w:hint="eastAsia" w:ascii="宋体" w:hAnsi="宋体" w:eastAsia="宋体" w:cs="宋体"/>
          <w:sz w:val="24"/>
          <w:szCs w:val="24"/>
          <w:lang w:val="en-US" w:eastAsia="zh-CN"/>
        </w:rPr>
        <w:t>≥</w:t>
      </w:r>
      <w:r>
        <w:rPr>
          <w:rFonts w:hint="eastAsia" w:ascii="宋体" w:hAnsi="宋体" w:eastAsia="宋体" w:cs="宋体"/>
          <w:sz w:val="24"/>
          <w:szCs w:val="24"/>
        </w:rPr>
        <w:t>134℃高温高压消毒</w:t>
      </w:r>
      <w:r>
        <w:rPr>
          <w:rFonts w:hint="eastAsia" w:ascii="宋体" w:hAnsi="宋体" w:eastAsia="宋体" w:cs="宋体"/>
          <w:sz w:val="24"/>
          <w:szCs w:val="24"/>
          <w:lang w:eastAsia="zh-CN"/>
        </w:rPr>
        <w:t>。</w:t>
      </w:r>
    </w:p>
    <w:p>
      <w:pPr>
        <w:pStyle w:val="42"/>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w:t>
      </w:r>
      <w:r>
        <w:rPr>
          <w:rFonts w:hint="eastAsia" w:ascii="宋体" w:hAnsi="宋体" w:eastAsia="宋体" w:cs="宋体"/>
          <w:sz w:val="24"/>
          <w:szCs w:val="24"/>
        </w:rPr>
        <w:t>有外部气体出口ACGO，辅助气路开关与辅助气路盖一体化设计，气路盖采用旋转卡扣式设计，能外接Bain回路、T管回路等。</w:t>
      </w:r>
    </w:p>
    <w:p>
      <w:pPr>
        <w:pStyle w:val="4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18</w:t>
      </w:r>
      <w:r>
        <w:rPr>
          <w:rFonts w:hint="eastAsia" w:ascii="宋体" w:hAnsi="宋体" w:eastAsia="宋体" w:cs="宋体"/>
          <w:sz w:val="24"/>
          <w:szCs w:val="24"/>
          <w:lang w:eastAsia="zh-CN"/>
        </w:rPr>
        <w:t>）</w:t>
      </w:r>
      <w:r>
        <w:rPr>
          <w:rFonts w:hint="eastAsia" w:ascii="宋体" w:hAnsi="宋体" w:eastAsia="宋体" w:cs="宋体"/>
          <w:sz w:val="24"/>
          <w:szCs w:val="24"/>
        </w:rPr>
        <w:t>具有辅助氧空供氧功能，可提供非纯氧供氧。氧浓度可调节。</w:t>
      </w:r>
    </w:p>
    <w:p>
      <w:pPr>
        <w:pStyle w:val="4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（19）具有智能化</w:t>
      </w:r>
      <w:r>
        <w:rPr>
          <w:rFonts w:hint="eastAsia" w:ascii="宋体" w:hAnsi="宋体" w:eastAsia="宋体" w:cs="宋体"/>
          <w:sz w:val="24"/>
          <w:szCs w:val="24"/>
        </w:rPr>
        <w:t>旁路功能</w:t>
      </w:r>
      <w:r>
        <w:rPr>
          <w:rFonts w:hint="eastAsia" w:ascii="宋体" w:hAnsi="宋体" w:eastAsia="宋体" w:cs="宋体"/>
          <w:sz w:val="24"/>
          <w:szCs w:val="24"/>
          <w:lang w:eastAsia="zh-CN"/>
        </w:rPr>
        <w:t>。</w:t>
      </w:r>
    </w:p>
    <w:p>
      <w:pPr>
        <w:pStyle w:val="4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（20）具有</w:t>
      </w:r>
      <w:r>
        <w:rPr>
          <w:rFonts w:hint="eastAsia" w:ascii="宋体" w:hAnsi="宋体" w:eastAsia="宋体" w:cs="宋体"/>
          <w:sz w:val="24"/>
          <w:szCs w:val="24"/>
        </w:rPr>
        <w:t>回路加热功能</w:t>
      </w:r>
      <w:r>
        <w:rPr>
          <w:rFonts w:hint="eastAsia" w:ascii="宋体" w:hAnsi="宋体" w:eastAsia="宋体" w:cs="宋体"/>
          <w:sz w:val="24"/>
          <w:szCs w:val="24"/>
          <w:lang w:eastAsia="zh-CN"/>
        </w:rPr>
        <w:t>。</w:t>
      </w:r>
    </w:p>
    <w:p>
      <w:pPr>
        <w:pStyle w:val="42"/>
        <w:numPr>
          <w:ilvl w:val="0"/>
          <w:numId w:val="0"/>
        </w:numPr>
        <w:spacing w:line="360" w:lineRule="auto"/>
        <w:ind w:firstLine="241" w:firstLineChars="100"/>
        <w:rPr>
          <w:rFonts w:hint="eastAsia" w:ascii="宋体" w:hAnsi="宋体" w:eastAsia="宋体" w:cs="宋体"/>
          <w:sz w:val="24"/>
          <w:szCs w:val="24"/>
        </w:rPr>
      </w:pPr>
      <w:r>
        <w:rPr>
          <w:rFonts w:hint="eastAsia" w:ascii="宋体" w:hAnsi="宋体" w:eastAsia="宋体" w:cs="宋体"/>
          <w:b/>
          <w:bCs w:val="0"/>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w:t>
      </w:r>
      <w:r>
        <w:rPr>
          <w:rFonts w:hint="eastAsia" w:ascii="宋体" w:hAnsi="宋体" w:eastAsia="宋体" w:cs="宋体"/>
          <w:sz w:val="24"/>
          <w:szCs w:val="24"/>
        </w:rPr>
        <w:t>回路泄漏量</w:t>
      </w:r>
      <w:r>
        <w:rPr>
          <w:rFonts w:hint="eastAsia" w:ascii="宋体" w:hAnsi="宋体" w:eastAsia="宋体" w:cs="宋体"/>
          <w:sz w:val="24"/>
          <w:szCs w:val="24"/>
          <w:lang w:val="en-US" w:eastAsia="zh-CN"/>
        </w:rPr>
        <w:t>≤</w:t>
      </w:r>
      <w:r>
        <w:rPr>
          <w:rFonts w:hint="eastAsia" w:ascii="宋体" w:hAnsi="宋体" w:eastAsia="宋体" w:cs="宋体"/>
          <w:sz w:val="24"/>
          <w:szCs w:val="24"/>
        </w:rPr>
        <w:t>65ml/min。</w:t>
      </w:r>
    </w:p>
    <w:p>
      <w:pPr>
        <w:pStyle w:val="42"/>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蒸发罐具有温度、压力、流量补偿功能。</w:t>
      </w:r>
    </w:p>
    <w:p>
      <w:pPr>
        <w:pStyle w:val="4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w:t>
      </w:r>
      <w:r>
        <w:rPr>
          <w:rFonts w:hint="eastAsia" w:ascii="宋体" w:hAnsi="宋体" w:eastAsia="宋体" w:cs="宋体"/>
          <w:sz w:val="24"/>
          <w:szCs w:val="24"/>
        </w:rPr>
        <w:t>可软件选择驱动气体为氧气或空气。</w:t>
      </w:r>
    </w:p>
    <w:p>
      <w:pPr>
        <w:pStyle w:val="4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w:t>
      </w:r>
      <w:r>
        <w:rPr>
          <w:rFonts w:hint="eastAsia" w:ascii="宋体" w:hAnsi="宋体" w:eastAsia="宋体" w:cs="宋体"/>
          <w:sz w:val="24"/>
          <w:szCs w:val="24"/>
        </w:rPr>
        <w:t>具有内置式负压排痰装置，可通过氧气气源产生负压系列进行吸痰。具有关、满压、手动调节三档可调。</w:t>
      </w:r>
    </w:p>
    <w:p>
      <w:pPr>
        <w:pStyle w:val="4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w:t>
      </w:r>
      <w:r>
        <w:rPr>
          <w:rFonts w:hint="eastAsia" w:ascii="宋体" w:hAnsi="宋体" w:eastAsia="宋体" w:cs="宋体"/>
          <w:sz w:val="24"/>
          <w:szCs w:val="24"/>
        </w:rPr>
        <w:t>报警</w:t>
      </w:r>
      <w:r>
        <w:rPr>
          <w:rFonts w:hint="eastAsia" w:ascii="宋体" w:hAnsi="宋体" w:eastAsia="宋体" w:cs="宋体"/>
          <w:sz w:val="24"/>
          <w:szCs w:val="24"/>
          <w:lang w:val="en-US" w:eastAsia="zh-CN"/>
        </w:rPr>
        <w:t>功</w:t>
      </w:r>
      <w:r>
        <w:rPr>
          <w:rFonts w:hint="eastAsia" w:ascii="宋体" w:hAnsi="宋体" w:eastAsia="宋体" w:cs="宋体"/>
          <w:sz w:val="24"/>
          <w:szCs w:val="24"/>
        </w:rPr>
        <w:t>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具备窒息、窒息≥2min报警、持续气道压力高、压力受限报警、负压报警、气道压力上下限报警、吸入和呼出潮气量上下限报警、分钟通气量上下限报警、吸入和呼出氧浓度上下限报警、吸入和呼末CO</w:t>
      </w:r>
      <w:r>
        <w:rPr>
          <w:rFonts w:hint="eastAsia" w:ascii="宋体" w:hAnsi="宋体" w:eastAsia="宋体" w:cs="宋体"/>
          <w:sz w:val="24"/>
          <w:szCs w:val="24"/>
          <w:vertAlign w:val="subscript"/>
        </w:rPr>
        <w:t>2</w:t>
      </w:r>
      <w:r>
        <w:rPr>
          <w:rFonts w:hint="eastAsia" w:ascii="宋体" w:hAnsi="宋体" w:eastAsia="宋体" w:cs="宋体"/>
          <w:sz w:val="24"/>
          <w:szCs w:val="24"/>
        </w:rPr>
        <w:t>浓度上下限报警、吸入和呼末N</w:t>
      </w:r>
      <w:r>
        <w:rPr>
          <w:rFonts w:hint="eastAsia" w:ascii="宋体" w:hAnsi="宋体" w:eastAsia="宋体" w:cs="宋体"/>
          <w:sz w:val="24"/>
          <w:szCs w:val="24"/>
          <w:vertAlign w:val="subscript"/>
        </w:rPr>
        <w:t>2</w:t>
      </w:r>
      <w:r>
        <w:rPr>
          <w:rFonts w:hint="eastAsia" w:ascii="宋体" w:hAnsi="宋体" w:eastAsia="宋体" w:cs="宋体"/>
          <w:sz w:val="24"/>
          <w:szCs w:val="24"/>
        </w:rPr>
        <w:t>O浓度上下限报警、吸入和呼末麻醉气体浓度上下限报警、</w:t>
      </w:r>
      <w:r>
        <w:rPr>
          <w:rFonts w:hint="eastAsia" w:ascii="宋体" w:hAnsi="宋体" w:eastAsia="宋体" w:cs="宋体"/>
          <w:kern w:val="0"/>
          <w:sz w:val="24"/>
          <w:szCs w:val="24"/>
        </w:rPr>
        <w:t>BIS信号质量弱</w:t>
      </w:r>
      <w:r>
        <w:rPr>
          <w:rFonts w:hint="eastAsia" w:ascii="宋体" w:hAnsi="宋体" w:eastAsia="宋体" w:cs="宋体"/>
          <w:sz w:val="24"/>
          <w:szCs w:val="24"/>
        </w:rPr>
        <w:t>等生理报警功能。</w:t>
      </w:r>
    </w:p>
    <w:p>
      <w:pPr>
        <w:pStyle w:val="18"/>
        <w:numPr>
          <w:ilvl w:val="0"/>
          <w:numId w:val="0"/>
        </w:numPr>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2、配置要求</w:t>
      </w:r>
    </w:p>
    <w:p>
      <w:pPr>
        <w:pStyle w:val="18"/>
        <w:numPr>
          <w:ilvl w:val="0"/>
          <w:numId w:val="0"/>
        </w:numPr>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（1）主机1台（双罐位）</w:t>
      </w:r>
    </w:p>
    <w:p>
      <w:pPr>
        <w:pStyle w:val="18"/>
        <w:numPr>
          <w:ilvl w:val="0"/>
          <w:numId w:val="0"/>
        </w:numPr>
        <w:spacing w:line="360" w:lineRule="auto"/>
        <w:rPr>
          <w:rFonts w:hint="eastAsia" w:ascii="宋体" w:hAnsi="宋体" w:eastAsia="宋体" w:cs="宋体"/>
          <w:b w:val="0"/>
          <w:bCs/>
          <w:sz w:val="24"/>
          <w:szCs w:val="24"/>
          <w:highlight w:val="yellow"/>
          <w:lang w:val="en-US" w:eastAsia="zh-CN"/>
        </w:rPr>
      </w:pPr>
      <w:r>
        <w:rPr>
          <w:rFonts w:hint="eastAsia" w:ascii="宋体" w:hAnsi="宋体" w:eastAsia="宋体" w:cs="宋体"/>
          <w:b w:val="0"/>
          <w:bCs/>
          <w:sz w:val="24"/>
          <w:szCs w:val="24"/>
          <w:highlight w:val="none"/>
          <w:lang w:val="en-US" w:eastAsia="zh-CN"/>
        </w:rPr>
        <w:t>（2）蒸发罐1个</w:t>
      </w:r>
    </w:p>
    <w:p>
      <w:pPr>
        <w:pStyle w:val="4"/>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（五）皮肤镜图像处理工作站     数量：1套</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微观摄像机光源最大照度：≥30001x;</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2.放</w:t>
      </w:r>
      <w:r>
        <w:rPr>
          <w:rFonts w:hint="eastAsia" w:ascii="宋体" w:hAnsi="宋体" w:eastAsia="宋体" w:cs="宋体"/>
          <w:sz w:val="24"/>
          <w:szCs w:val="24"/>
          <w:highlight w:val="none"/>
        </w:rPr>
        <w:t>大等级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20X-220X连续可调，放大等级支持无极变倍功能并具有放大等级锁定功能无需更换镜头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成像视野，≥1.8mmx1.4mm;</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成像视觉分辨力：</w:t>
      </w:r>
      <w:r>
        <w:rPr>
          <w:rFonts w:hint="eastAsia" w:ascii="宋体" w:hAnsi="宋体" w:eastAsia="宋体" w:cs="宋体"/>
          <w:sz w:val="24"/>
          <w:szCs w:val="24"/>
          <w:highlight w:val="none"/>
          <w:lang w:eastAsia="zh-CN"/>
        </w:rPr>
        <w:t>放大等级</w:t>
      </w:r>
      <w:r>
        <w:rPr>
          <w:rFonts w:hint="eastAsia" w:ascii="宋体" w:hAnsi="宋体" w:eastAsia="宋体" w:cs="宋体"/>
          <w:sz w:val="24"/>
          <w:szCs w:val="24"/>
          <w:highlight w:val="none"/>
          <w:lang w:val="en-US" w:eastAsia="zh-CN"/>
        </w:rPr>
        <w:t>20时，成像视角分辩力不低于18线对/mm；放大等级大于200时，成像视角分辨力不低于90线对/mm。</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适配≥15种镜头罩，支持多种不同皮损检测；</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支持观察指缝、耳背、外耳道、鼻腔等特殊部位，介入镜头罩支持标记活检部位、支持介入活检术、介入引导治疗，光学浸润镜头罩支持刻度显示：</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镜头支架透光</w:t>
      </w:r>
      <w:r>
        <w:rPr>
          <w:rFonts w:hint="eastAsia" w:ascii="宋体" w:hAnsi="宋体" w:eastAsia="宋体" w:cs="宋体"/>
          <w:sz w:val="24"/>
          <w:szCs w:val="24"/>
          <w:lang w:eastAsia="zh-CN"/>
        </w:rPr>
        <w:t>率</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86%:</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相关色温：3200K-8000K;</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显色指数：≥80;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图像成像均匀度：≥70%;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缩放功能：微观摄像机通过调节旋钮实现实时放大、缩小图像控制功能；</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图像采集功能：支持脚踏开关控制、鼠标控制、键盘采集的功能；</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色彩还原：对于白、黑、红、绿和蓝色</w:t>
      </w:r>
      <w:r>
        <w:rPr>
          <w:rFonts w:hint="eastAsia" w:ascii="宋体" w:hAnsi="宋体" w:eastAsia="宋体" w:cs="宋体"/>
          <w:sz w:val="24"/>
          <w:szCs w:val="24"/>
          <w:lang w:val="en-US" w:eastAsia="zh-CN"/>
        </w:rPr>
        <w:t>无</w:t>
      </w:r>
      <w:r>
        <w:rPr>
          <w:rFonts w:hint="eastAsia" w:ascii="宋体" w:hAnsi="宋体" w:eastAsia="宋体" w:cs="宋体"/>
          <w:sz w:val="24"/>
          <w:szCs w:val="24"/>
        </w:rPr>
        <w:t>明显的颜色偏差；</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图像无几何失真；图像无畸变；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图像灰阶：图像</w:t>
      </w:r>
      <w:r>
        <w:rPr>
          <w:rFonts w:hint="eastAsia" w:ascii="宋体" w:hAnsi="宋体" w:eastAsia="宋体" w:cs="宋体"/>
          <w:sz w:val="24"/>
          <w:szCs w:val="24"/>
          <w:lang w:val="en-US" w:eastAsia="zh-CN"/>
        </w:rPr>
        <w:t>可</w:t>
      </w:r>
      <w:r>
        <w:rPr>
          <w:rFonts w:hint="eastAsia" w:ascii="宋体" w:hAnsi="宋体" w:eastAsia="宋体" w:cs="宋体"/>
          <w:sz w:val="24"/>
          <w:szCs w:val="24"/>
        </w:rPr>
        <w:t>分辨灰度标尺的各级灰阶；</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图像缺陷：屏幕图像的缺陷像素数≤</w:t>
      </w:r>
      <w:r>
        <w:rPr>
          <w:rFonts w:hint="eastAsia" w:ascii="宋体" w:hAnsi="宋体" w:eastAsia="宋体" w:cs="宋体"/>
          <w:sz w:val="24"/>
          <w:szCs w:val="24"/>
          <w:lang w:val="en-US" w:eastAsia="zh-CN"/>
        </w:rPr>
        <w:t>2</w:t>
      </w:r>
      <w:r>
        <w:rPr>
          <w:rFonts w:hint="eastAsia" w:ascii="宋体" w:hAnsi="宋体" w:eastAsia="宋体" w:cs="宋体"/>
          <w:sz w:val="24"/>
          <w:szCs w:val="24"/>
        </w:rPr>
        <w:t>个，其中图像中央四分之一面积的范围内</w:t>
      </w:r>
      <w:r>
        <w:rPr>
          <w:rFonts w:hint="eastAsia" w:ascii="宋体" w:hAnsi="宋体" w:eastAsia="宋体" w:cs="宋体"/>
          <w:sz w:val="24"/>
          <w:szCs w:val="24"/>
          <w:lang w:val="en-US" w:eastAsia="zh-CN"/>
        </w:rPr>
        <w:t>无</w:t>
      </w:r>
      <w:r>
        <w:rPr>
          <w:rFonts w:hint="eastAsia" w:ascii="宋体" w:hAnsi="宋体" w:eastAsia="宋体" w:cs="宋体"/>
          <w:sz w:val="24"/>
          <w:szCs w:val="24"/>
        </w:rPr>
        <w:t>缺陷像素：</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照明：内置LED 高亮度光源；</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18.彩色</w:t>
      </w:r>
      <w:r>
        <w:rPr>
          <w:rFonts w:hint="eastAsia" w:ascii="宋体" w:hAnsi="宋体" w:eastAsia="宋体" w:cs="宋体"/>
          <w:sz w:val="24"/>
          <w:szCs w:val="24"/>
        </w:rPr>
        <w:t>传感器：1/3" CMOS;</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帧速：≤30fps;</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即插即用，USB接口；</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自动／手动白平衡操作，支持手动RGB色彩调整；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自动／手动曝光，曝光时间可调；</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图形叠加预览及保存；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镜头自带偏光功能：采用光学偏光镜，实时放大，支持偏振、非偏振、浸润、非浸润、接触、非接触多种模式的任意组合，使用光学接触式浸润法时，具有标尺显示功能：</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支持镜头罩、镜头罩垫片及医用隔离垫，实现污染控制，防交叉感染。皮肤镜图像处理工作站软件参数病人信息登记：支持病人信息登记、新增报告；大体图像采集大体图像拍照联机：兼容单反相机拍摄皮肤大体图，软件可支持一键获取大体图像，辅助诊断功能，科研模块：提供“三分法”、“七分法”、“Menzies'11分法”、“ABCD法”、“模式法”、“CASH”6种模式21种分析方法。（拥有21种算法的分析系统）；</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26.具备</w:t>
      </w:r>
      <w:r>
        <w:rPr>
          <w:rFonts w:hint="eastAsia" w:ascii="宋体" w:hAnsi="宋体" w:eastAsia="宋体" w:cs="宋体"/>
          <w:sz w:val="24"/>
          <w:szCs w:val="24"/>
        </w:rPr>
        <w:t>病人影像管理实时采集功能</w:t>
      </w:r>
      <w:r>
        <w:rPr>
          <w:rFonts w:hint="eastAsia" w:ascii="宋体" w:hAnsi="宋体" w:eastAsia="宋体" w:cs="宋体"/>
          <w:sz w:val="24"/>
          <w:szCs w:val="24"/>
          <w:lang w:eastAsia="zh-CN"/>
        </w:rPr>
        <w:t>；</w:t>
      </w:r>
      <w:r>
        <w:rPr>
          <w:rFonts w:hint="eastAsia" w:ascii="宋体" w:hAnsi="宋体" w:eastAsia="宋体" w:cs="宋体"/>
          <w:sz w:val="24"/>
          <w:szCs w:val="24"/>
        </w:rPr>
        <w:t>实时动态高清晰数字图像显示，编写报告的整个过程在后台同步显示；具备图像暂存功能</w:t>
      </w:r>
      <w:r>
        <w:rPr>
          <w:rFonts w:hint="eastAsia" w:ascii="宋体" w:hAnsi="宋体" w:eastAsia="宋体" w:cs="宋体"/>
          <w:sz w:val="24"/>
          <w:szCs w:val="24"/>
          <w:lang w:eastAsia="zh-CN"/>
        </w:rPr>
        <w:t>；</w:t>
      </w:r>
      <w:r>
        <w:rPr>
          <w:rFonts w:hint="eastAsia" w:ascii="宋体" w:hAnsi="宋体" w:eastAsia="宋体" w:cs="宋体"/>
          <w:sz w:val="24"/>
          <w:szCs w:val="24"/>
        </w:rPr>
        <w:t>系统自带报告示意图功能</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所有统计检查结果可导出成EXCEL 表格，生成统计报表。完全代替病人登记簿，且将登记薄数字化；测量计算亮度、对比度、色度、饱和度、曝光度、色差可调；</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28.断电保护工作站具备断电保护功能。</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29.配置要求</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29.1工作站1套（包含处理软件、微观摄像机等）；</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29.2</w:t>
      </w:r>
      <w:r>
        <w:rPr>
          <w:rFonts w:hint="eastAsia" w:ascii="宋体" w:hAnsi="宋体" w:eastAsia="宋体" w:cs="宋体"/>
          <w:sz w:val="24"/>
          <w:szCs w:val="24"/>
        </w:rPr>
        <w:t>彩色喷墨打印机</w:t>
      </w:r>
      <w:r>
        <w:rPr>
          <w:rFonts w:hint="eastAsia" w:ascii="宋体" w:hAnsi="宋体" w:eastAsia="宋体" w:cs="宋体"/>
          <w:sz w:val="24"/>
          <w:szCs w:val="24"/>
          <w:lang w:val="en-US" w:eastAsia="zh-CN"/>
        </w:rPr>
        <w:t>1台</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29.3 UPS电源1台，保证工作站工作≥30分钟。</w:t>
      </w:r>
    </w:p>
    <w:p>
      <w:pPr>
        <w:pStyle w:val="18"/>
        <w:spacing w:line="360" w:lineRule="auto"/>
        <w:rPr>
          <w:rFonts w:hint="eastAsia" w:ascii="宋体" w:hAnsi="宋体" w:eastAsia="宋体" w:cs="宋体"/>
          <w:sz w:val="24"/>
          <w:szCs w:val="24"/>
          <w:lang w:val="en-US" w:eastAsia="zh-CN"/>
        </w:rPr>
      </w:pPr>
    </w:p>
    <w:p>
      <w:pPr>
        <w:pStyle w:val="4"/>
        <w:numPr>
          <w:ilvl w:val="0"/>
          <w:numId w:val="21"/>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无线超声多普勒胎心监护仪   数量2台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监护参数：胎心率（FHR），宫缩压力（TOCO），胎动（FM）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无线</w:t>
      </w:r>
      <w:r>
        <w:rPr>
          <w:rFonts w:hint="eastAsia" w:ascii="宋体" w:hAnsi="宋体" w:eastAsia="宋体" w:cs="宋体"/>
          <w:b w:val="0"/>
          <w:bCs w:val="0"/>
          <w:color w:val="auto"/>
          <w:sz w:val="24"/>
          <w:szCs w:val="24"/>
        </w:rPr>
        <w:t>超声探头、宫缩压力探头、胎动打标器</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无线</w:t>
      </w:r>
      <w:r>
        <w:rPr>
          <w:rFonts w:hint="eastAsia" w:ascii="宋体" w:hAnsi="宋体" w:eastAsia="宋体" w:cs="宋体"/>
          <w:b w:val="0"/>
          <w:bCs w:val="0"/>
          <w:color w:val="auto"/>
          <w:sz w:val="24"/>
          <w:szCs w:val="24"/>
        </w:rPr>
        <w:t>胎心</w:t>
      </w:r>
      <w:r>
        <w:rPr>
          <w:rFonts w:hint="eastAsia" w:ascii="宋体" w:hAnsi="宋体" w:eastAsia="宋体" w:cs="宋体"/>
          <w:b w:val="0"/>
          <w:bCs w:val="0"/>
          <w:color w:val="auto"/>
          <w:sz w:val="24"/>
          <w:szCs w:val="24"/>
          <w:lang w:eastAsia="zh-CN"/>
        </w:rPr>
        <w:t>探头</w:t>
      </w:r>
      <w:r>
        <w:rPr>
          <w:rFonts w:hint="eastAsia" w:ascii="宋体" w:hAnsi="宋体" w:eastAsia="宋体" w:cs="宋体"/>
          <w:b w:val="0"/>
          <w:bCs w:val="0"/>
          <w:color w:val="auto"/>
          <w:sz w:val="24"/>
          <w:szCs w:val="24"/>
        </w:rPr>
        <w:t>：多晶片、宽波束，脉冲工作方式，高灵敏度超声探头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工作频率：1</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0MHz，输出波束声强：</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lang w:val="en-US" w:eastAsia="zh-CN"/>
        </w:rPr>
        <w:t>mW</w:t>
      </w:r>
      <w:r>
        <w:rPr>
          <w:rFonts w:hint="eastAsia" w:ascii="宋体" w:hAnsi="宋体" w:eastAsia="宋体" w:cs="宋体"/>
          <w:b w:val="0"/>
          <w:bCs w:val="0"/>
          <w:color w:val="auto"/>
          <w:sz w:val="24"/>
          <w:szCs w:val="24"/>
        </w:rPr>
        <w:t>/cm</w:t>
      </w:r>
      <w:r>
        <w:rPr>
          <w:rFonts w:hint="eastAsia" w:ascii="宋体" w:hAnsi="宋体" w:eastAsia="宋体" w:cs="宋体"/>
          <w:b w:val="0"/>
          <w:bCs w:val="0"/>
          <w:color w:val="auto"/>
          <w:sz w:val="24"/>
          <w:szCs w:val="24"/>
          <w:vertAlign w:val="superscript"/>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测量范围：50-2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0 bpm</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分辨率： ±1bpm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无线</w:t>
      </w:r>
      <w:r>
        <w:rPr>
          <w:rFonts w:hint="eastAsia" w:ascii="宋体" w:hAnsi="宋体" w:eastAsia="宋体" w:cs="宋体"/>
          <w:b w:val="0"/>
          <w:bCs w:val="0"/>
          <w:color w:val="auto"/>
          <w:sz w:val="24"/>
          <w:szCs w:val="24"/>
        </w:rPr>
        <w:t>宫缩压力：无凸点探头设计，测量范围：0～100 压力单位</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非线性误差：</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 xml:space="preserve">±10% </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无线</w:t>
      </w:r>
      <w:r>
        <w:rPr>
          <w:rFonts w:hint="eastAsia" w:ascii="宋体" w:hAnsi="宋体" w:eastAsia="宋体" w:cs="宋体"/>
          <w:b w:val="0"/>
          <w:bCs w:val="0"/>
          <w:color w:val="auto"/>
          <w:sz w:val="24"/>
          <w:szCs w:val="24"/>
        </w:rPr>
        <w:t>胎动：手动/自动胎动检测，显示并打印胎儿活动曲线；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（6）探头OLED屏显示孕妇姓名，检测值，电量等信息；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（7）胎心探头内置喇叭，支持播放胎心音，找到胎心后可关闭。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*（8）支持断点续传功能，探头缓存时间≥6h；</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（9）≥12英</w:t>
      </w:r>
      <w:r>
        <w:rPr>
          <w:rFonts w:hint="eastAsia" w:ascii="宋体" w:hAnsi="宋体" w:eastAsia="宋体" w:cs="宋体"/>
          <w:b w:val="0"/>
          <w:bCs w:val="0"/>
          <w:color w:val="auto"/>
          <w:sz w:val="24"/>
          <w:szCs w:val="24"/>
        </w:rPr>
        <w:t>寸高清晰触摸屏，安卓操作系统，0-90°度内多角度翻转</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一体化无线探头架设计</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易装纸打印结构设计</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隐藏式提手</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内置式152mm（或150mm）宽行打印，符合国际标准，连续准确记录胎心率、宫缩压曲线及胎儿活动曲线</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打印机走纸速度1、2、3cm/min可调，支持最高速度25mm/s高速回放打印</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支持选段打印和定时长打印功能，定时时长范围：0-60min</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16</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胎心率报警上下限可调，当胎心率过缓或过速时自动报警，报警内容中文显示，报警持续时间可调</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17</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双胎心率重合报警(SOV)；支持双胎曲线分离</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内置专家评分系统，提供KREBS、Fischer、改良Fischer和NST四种评分方式</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（19）≥</w:t>
      </w:r>
      <w:r>
        <w:rPr>
          <w:rFonts w:hint="eastAsia" w:ascii="宋体" w:hAnsi="宋体" w:eastAsia="宋体" w:cs="宋体"/>
          <w:b w:val="0"/>
          <w:bCs w:val="0"/>
          <w:color w:val="auto"/>
          <w:sz w:val="24"/>
          <w:szCs w:val="24"/>
        </w:rPr>
        <w:t>20000小时CTG数据存储，支持回放查看，选段打印</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中英文操作界面</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rPr>
        <w:t>标配大容量锂电池供电</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（22）</w:t>
      </w:r>
      <w:r>
        <w:rPr>
          <w:rFonts w:hint="eastAsia" w:ascii="宋体" w:hAnsi="宋体" w:eastAsia="宋体" w:cs="宋体"/>
          <w:b w:val="0"/>
          <w:bCs w:val="0"/>
          <w:color w:val="auto"/>
          <w:sz w:val="24"/>
          <w:szCs w:val="24"/>
        </w:rPr>
        <w:t>具备WIFI联网功能，</w:t>
      </w:r>
      <w:r>
        <w:rPr>
          <w:rFonts w:hint="eastAsia" w:ascii="宋体" w:hAnsi="宋体" w:eastAsia="宋体" w:cs="宋体"/>
          <w:b w:val="0"/>
          <w:bCs w:val="0"/>
          <w:color w:val="auto"/>
          <w:sz w:val="24"/>
          <w:szCs w:val="24"/>
          <w:lang w:val="en-US" w:eastAsia="zh-CN"/>
        </w:rPr>
        <w:t>可</w:t>
      </w:r>
      <w:r>
        <w:rPr>
          <w:rFonts w:hint="eastAsia" w:ascii="宋体" w:hAnsi="宋体" w:eastAsia="宋体" w:cs="宋体"/>
          <w:b w:val="0"/>
          <w:bCs w:val="0"/>
          <w:color w:val="auto"/>
          <w:sz w:val="24"/>
          <w:szCs w:val="24"/>
        </w:rPr>
        <w:t>随时组成中央监护系统</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支持手写/拼音中文输入，支持输入孕妇姓名，孕周等信息</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可通过关键字查找孕妇历史数据，并形成列表，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支持插U盘数据导出，导出格式支持PDF格式</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26</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支持USB连接激光打印机，打印报告支持A4/B5格式</w:t>
      </w:r>
      <w:r>
        <w:rPr>
          <w:rFonts w:hint="eastAsia" w:ascii="宋体" w:hAnsi="宋体" w:eastAsia="宋体" w:cs="宋体"/>
          <w:b w:val="0"/>
          <w:bCs w:val="0"/>
          <w:color w:val="auto"/>
          <w:sz w:val="24"/>
          <w:szCs w:val="24"/>
          <w:lang w:eastAsia="zh-CN"/>
        </w:rPr>
        <w:t>。</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val="0"/>
          <w:sz w:val="24"/>
          <w:szCs w:val="24"/>
          <w:lang w:val="en-US" w:eastAsia="zh-CN"/>
        </w:rPr>
      </w:pPr>
    </w:p>
    <w:p>
      <w:pPr>
        <w:pStyle w:val="4"/>
        <w:numPr>
          <w:ilvl w:val="0"/>
          <w:numId w:val="21"/>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下肢康复运动器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数量1套</w:t>
      </w:r>
    </w:p>
    <w:p>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val="en-US"/>
        </w:rPr>
        <w:t>设备功能及用途:</w:t>
      </w:r>
    </w:p>
    <w:p>
      <w:pPr>
        <w:pStyle w:val="70"/>
        <w:numPr>
          <w:ilvl w:val="0"/>
          <w:numId w:val="0"/>
        </w:numPr>
        <w:spacing w:line="360" w:lineRule="auto"/>
        <w:ind w:leftChars="0" w:firstLine="480" w:firstLineChars="20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基于人体行走的步态模式设计，左右交替倾斜的运动模式可以引起两侧骨盆的交替倾斜同行走时骨盆交替倾斜的变换模式相似，且速度快。可调节不同的频率、振幅、姿势,通过肌肉的牵张反射训练人的各个部位肌肉力量、肌肉功能和平衡协调性等。振动哑铃是通过固定的振动幅度以及可调的振动频率，刺激手指、手臂、肩关节及躯干上部肌肉。</w:t>
      </w:r>
    </w:p>
    <w:p>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2、技术</w:t>
      </w:r>
      <w:r>
        <w:rPr>
          <w:rFonts w:hint="eastAsia" w:ascii="宋体" w:hAnsi="宋体" w:eastAsia="宋体" w:cs="宋体"/>
          <w:b/>
          <w:bCs/>
          <w:sz w:val="24"/>
          <w:szCs w:val="24"/>
          <w:highlight w:val="none"/>
          <w:lang w:val="en-US"/>
        </w:rPr>
        <w:t>参数:</w:t>
      </w:r>
    </w:p>
    <w:p>
      <w:pPr>
        <w:pStyle w:val="70"/>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lang w:val="en-US" w:eastAsia="zh-CN"/>
        </w:rPr>
        <w:t>2.1具</w:t>
      </w:r>
      <w:r>
        <w:rPr>
          <w:rFonts w:hint="eastAsia" w:ascii="宋体" w:hAnsi="宋体" w:eastAsia="宋体" w:cs="宋体"/>
          <w:sz w:val="24"/>
          <w:szCs w:val="24"/>
          <w:highlight w:val="none"/>
          <w:lang w:val="en-US"/>
        </w:rPr>
        <w:t>有下肢振动训练仪、振动哑铃和训练教练系统，且为同一品牌</w:t>
      </w:r>
      <w:r>
        <w:rPr>
          <w:rFonts w:hint="eastAsia" w:ascii="宋体" w:hAnsi="宋体" w:eastAsia="宋体" w:cs="宋体"/>
          <w:sz w:val="24"/>
          <w:szCs w:val="24"/>
          <w:highlight w:val="none"/>
          <w:lang w:val="en-US" w:eastAsia="zh-CN"/>
        </w:rPr>
        <w:t>。</w:t>
      </w:r>
    </w:p>
    <w:p>
      <w:pPr>
        <w:pStyle w:val="70"/>
        <w:numPr>
          <w:ilvl w:val="0"/>
          <w:numId w:val="0"/>
        </w:numPr>
        <w:spacing w:line="360" w:lineRule="auto"/>
        <w:ind w:left="480" w:leftChars="0" w:hanging="480" w:hanging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2.2下肢振动训练仪:</w:t>
      </w:r>
    </w:p>
    <w:p>
      <w:pPr>
        <w:pStyle w:val="70"/>
        <w:numPr>
          <w:ilvl w:val="0"/>
          <w:numId w:val="0"/>
        </w:numPr>
        <w:spacing w:line="360" w:lineRule="auto"/>
        <w:ind w:left="480" w:leftChars="0" w:hanging="480" w:hanging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2.2.1尺寸:长≤900mm，宽≤900mm，高≤1200mm。</w:t>
      </w:r>
    </w:p>
    <w:p>
      <w:pPr>
        <w:pStyle w:val="70"/>
        <w:numPr>
          <w:ilvl w:val="0"/>
          <w:numId w:val="0"/>
        </w:numPr>
        <w:spacing w:line="360" w:lineRule="auto"/>
        <w:ind w:left="480" w:leftChars="0" w:hanging="480" w:hangingChars="200"/>
        <w:jc w:val="left"/>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sz w:val="24"/>
          <w:szCs w:val="24"/>
          <w:highlight w:val="none"/>
          <w:lang w:val="en-US" w:eastAsia="zh-CN"/>
        </w:rPr>
        <w:t>2.2  5.0Hz≤踏板振动频率≤30.0Hz，连续可调，允差±5%，步进值为0.5-1Hz。振动模式为左右交替振动，振幅≤4.5mm，允差±0.5mm。</w:t>
      </w:r>
    </w:p>
    <w:p>
      <w:pPr>
        <w:pStyle w:val="70"/>
        <w:numPr>
          <w:ilvl w:val="0"/>
          <w:numId w:val="0"/>
        </w:numPr>
        <w:spacing w:line="360" w:lineRule="auto"/>
        <w:ind w:left="480" w:leftChars="0" w:hanging="480" w:hanging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2.2.3具备可调定时器，0≤时间≤10min，连续可调，允差±5s，步进值为5-10s。</w:t>
      </w:r>
    </w:p>
    <w:p>
      <w:pPr>
        <w:pStyle w:val="70"/>
        <w:numPr>
          <w:ilvl w:val="0"/>
          <w:numId w:val="0"/>
        </w:numPr>
        <w:spacing w:line="360" w:lineRule="auto"/>
        <w:ind w:left="480" w:leftChars="0" w:hanging="480" w:hanging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2.2.4振动踏板可承受体重≥150kg。</w:t>
      </w:r>
    </w:p>
    <w:p>
      <w:pPr>
        <w:pStyle w:val="70"/>
        <w:numPr>
          <w:ilvl w:val="0"/>
          <w:numId w:val="0"/>
        </w:numPr>
        <w:spacing w:line="360" w:lineRule="auto"/>
        <w:ind w:left="480" w:leftChars="0" w:hanging="480" w:hanging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2.2.5配有扶手，扶手可承受最大荷载≥28KG。</w:t>
      </w:r>
    </w:p>
    <w:p>
      <w:pPr>
        <w:pStyle w:val="70"/>
        <w:numPr>
          <w:ilvl w:val="0"/>
          <w:numId w:val="0"/>
        </w:numPr>
        <w:spacing w:line="360" w:lineRule="auto"/>
        <w:ind w:left="480" w:leftChars="0" w:hanging="480" w:hanging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2.2.6整机重量:65kg（±5kg）。</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lang w:val="en-US"/>
        </w:rPr>
        <w:t>振动哑铃:</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2.3.1</w:t>
      </w:r>
      <w:r>
        <w:rPr>
          <w:rFonts w:hint="eastAsia" w:ascii="宋体" w:hAnsi="宋体" w:eastAsia="宋体" w:cs="宋体"/>
          <w:sz w:val="24"/>
          <w:szCs w:val="24"/>
          <w:highlight w:val="none"/>
          <w:lang w:val="en-US"/>
        </w:rPr>
        <w:t>哑铃重量:3.0</w:t>
      </w:r>
      <w:r>
        <w:rPr>
          <w:rFonts w:hint="eastAsia" w:ascii="宋体" w:hAnsi="宋体" w:eastAsia="宋体" w:cs="宋体"/>
          <w:sz w:val="24"/>
          <w:szCs w:val="24"/>
          <w:highlight w:val="none"/>
          <w:lang w:val="en-US" w:eastAsia="zh-CN"/>
        </w:rPr>
        <w:t>kg（±0.5kg）</w:t>
      </w:r>
      <w:r>
        <w:rPr>
          <w:rFonts w:hint="eastAsia" w:ascii="宋体" w:hAnsi="宋体" w:eastAsia="宋体" w:cs="宋体"/>
          <w:sz w:val="24"/>
          <w:szCs w:val="24"/>
          <w:highlight w:val="none"/>
          <w:lang w:val="en-US"/>
        </w:rPr>
        <w:t>。</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2.3.2   </w:t>
      </w:r>
      <w:r>
        <w:rPr>
          <w:rFonts w:hint="eastAsia" w:ascii="宋体" w:hAnsi="宋体" w:eastAsia="宋体" w:cs="宋体"/>
          <w:sz w:val="24"/>
          <w:szCs w:val="24"/>
          <w:highlight w:val="none"/>
          <w:lang w:val="en-US"/>
        </w:rPr>
        <w:t>5</w:t>
      </w:r>
      <w:r>
        <w:rPr>
          <w:rFonts w:hint="eastAsia" w:ascii="宋体" w:hAnsi="宋体" w:eastAsia="宋体" w:cs="宋体"/>
          <w:sz w:val="24"/>
          <w:szCs w:val="24"/>
          <w:highlight w:val="none"/>
          <w:lang w:val="en-US" w:eastAsia="zh-CN"/>
        </w:rPr>
        <w:t>Hz</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lang w:val="en-US"/>
        </w:rPr>
        <w:t>频率≤40</w:t>
      </w:r>
      <w:r>
        <w:rPr>
          <w:rFonts w:hint="eastAsia" w:ascii="宋体" w:hAnsi="宋体" w:eastAsia="宋体" w:cs="宋体"/>
          <w:sz w:val="24"/>
          <w:szCs w:val="24"/>
          <w:highlight w:val="none"/>
          <w:lang w:val="en-US" w:eastAsia="zh-CN"/>
        </w:rPr>
        <w:t>Hz</w:t>
      </w:r>
      <w:r>
        <w:rPr>
          <w:rFonts w:hint="eastAsia" w:ascii="宋体" w:hAnsi="宋体" w:eastAsia="宋体" w:cs="宋体"/>
          <w:sz w:val="24"/>
          <w:szCs w:val="24"/>
          <w:highlight w:val="none"/>
          <w:lang w:val="en-US"/>
        </w:rPr>
        <w:t>，允差±5%，振幅:≤4mm、允差±0.2mm。</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2.3.3</w:t>
      </w:r>
      <w:r>
        <w:rPr>
          <w:rFonts w:hint="eastAsia" w:ascii="宋体" w:hAnsi="宋体" w:eastAsia="宋体" w:cs="宋体"/>
          <w:sz w:val="24"/>
          <w:szCs w:val="24"/>
          <w:highlight w:val="none"/>
          <w:lang w:val="en-US"/>
        </w:rPr>
        <w:t>哑铃最大加载重量:</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5KG。</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lang w:val="en-US"/>
        </w:rPr>
        <w:t>训练教练系统。</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2.4.1 </w:t>
      </w:r>
      <w:r>
        <w:rPr>
          <w:rFonts w:hint="eastAsia" w:ascii="宋体" w:hAnsi="宋体" w:eastAsia="宋体" w:cs="宋体"/>
          <w:sz w:val="24"/>
          <w:szCs w:val="24"/>
          <w:highlight w:val="none"/>
          <w:lang w:val="en-US"/>
        </w:rPr>
        <w:t>≥100个运动处方，可手动调整处方。</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2.4.2</w:t>
      </w:r>
      <w:r>
        <w:rPr>
          <w:rFonts w:hint="eastAsia" w:ascii="宋体" w:hAnsi="宋体" w:eastAsia="宋体" w:cs="宋体"/>
          <w:sz w:val="24"/>
          <w:szCs w:val="24"/>
          <w:highlight w:val="none"/>
          <w:lang w:val="en-US"/>
        </w:rPr>
        <w:t>运动动作分为上肢，下肢，核心肌力，全身等。</w:t>
      </w:r>
    </w:p>
    <w:p>
      <w:pPr>
        <w:numPr>
          <w:ilvl w:val="0"/>
          <w:numId w:val="0"/>
        </w:numPr>
        <w:spacing w:line="360" w:lineRule="auto"/>
        <w:jc w:val="left"/>
        <w:rPr>
          <w:rFonts w:hint="eastAsia" w:ascii="宋体" w:hAnsi="宋体" w:eastAsia="宋体" w:cs="宋体"/>
          <w:bCs/>
          <w:sz w:val="24"/>
          <w:szCs w:val="24"/>
          <w:lang w:eastAsia="zh-CN"/>
        </w:rPr>
      </w:pPr>
      <w:r>
        <w:rPr>
          <w:rFonts w:hint="eastAsia" w:ascii="宋体" w:hAnsi="宋体" w:eastAsia="宋体" w:cs="宋体"/>
          <w:sz w:val="24"/>
          <w:szCs w:val="24"/>
          <w:highlight w:val="none"/>
          <w:lang w:val="en-US" w:eastAsia="zh-CN"/>
        </w:rPr>
        <w:t>2.4.3</w:t>
      </w:r>
      <w:r>
        <w:rPr>
          <w:rFonts w:hint="eastAsia" w:ascii="宋体" w:hAnsi="宋体" w:eastAsia="宋体" w:cs="宋体"/>
          <w:sz w:val="24"/>
          <w:szCs w:val="24"/>
          <w:highlight w:val="none"/>
          <w:lang w:val="en-US"/>
        </w:rPr>
        <w:t>可人机互动，视频频率和设备频率保持一致。</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四、其他</w:t>
      </w:r>
      <w:r>
        <w:rPr>
          <w:rFonts w:hint="eastAsia" w:ascii="宋体" w:hAnsi="宋体" w:eastAsia="宋体" w:cs="宋体"/>
          <w:b/>
          <w:bCs w:val="0"/>
          <w:sz w:val="24"/>
          <w:szCs w:val="24"/>
          <w:lang w:eastAsia="zh-CN"/>
        </w:rPr>
        <w:t>商务要求</w:t>
      </w:r>
      <w:r>
        <w:rPr>
          <w:rFonts w:hint="eastAsia" w:ascii="宋体" w:hAnsi="宋体" w:eastAsia="宋体" w:cs="宋体"/>
          <w:b/>
          <w:bCs w:val="0"/>
          <w:sz w:val="24"/>
          <w:szCs w:val="24"/>
          <w:lang w:val="en-US" w:eastAsia="zh-CN"/>
        </w:rPr>
        <w:t>:</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1、接到使用客户维修电话，2小时响应，4小时内工程师到位；</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2、设备到位后，工程师应立即进行安装、调试，同时对操作人员进行严格的规范化培训；</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3、提供设备的单位资质齐全，符合国家相关规定；</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4、投标产品的规格、型号必须与注册证及相关检验报告上的规格型号一致；</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5、质量验收标准或规范</w:t>
      </w:r>
    </w:p>
    <w:p>
      <w:pPr>
        <w:pStyle w:val="18"/>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货物到达甲方指定地点后，甲方根据合同中参数的要求，进行外观验收，确认产地、规格、型号和数量。验收不作为产品质量合格的最终依据。</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6、违约责任</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（1）按《民法典》、《政府采购法》中的相关条款执行。</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（2）未按合同要求提供货物或质量不能满足谈判技术要求，乙方必须无条件更换，提高技术，完善质量，否则，甲方会同鉴证方有权终止合同，并对乙方的违约行为报监管机构进行相应的处罚。</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（3）交货期每超过一天，扣除乙方合同总价款的 1 ‰作为违约金。</w:t>
      </w:r>
    </w:p>
    <w:bookmarkEnd w:id="90"/>
    <w:p>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pStyle w:val="26"/>
        <w:spacing w:line="360" w:lineRule="auto"/>
        <w:rPr>
          <w:rFonts w:hint="eastAsia"/>
        </w:rPr>
      </w:pPr>
    </w:p>
    <w:p>
      <w:pPr>
        <w:pStyle w:val="3"/>
        <w:bidi w:val="0"/>
        <w:rPr>
          <w:rFonts w:hint="default"/>
          <w:lang w:val="en-US"/>
        </w:rPr>
      </w:pPr>
      <w:bookmarkStart w:id="91" w:name="_Toc28675"/>
      <w:r>
        <w:rPr>
          <w:rFonts w:hint="eastAsia"/>
          <w:lang w:eastAsia="zh-CN"/>
        </w:rPr>
        <w:t>第六部分</w:t>
      </w:r>
      <w:r>
        <w:rPr>
          <w:rFonts w:hint="eastAsia"/>
          <w:lang w:val="en-US" w:eastAsia="zh-CN"/>
        </w:rPr>
        <w:t xml:space="preserve">  合同文本</w:t>
      </w:r>
      <w:bookmarkEnd w:id="91"/>
    </w:p>
    <w:tbl>
      <w:tblPr>
        <w:tblStyle w:val="28"/>
        <w:tblpPr w:leftFromText="180" w:rightFromText="180" w:vertAnchor="text" w:horzAnchor="margin" w:tblpY="3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1" w:type="dxa"/>
          </w:tcPr>
          <w:p>
            <w:pPr>
              <w:rPr>
                <w:rFonts w:hint="eastAsia"/>
                <w:sz w:val="30"/>
                <w:szCs w:val="30"/>
              </w:rPr>
            </w:pPr>
            <w:bookmarkStart w:id="92" w:name="_Toc28222"/>
            <w:r>
              <w:rPr>
                <w:rFonts w:hint="eastAsia" w:ascii="黑体" w:eastAsia="黑体"/>
                <w:b/>
                <w:sz w:val="32"/>
                <w:szCs w:val="32"/>
              </w:rPr>
              <w:t>院外</w:t>
            </w:r>
          </w:p>
        </w:tc>
      </w:tr>
    </w:tbl>
    <w:p>
      <w:pPr>
        <w:rPr>
          <w:rFonts w:hint="eastAsia" w:ascii="黑体" w:eastAsia="黑体"/>
          <w:b/>
          <w:sz w:val="32"/>
          <w:szCs w:val="32"/>
        </w:rPr>
      </w:pPr>
      <w:r>
        <w:rPr>
          <w:rFonts w:hint="eastAsia" w:ascii="黑体" w:eastAsia="黑体"/>
          <w:b/>
          <w:sz w:val="32"/>
          <w:szCs w:val="32"/>
        </w:rPr>
        <w:drawing>
          <wp:anchor distT="0" distB="0" distL="114300" distR="114300" simplePos="0" relativeHeight="251669504" behindDoc="1" locked="0" layoutInCell="1" allowOverlap="1">
            <wp:simplePos x="0" y="0"/>
            <wp:positionH relativeFrom="column">
              <wp:posOffset>2141220</wp:posOffset>
            </wp:positionH>
            <wp:positionV relativeFrom="paragraph">
              <wp:posOffset>144780</wp:posOffset>
            </wp:positionV>
            <wp:extent cx="1480185" cy="868680"/>
            <wp:effectExtent l="0" t="0" r="5715" b="7620"/>
            <wp:wrapNone/>
            <wp:docPr id="19" name="图片 19" descr="logo（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logo（2022"/>
                    <pic:cNvPicPr>
                      <a:picLocks noChangeAspect="1" noChangeArrowheads="1"/>
                    </pic:cNvPicPr>
                  </pic:nvPicPr>
                  <pic:blipFill>
                    <a:blip r:embed="rId22" cstate="print"/>
                    <a:srcRect/>
                    <a:stretch>
                      <a:fillRect/>
                    </a:stretch>
                  </pic:blipFill>
                  <pic:spPr>
                    <a:xfrm>
                      <a:off x="0" y="0"/>
                      <a:ext cx="1480185" cy="868680"/>
                    </a:xfrm>
                    <a:prstGeom prst="rect">
                      <a:avLst/>
                    </a:prstGeom>
                    <a:noFill/>
                    <a:ln w="9525">
                      <a:noFill/>
                      <a:miter lim="800000"/>
                      <a:headEnd/>
                      <a:tailEnd/>
                    </a:ln>
                  </pic:spPr>
                </pic:pic>
              </a:graphicData>
            </a:graphic>
          </wp:anchor>
        </w:drawing>
      </w:r>
    </w:p>
    <w:p>
      <w:pPr>
        <w:rPr>
          <w:rFonts w:hint="eastAsia" w:ascii="黑体" w:eastAsia="黑体"/>
          <w:b/>
          <w:sz w:val="32"/>
          <w:szCs w:val="32"/>
        </w:rPr>
      </w:pPr>
    </w:p>
    <w:p>
      <w:pPr>
        <w:rPr>
          <w:rFonts w:hint="eastAsia" w:ascii="黑体" w:eastAsia="黑体"/>
          <w:b/>
          <w:sz w:val="32"/>
          <w:szCs w:val="32"/>
        </w:rPr>
      </w:pPr>
    </w:p>
    <w:p>
      <w:pPr>
        <w:rPr>
          <w:rFonts w:hint="eastAsia" w:ascii="宋体" w:hAnsi="宋体"/>
          <w:b/>
          <w:snapToGrid w:val="0"/>
          <w:sz w:val="48"/>
          <w:szCs w:val="48"/>
        </w:rPr>
      </w:pPr>
      <w:r>
        <w:rPr>
          <w:rFonts w:hint="eastAsia" w:ascii="黑体" w:eastAsia="黑体"/>
          <w:b/>
          <w:sz w:val="32"/>
          <w:szCs w:val="32"/>
        </w:rPr>
        <w:t>合同编号：</w:t>
      </w:r>
      <w:r>
        <w:rPr>
          <w:rFonts w:hint="eastAsia" w:ascii="宋体" w:hAnsi="宋体"/>
          <w:b/>
          <w:snapToGrid w:val="0"/>
          <w:sz w:val="48"/>
          <w:szCs w:val="48"/>
        </w:rPr>
        <w:t xml:space="preserve"> </w:t>
      </w:r>
    </w:p>
    <w:p>
      <w:pPr>
        <w:ind w:firstLine="2650" w:firstLineChars="550"/>
        <w:rPr>
          <w:rFonts w:hint="eastAsia" w:ascii="宋体" w:hAnsi="宋体"/>
          <w:b/>
          <w:snapToGrid w:val="0"/>
          <w:sz w:val="48"/>
          <w:szCs w:val="48"/>
        </w:rPr>
      </w:pPr>
      <w:r>
        <w:rPr>
          <w:rFonts w:hint="eastAsia" w:ascii="宋体" w:hAnsi="宋体"/>
          <w:b/>
          <w:snapToGrid w:val="0"/>
          <w:sz w:val="48"/>
          <w:szCs w:val="48"/>
        </w:rPr>
        <w:t>西安市第五医院</w:t>
      </w:r>
    </w:p>
    <w:p>
      <w:pPr>
        <w:ind w:firstLine="3373" w:firstLineChars="1400"/>
        <w:rPr>
          <w:rFonts w:hint="eastAsia" w:ascii="宋体" w:hAnsi="宋体"/>
          <w:b/>
          <w:snapToGrid w:val="0"/>
          <w:sz w:val="24"/>
        </w:rPr>
      </w:pPr>
      <w:r>
        <w:rPr>
          <w:rFonts w:hint="eastAsia" w:ascii="宋体" w:hAnsi="宋体"/>
          <w:b/>
          <w:snapToGrid w:val="0"/>
          <w:sz w:val="24"/>
        </w:rPr>
        <w:t>（项目名称）</w:t>
      </w:r>
    </w:p>
    <w:p>
      <w:pPr>
        <w:ind w:firstLine="590" w:firstLineChars="245"/>
        <w:rPr>
          <w:rFonts w:hint="eastAsia" w:ascii="黑体" w:eastAsia="黑体"/>
          <w:b/>
          <w:sz w:val="24"/>
        </w:rPr>
      </w:pPr>
    </w:p>
    <w:p>
      <w:pPr>
        <w:ind w:firstLine="2530" w:firstLineChars="350"/>
        <w:rPr>
          <w:rFonts w:hint="eastAsia" w:ascii="黑体" w:eastAsia="黑体"/>
          <w:b/>
          <w:sz w:val="72"/>
          <w:szCs w:val="72"/>
        </w:rPr>
      </w:pPr>
      <w:r>
        <w:rPr>
          <w:rFonts w:hint="eastAsia" w:ascii="黑体" w:eastAsia="黑体"/>
          <w:b/>
          <w:sz w:val="72"/>
          <w:szCs w:val="72"/>
        </w:rPr>
        <w:t>买 卖 合 同</w:t>
      </w:r>
    </w:p>
    <w:p>
      <w:pPr>
        <w:pStyle w:val="18"/>
        <w:rPr>
          <w:rFonts w:hint="eastAsia"/>
          <w:sz w:val="40"/>
          <w:szCs w:val="40"/>
        </w:rPr>
      </w:pPr>
    </w:p>
    <w:p>
      <w:pPr>
        <w:jc w:val="center"/>
        <w:rPr>
          <w:rFonts w:hint="eastAsia" w:ascii="宋体" w:hAnsi="宋体"/>
          <w:b/>
          <w:snapToGrid w:val="0"/>
          <w:sz w:val="40"/>
          <w:szCs w:val="48"/>
        </w:rPr>
      </w:pPr>
      <w:r>
        <w:rPr>
          <w:rFonts w:hint="eastAsia" w:ascii="宋体" w:hAnsi="宋体"/>
          <w:b/>
          <w:snapToGrid w:val="0"/>
          <w:sz w:val="40"/>
          <w:szCs w:val="48"/>
        </w:rPr>
        <w:t>（项目编号）</w:t>
      </w:r>
    </w:p>
    <w:p>
      <w:pPr>
        <w:jc w:val="center"/>
        <w:rPr>
          <w:rFonts w:hint="eastAsia" w:ascii="黑体" w:eastAsia="黑体"/>
          <w:sz w:val="30"/>
          <w:szCs w:val="30"/>
        </w:rPr>
      </w:pPr>
    </w:p>
    <w:p>
      <w:pPr>
        <w:jc w:val="center"/>
        <w:rPr>
          <w:rFonts w:hint="eastAsia" w:ascii="黑体" w:eastAsia="黑体"/>
          <w:sz w:val="30"/>
          <w:szCs w:val="30"/>
        </w:rPr>
      </w:pPr>
    </w:p>
    <w:p>
      <w:pPr>
        <w:ind w:firstLine="2080" w:firstLineChars="650"/>
        <w:rPr>
          <w:rFonts w:hint="eastAsia" w:ascii="黑体" w:eastAsia="黑体"/>
          <w:sz w:val="32"/>
          <w:szCs w:val="32"/>
        </w:rPr>
      </w:pPr>
      <w:r>
        <w:rPr>
          <w:rFonts w:hint="eastAsia" w:ascii="黑体" w:eastAsia="黑体"/>
          <w:sz w:val="32"/>
          <w:szCs w:val="32"/>
        </w:rPr>
        <w:t>甲  方：西安市第五医院</w:t>
      </w:r>
    </w:p>
    <w:p>
      <w:pPr>
        <w:tabs>
          <w:tab w:val="left" w:pos="480"/>
        </w:tabs>
        <w:ind w:firstLine="640" w:firstLineChars="200"/>
        <w:rPr>
          <w:rFonts w:hint="eastAsia" w:ascii="黑体" w:hAnsi="黑体" w:eastAsia="黑体"/>
          <w:sz w:val="32"/>
          <w:szCs w:val="32"/>
        </w:rPr>
      </w:pPr>
      <w:r>
        <w:rPr>
          <w:rFonts w:hint="eastAsia" w:ascii="黑体" w:eastAsia="黑体"/>
          <w:sz w:val="32"/>
          <w:szCs w:val="32"/>
        </w:rPr>
        <w:t xml:space="preserve">         </w:t>
      </w:r>
      <w:r>
        <w:rPr>
          <w:rFonts w:hint="eastAsia" w:ascii="黑体" w:hAnsi="黑体" w:eastAsia="黑体"/>
          <w:sz w:val="32"/>
          <w:szCs w:val="32"/>
        </w:rPr>
        <w:t>乙  方：</w:t>
      </w:r>
    </w:p>
    <w:p>
      <w:pPr>
        <w:tabs>
          <w:tab w:val="left" w:pos="480"/>
        </w:tabs>
        <w:ind w:firstLine="2080" w:firstLineChars="650"/>
        <w:rPr>
          <w:rFonts w:hint="eastAsia" w:ascii="黑体" w:hAnsi="黑体" w:eastAsia="黑体"/>
          <w:b/>
          <w:sz w:val="32"/>
          <w:szCs w:val="32"/>
        </w:rPr>
      </w:pPr>
      <w:r>
        <w:rPr>
          <w:rFonts w:hint="eastAsia" w:ascii="黑体" w:eastAsia="黑体"/>
          <w:sz w:val="32"/>
          <w:szCs w:val="32"/>
        </w:rPr>
        <w:t>鉴证方：</w:t>
      </w:r>
    </w:p>
    <w:p>
      <w:pPr>
        <w:ind w:firstLine="3360" w:firstLineChars="1050"/>
        <w:rPr>
          <w:rFonts w:hint="eastAsia" w:ascii="黑体" w:eastAsia="黑体"/>
          <w:sz w:val="32"/>
          <w:szCs w:val="32"/>
        </w:rPr>
      </w:pPr>
      <w:r>
        <w:rPr>
          <w:rFonts w:hint="eastAsia" w:ascii="黑体" w:eastAsia="黑体"/>
          <w:sz w:val="32"/>
          <w:szCs w:val="32"/>
        </w:rPr>
        <w:t>2023年  月</w:t>
      </w:r>
    </w:p>
    <w:p>
      <w:pPr>
        <w:jc w:val="center"/>
        <w:rPr>
          <w:rFonts w:hint="eastAsia" w:ascii="黑体" w:eastAsia="黑体"/>
          <w:sz w:val="32"/>
          <w:szCs w:val="32"/>
        </w:rPr>
      </w:pPr>
      <w:r>
        <w:rPr>
          <w:rFonts w:hint="eastAsia" w:ascii="黑体" w:eastAsia="黑体"/>
          <w:sz w:val="32"/>
          <w:szCs w:val="32"/>
        </w:rPr>
        <w:t>中国  西安</w:t>
      </w:r>
    </w:p>
    <w:p>
      <w:pPr>
        <w:pStyle w:val="18"/>
        <w:tabs>
          <w:tab w:val="left" w:pos="510"/>
          <w:tab w:val="clear" w:pos="4153"/>
          <w:tab w:val="clear" w:pos="8306"/>
        </w:tabs>
        <w:rPr>
          <w:rFonts w:hint="eastAsia"/>
        </w:rPr>
      </w:pPr>
      <w:r>
        <w:tab/>
      </w:r>
    </w:p>
    <w:p>
      <w:pPr>
        <w:ind w:firstLine="420" w:firstLineChars="200"/>
        <w:rPr>
          <w:rFonts w:hint="eastAsia" w:ascii="宋体" w:hAnsi="宋体"/>
          <w:szCs w:val="21"/>
        </w:rPr>
      </w:pPr>
    </w:p>
    <w:p>
      <w:pPr>
        <w:ind w:firstLine="420" w:firstLineChars="200"/>
        <w:rPr>
          <w:rFonts w:hint="eastAsia" w:ascii="宋体" w:hAnsi="宋体"/>
          <w:szCs w:val="21"/>
        </w:rPr>
      </w:pPr>
    </w:p>
    <w:p>
      <w:pPr>
        <w:rPr>
          <w:rFonts w:hint="eastAsia" w:ascii="宋体" w:hAnsi="宋体"/>
          <w:szCs w:val="21"/>
        </w:rPr>
      </w:pPr>
      <w:r>
        <w:rPr>
          <w:rFonts w:hint="eastAsia" w:ascii="宋体" w:hAnsi="宋体"/>
          <w:szCs w:val="21"/>
        </w:rPr>
        <w:br w:type="page"/>
      </w:r>
    </w:p>
    <w:p>
      <w:pPr>
        <w:ind w:firstLine="420" w:firstLineChars="200"/>
        <w:rPr>
          <w:rFonts w:hint="eastAsia" w:ascii="宋体" w:hAnsi="宋体"/>
          <w:szCs w:val="21"/>
        </w:rPr>
      </w:pPr>
      <w:r>
        <w:rPr>
          <w:rFonts w:hint="eastAsia" w:ascii="宋体" w:hAnsi="宋体"/>
          <w:szCs w:val="21"/>
        </w:rPr>
        <w:t>甲</w:t>
      </w:r>
      <w:r>
        <w:rPr>
          <w:rFonts w:hint="eastAsia" w:ascii="宋体" w:hAnsi="宋体"/>
          <w:szCs w:val="21"/>
          <w:lang w:val="en-US" w:eastAsia="zh-CN"/>
        </w:rPr>
        <w:t xml:space="preserve">  </w:t>
      </w:r>
      <w:r>
        <w:rPr>
          <w:rFonts w:hint="eastAsia" w:ascii="宋体" w:hAnsi="宋体"/>
          <w:szCs w:val="21"/>
        </w:rPr>
        <w:t>方：</w:t>
      </w:r>
      <w:r>
        <w:rPr>
          <w:rFonts w:ascii="宋体" w:hAnsi="宋体"/>
          <w:szCs w:val="21"/>
        </w:rPr>
        <w:t xml:space="preserve"> </w:t>
      </w:r>
      <w:r>
        <w:rPr>
          <w:rFonts w:hint="eastAsia" w:ascii="宋体" w:hAnsi="宋体"/>
          <w:szCs w:val="21"/>
        </w:rPr>
        <w:t>西安市第五医院</w:t>
      </w:r>
    </w:p>
    <w:p>
      <w:pPr>
        <w:keepNext w:val="0"/>
        <w:keepLines w:val="0"/>
        <w:widowControl w:val="0"/>
        <w:suppressLineNumbers w:val="0"/>
        <w:tabs>
          <w:tab w:val="left" w:pos="480"/>
        </w:tabs>
        <w:spacing w:before="0" w:beforeAutospacing="0" w:after="0" w:afterAutospacing="0" w:line="360" w:lineRule="auto"/>
        <w:ind w:right="0" w:firstLine="420" w:firstLineChars="200"/>
        <w:jc w:val="both"/>
        <w:rPr>
          <w:rFonts w:hint="eastAsia" w:ascii="黑体" w:hAnsi="宋体" w:eastAsia="黑体" w:cs="黑体"/>
          <w:sz w:val="32"/>
          <w:szCs w:val="22"/>
          <w:lang w:val="en-US"/>
        </w:rPr>
      </w:pPr>
      <w:r>
        <w:rPr>
          <w:rFonts w:hint="eastAsia" w:ascii="宋体" w:hAnsi="宋体"/>
          <w:color w:val="auto"/>
          <w:szCs w:val="21"/>
        </w:rPr>
        <w:t>乙</w:t>
      </w:r>
      <w:r>
        <w:rPr>
          <w:rFonts w:hint="eastAsia" w:ascii="宋体" w:hAnsi="宋体"/>
          <w:color w:val="auto"/>
          <w:szCs w:val="21"/>
          <w:lang w:val="en-US" w:eastAsia="zh-CN"/>
        </w:rPr>
        <w:t xml:space="preserve">  </w:t>
      </w:r>
      <w:r>
        <w:rPr>
          <w:rFonts w:hint="eastAsia" w:ascii="宋体" w:hAnsi="宋体"/>
          <w:color w:val="auto"/>
          <w:szCs w:val="21"/>
        </w:rPr>
        <w:t>方：</w:t>
      </w:r>
    </w:p>
    <w:p>
      <w:pPr>
        <w:ind w:firstLine="420" w:firstLineChars="200"/>
        <w:rPr>
          <w:rFonts w:hint="eastAsia" w:ascii="宋体" w:hAnsi="宋体"/>
          <w:szCs w:val="21"/>
        </w:rPr>
      </w:pPr>
      <w:r>
        <w:rPr>
          <w:rFonts w:hint="eastAsia" w:ascii="宋体" w:hAnsi="宋体"/>
          <w:szCs w:val="21"/>
        </w:rPr>
        <w:t>鉴证方：</w:t>
      </w:r>
    </w:p>
    <w:p>
      <w:pPr>
        <w:ind w:firstLine="420" w:firstLineChars="200"/>
        <w:rPr>
          <w:rFonts w:hint="eastAsia" w:ascii="宋体" w:hAnsi="宋体"/>
          <w:szCs w:val="21"/>
        </w:rPr>
      </w:pPr>
      <w:r>
        <w:rPr>
          <w:rFonts w:hint="eastAsia" w:ascii="宋体" w:hAnsi="宋体"/>
          <w:szCs w:val="21"/>
        </w:rPr>
        <w:t>鉴证方就甲方所需货物，在西安市财政局政府采购管理处的监督管理下，按照政府采购程序组织竞争性谈判，确定乙方为成交供应商。依据《中华人民共和国政府采购法》、《中华人民共和国招标投标法》、《中华人民共和国</w:t>
      </w:r>
      <w:r>
        <w:rPr>
          <w:rFonts w:hint="eastAsia" w:ascii="宋体" w:hAnsi="宋体"/>
          <w:color w:val="FF0000"/>
          <w:szCs w:val="21"/>
          <w:lang w:val="en-US" w:eastAsia="zh-CN"/>
        </w:rPr>
        <w:t>民法典</w:t>
      </w:r>
      <w:r>
        <w:rPr>
          <w:rFonts w:hint="eastAsia" w:ascii="宋体" w:hAnsi="宋体"/>
          <w:szCs w:val="21"/>
        </w:rPr>
        <w:t>》以及竞争性谈判文件、成交供应商谈判响应文件正本和澄清表（函）、成交通知书，经甲、乙双方协商，鉴证方确认，达成如下条款：</w:t>
      </w:r>
    </w:p>
    <w:p>
      <w:pPr>
        <w:tabs>
          <w:tab w:val="left" w:pos="480"/>
        </w:tabs>
        <w:ind w:firstLine="422" w:firstLineChars="200"/>
        <w:rPr>
          <w:rFonts w:hint="eastAsia" w:ascii="宋体" w:hAnsi="宋体"/>
          <w:b/>
          <w:szCs w:val="21"/>
        </w:rPr>
      </w:pPr>
      <w:r>
        <w:rPr>
          <w:rFonts w:hint="eastAsia" w:ascii="宋体" w:hAnsi="宋体"/>
          <w:b/>
          <w:szCs w:val="21"/>
        </w:rPr>
        <w:t>一、合同标的物</w:t>
      </w:r>
      <w:r>
        <w:rPr>
          <w:rFonts w:hint="eastAsia" w:ascii="宋体" w:hAnsi="宋体"/>
          <w:b/>
          <w:szCs w:val="21"/>
          <w:lang w:val="en-US" w:eastAsia="zh-CN"/>
        </w:rPr>
        <w:t>品</w:t>
      </w:r>
      <w:r>
        <w:rPr>
          <w:rFonts w:hint="eastAsia" w:ascii="宋体" w:hAnsi="宋体"/>
          <w:b/>
          <w:szCs w:val="21"/>
        </w:rPr>
        <w:t>内容及数量</w:t>
      </w:r>
      <w:r>
        <w:rPr>
          <w:rFonts w:hint="eastAsia" w:ascii="宋体" w:hAnsi="宋体"/>
          <w:szCs w:val="21"/>
        </w:rPr>
        <w:t>（以谈判响应文件正本和澄清表〈函〉为准）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13"/>
        <w:gridCol w:w="1695"/>
        <w:gridCol w:w="928"/>
        <w:gridCol w:w="1125"/>
        <w:gridCol w:w="141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color w:val="auto"/>
                <w:szCs w:val="21"/>
              </w:rPr>
            </w:pPr>
            <w:r>
              <w:rPr>
                <w:rFonts w:hint="eastAsia" w:ascii="宋体" w:hAnsi="宋体"/>
                <w:color w:val="auto"/>
                <w:szCs w:val="21"/>
              </w:rPr>
              <w:t>序号</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color w:val="auto"/>
                <w:szCs w:val="21"/>
              </w:rPr>
            </w:pPr>
            <w:r>
              <w:rPr>
                <w:rFonts w:hint="eastAsia" w:ascii="宋体" w:hAnsi="宋体"/>
                <w:color w:val="auto"/>
                <w:szCs w:val="21"/>
              </w:rPr>
              <w:t>货物名称</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color w:val="auto"/>
                <w:szCs w:val="21"/>
              </w:rPr>
            </w:pPr>
            <w:r>
              <w:rPr>
                <w:rFonts w:hint="eastAsia" w:ascii="宋体" w:hAnsi="宋体"/>
                <w:color w:val="auto"/>
                <w:szCs w:val="21"/>
              </w:rPr>
              <w:t>规格参数</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color w:val="auto"/>
                <w:szCs w:val="21"/>
              </w:rPr>
            </w:pPr>
            <w:r>
              <w:rPr>
                <w:rFonts w:hint="eastAsia" w:ascii="宋体" w:hAnsi="宋体"/>
                <w:color w:val="auto"/>
                <w:szCs w:val="21"/>
              </w:rPr>
              <w:t>数量</w:t>
            </w:r>
          </w:p>
        </w:tc>
        <w:tc>
          <w:tcPr>
            <w:tcW w:w="1125"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color w:val="auto"/>
                <w:szCs w:val="21"/>
              </w:rPr>
            </w:pPr>
            <w:r>
              <w:rPr>
                <w:rFonts w:hint="eastAsia" w:ascii="宋体" w:hAnsi="宋体"/>
                <w:color w:val="auto"/>
                <w:szCs w:val="21"/>
              </w:rPr>
              <w:t>产地</w:t>
            </w:r>
          </w:p>
        </w:tc>
        <w:tc>
          <w:tcPr>
            <w:tcW w:w="1416"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hint="eastAsia" w:ascii="宋体" w:hAnsi="宋体"/>
                <w:color w:val="auto"/>
                <w:szCs w:val="21"/>
              </w:rPr>
            </w:pPr>
            <w:r>
              <w:rPr>
                <w:rFonts w:hint="eastAsia" w:ascii="宋体" w:hAnsi="宋体"/>
                <w:color w:val="auto"/>
                <w:szCs w:val="21"/>
              </w:rPr>
              <w:t>品牌</w:t>
            </w: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1</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hint="default" w:ascii="宋体" w:hAnsi="宋体" w:eastAsia="宋体"/>
                <w:szCs w:val="21"/>
                <w:lang w:val="en-US" w:eastAsia="zh-CN"/>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hint="eastAsia" w:ascii="宋体" w:hAnsi="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hint="eastAsia"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说明</w:t>
            </w:r>
          </w:p>
        </w:tc>
        <w:tc>
          <w:tcPr>
            <w:tcW w:w="8294"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480"/>
              </w:tabs>
              <w:jc w:val="left"/>
              <w:rPr>
                <w:rFonts w:hint="eastAsia" w:ascii="宋体" w:hAnsi="宋体"/>
                <w:szCs w:val="21"/>
              </w:rPr>
            </w:pPr>
            <w:r>
              <w:rPr>
                <w:rFonts w:hint="eastAsia" w:ascii="宋体" w:hAnsi="宋体"/>
                <w:szCs w:val="21"/>
              </w:rPr>
              <w:t>附技术参数说明</w:t>
            </w:r>
          </w:p>
        </w:tc>
      </w:tr>
    </w:tbl>
    <w:p>
      <w:pPr>
        <w:tabs>
          <w:tab w:val="left" w:pos="480"/>
        </w:tabs>
        <w:ind w:firstLine="413" w:firstLineChars="196"/>
        <w:rPr>
          <w:rFonts w:hint="eastAsia" w:ascii="宋体" w:hAnsi="宋体"/>
          <w:b/>
          <w:szCs w:val="21"/>
        </w:rPr>
      </w:pPr>
      <w:r>
        <w:rPr>
          <w:rFonts w:hint="eastAsia" w:ascii="宋体" w:hAnsi="宋体"/>
          <w:b/>
          <w:szCs w:val="21"/>
        </w:rPr>
        <w:t>二、合同价款</w:t>
      </w:r>
    </w:p>
    <w:p>
      <w:pPr>
        <w:tabs>
          <w:tab w:val="left" w:pos="480"/>
        </w:tabs>
        <w:ind w:firstLine="420" w:firstLineChars="200"/>
        <w:rPr>
          <w:rFonts w:hint="eastAsia" w:ascii="宋体" w:hAnsi="宋体"/>
          <w:szCs w:val="21"/>
        </w:rPr>
      </w:pPr>
      <w:r>
        <w:rPr>
          <w:rFonts w:hint="eastAsia" w:ascii="宋体" w:hAnsi="宋体"/>
          <w:szCs w:val="21"/>
        </w:rPr>
        <w:t>（一）合同总价款为人民币（大写）</w:t>
      </w:r>
      <w:r>
        <w:rPr>
          <w:rFonts w:hint="eastAsia" w:ascii="宋体" w:hAnsi="宋体"/>
          <w:szCs w:val="21"/>
          <w:lang w:val="en-US" w:eastAsia="zh-CN"/>
        </w:rPr>
        <w:t xml:space="preserve">   </w:t>
      </w:r>
      <w:r>
        <w:rPr>
          <w:rFonts w:hint="eastAsia" w:ascii="宋体" w:hAnsi="宋体"/>
          <w:szCs w:val="21"/>
        </w:rPr>
        <w:t>元整（￥</w:t>
      </w:r>
      <w:r>
        <w:rPr>
          <w:rFonts w:hint="eastAsia" w:ascii="宋体" w:hAnsi="宋体"/>
          <w:szCs w:val="21"/>
          <w:lang w:val="en-US" w:eastAsia="zh-CN"/>
        </w:rPr>
        <w:t xml:space="preserve">         </w:t>
      </w:r>
      <w:r>
        <w:rPr>
          <w:rFonts w:hint="eastAsia" w:ascii="宋体" w:hAnsi="宋体"/>
          <w:szCs w:val="21"/>
        </w:rPr>
        <w:t>元）。</w:t>
      </w:r>
    </w:p>
    <w:p>
      <w:pPr>
        <w:tabs>
          <w:tab w:val="left" w:pos="480"/>
        </w:tabs>
        <w:ind w:firstLine="420" w:firstLineChars="200"/>
        <w:rPr>
          <w:rFonts w:hint="eastAsia" w:ascii="宋体" w:hAnsi="宋体"/>
          <w:szCs w:val="21"/>
        </w:rPr>
      </w:pPr>
      <w:r>
        <w:rPr>
          <w:rFonts w:hint="eastAsia" w:ascii="宋体" w:hAnsi="宋体"/>
          <w:szCs w:val="21"/>
        </w:rPr>
        <w:t>（二）合同总价包括：货物费、运输费（含保险费）、安装调试费、检测验收费及其它费用。</w:t>
      </w:r>
    </w:p>
    <w:p>
      <w:pPr>
        <w:tabs>
          <w:tab w:val="left" w:pos="480"/>
        </w:tabs>
        <w:ind w:firstLine="420" w:firstLineChars="200"/>
        <w:rPr>
          <w:rFonts w:hint="eastAsia" w:ascii="宋体" w:hAnsi="宋体"/>
          <w:szCs w:val="21"/>
        </w:rPr>
      </w:pPr>
      <w:r>
        <w:rPr>
          <w:rFonts w:hint="eastAsia" w:ascii="宋体" w:hAnsi="宋体"/>
          <w:szCs w:val="21"/>
        </w:rPr>
        <w:t>（三）合同总价一次性包死，不受市场价格变化因素的影响。</w:t>
      </w:r>
    </w:p>
    <w:p>
      <w:pPr>
        <w:tabs>
          <w:tab w:val="left" w:pos="480"/>
        </w:tabs>
        <w:ind w:firstLine="413" w:firstLineChars="196"/>
        <w:rPr>
          <w:rFonts w:hint="eastAsia" w:ascii="宋体" w:hAnsi="宋体"/>
          <w:b/>
          <w:szCs w:val="21"/>
        </w:rPr>
      </w:pPr>
      <w:r>
        <w:rPr>
          <w:rFonts w:hint="eastAsia" w:ascii="宋体" w:hAnsi="宋体"/>
          <w:b/>
          <w:szCs w:val="21"/>
        </w:rPr>
        <w:t>三、款项结算</w:t>
      </w:r>
    </w:p>
    <w:p>
      <w:pPr>
        <w:widowControl/>
        <w:autoSpaceDE w:val="0"/>
        <w:autoSpaceDN w:val="0"/>
        <w:ind w:right="-33" w:firstLine="422" w:firstLineChars="200"/>
        <w:textAlignment w:val="bottom"/>
        <w:rPr>
          <w:rFonts w:hint="eastAsia" w:ascii="宋体" w:hAnsi="宋体"/>
          <w:b/>
          <w:bCs/>
          <w:color w:val="FF0000"/>
          <w:szCs w:val="21"/>
        </w:rPr>
      </w:pPr>
      <w:r>
        <w:rPr>
          <w:rFonts w:hint="eastAsia" w:ascii="宋体" w:hAnsi="宋体"/>
          <w:b/>
          <w:bCs/>
          <w:szCs w:val="28"/>
        </w:rPr>
        <w:t>（一）所有货物到达甲方指定地点，安装、调试完毕并验收合格后，乙方出具全额发票。</w:t>
      </w:r>
      <w:r>
        <w:rPr>
          <w:rFonts w:hint="eastAsia" w:ascii="宋体" w:hAnsi="宋体"/>
          <w:b/>
          <w:bCs/>
          <w:szCs w:val="28"/>
          <w:lang w:val="en-US" w:eastAsia="zh-CN"/>
        </w:rPr>
        <w:t>30天</w:t>
      </w:r>
      <w:r>
        <w:rPr>
          <w:rFonts w:hint="eastAsia" w:ascii="宋体" w:hAnsi="宋体"/>
          <w:b/>
          <w:bCs/>
          <w:szCs w:val="28"/>
        </w:rPr>
        <w:t>内支付合同总价款的90％。</w:t>
      </w:r>
      <w:r>
        <w:rPr>
          <w:rFonts w:hint="eastAsia" w:ascii="宋体" w:hAnsi="宋体"/>
          <w:b/>
          <w:bCs/>
          <w:szCs w:val="21"/>
        </w:rPr>
        <w:t>即人民币（大写）</w:t>
      </w:r>
      <w:r>
        <w:rPr>
          <w:rFonts w:hint="eastAsia" w:ascii="宋体" w:hAnsi="宋体"/>
          <w:b/>
          <w:bCs/>
          <w:szCs w:val="21"/>
          <w:lang w:val="en-US" w:eastAsia="zh-CN"/>
        </w:rPr>
        <w:t xml:space="preserve">    </w:t>
      </w:r>
      <w:r>
        <w:rPr>
          <w:rFonts w:hint="eastAsia" w:ascii="宋体" w:hAnsi="宋体"/>
          <w:b/>
          <w:bCs/>
        </w:rPr>
        <w:t xml:space="preserve">元整（￥ </w:t>
      </w:r>
      <w:r>
        <w:rPr>
          <w:rFonts w:hint="eastAsia" w:ascii="宋体" w:hAnsi="宋体"/>
          <w:b/>
          <w:bCs/>
          <w:lang w:val="en-US" w:eastAsia="zh-CN"/>
        </w:rPr>
        <w:t xml:space="preserve">   </w:t>
      </w:r>
      <w:r>
        <w:rPr>
          <w:rFonts w:hint="eastAsia" w:ascii="宋体" w:hAnsi="宋体"/>
          <w:b/>
          <w:bCs/>
        </w:rPr>
        <w:t>元）。</w:t>
      </w:r>
      <w:r>
        <w:rPr>
          <w:rFonts w:hint="eastAsia" w:ascii="宋体" w:hAnsi="宋体"/>
          <w:b/>
          <w:bCs/>
          <w:color w:val="FF0000"/>
          <w:lang w:val="en-US" w:eastAsia="zh-CN"/>
        </w:rPr>
        <w:t>剩余</w:t>
      </w:r>
      <w:r>
        <w:rPr>
          <w:rFonts w:hint="eastAsia" w:ascii="宋体" w:hAnsi="宋体"/>
          <w:b/>
          <w:bCs/>
          <w:color w:val="FF0000"/>
          <w:szCs w:val="21"/>
        </w:rPr>
        <w:t>10%</w:t>
      </w:r>
      <w:r>
        <w:rPr>
          <w:rFonts w:hint="eastAsia" w:ascii="宋体" w:hAnsi="宋体"/>
          <w:b/>
          <w:bCs/>
          <w:color w:val="FF0000"/>
          <w:szCs w:val="21"/>
          <w:lang w:val="zh-CN"/>
        </w:rPr>
        <w:t>满一年后，30天内支付4%货款，满两年后，30天内支付3%货款，满3年后，30天内支付3%货款。</w:t>
      </w:r>
    </w:p>
    <w:p>
      <w:pPr>
        <w:pStyle w:val="18"/>
        <w:rPr>
          <w:rFonts w:hint="eastAsia" w:ascii="宋体" w:hAnsi="宋体"/>
          <w:b/>
          <w:bCs/>
          <w:color w:val="auto"/>
          <w:sz w:val="21"/>
          <w:szCs w:val="21"/>
        </w:rPr>
      </w:pPr>
      <w:r>
        <w:rPr>
          <w:rFonts w:hint="eastAsia" w:ascii="宋体" w:hAnsi="宋体"/>
          <w:szCs w:val="21"/>
        </w:rPr>
        <w:t xml:space="preserve">   </w:t>
      </w:r>
      <w:r>
        <w:rPr>
          <w:rFonts w:hint="eastAsia" w:ascii="宋体" w:hAnsi="宋体"/>
          <w:sz w:val="21"/>
          <w:szCs w:val="21"/>
        </w:rPr>
        <w:t xml:space="preserve">  </w:t>
      </w:r>
      <w:r>
        <w:rPr>
          <w:rFonts w:hint="eastAsia" w:ascii="宋体" w:hAnsi="宋体"/>
          <w:b/>
          <w:bCs/>
          <w:color w:val="auto"/>
          <w:sz w:val="21"/>
          <w:szCs w:val="21"/>
        </w:rPr>
        <w:t>（</w:t>
      </w:r>
      <w:r>
        <w:rPr>
          <w:rFonts w:hint="eastAsia" w:ascii="宋体" w:hAnsi="宋体"/>
          <w:b/>
          <w:bCs/>
          <w:color w:val="auto"/>
          <w:sz w:val="21"/>
          <w:szCs w:val="21"/>
          <w:lang w:val="en-US" w:eastAsia="zh-CN"/>
        </w:rPr>
        <w:t>二</w:t>
      </w:r>
      <w:r>
        <w:rPr>
          <w:rFonts w:hint="eastAsia" w:ascii="宋体" w:hAnsi="宋体"/>
          <w:b/>
          <w:bCs/>
          <w:color w:val="auto"/>
          <w:sz w:val="21"/>
          <w:szCs w:val="21"/>
        </w:rPr>
        <w:t>）</w:t>
      </w:r>
      <w:r>
        <w:rPr>
          <w:rFonts w:hint="eastAsia" w:ascii="宋体" w:hAnsi="宋体"/>
          <w:b/>
          <w:bCs/>
          <w:color w:val="auto"/>
          <w:sz w:val="21"/>
          <w:szCs w:val="21"/>
          <w:lang w:val="en-US" w:eastAsia="zh-CN"/>
        </w:rPr>
        <w:t>付</w:t>
      </w:r>
      <w:r>
        <w:rPr>
          <w:rFonts w:hint="eastAsia" w:ascii="宋体" w:hAnsi="宋体"/>
          <w:b/>
          <w:bCs/>
          <w:color w:val="auto"/>
          <w:sz w:val="21"/>
          <w:szCs w:val="21"/>
          <w:lang w:eastAsia="zh-CN"/>
        </w:rPr>
        <w:t>款</w:t>
      </w:r>
      <w:r>
        <w:rPr>
          <w:rFonts w:hint="eastAsia" w:ascii="宋体" w:hAnsi="宋体"/>
          <w:b/>
          <w:bCs/>
          <w:color w:val="auto"/>
          <w:sz w:val="21"/>
          <w:szCs w:val="21"/>
        </w:rPr>
        <w:t>方式：</w:t>
      </w:r>
    </w:p>
    <w:p>
      <w:pPr>
        <w:spacing w:beforeLines="0" w:afterLines="0"/>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lang w:val="zh-CN"/>
        </w:rPr>
        <w:t>通过银行转账方式将款项转入乙方银行账户。乙方银行账户信息如下：</w:t>
      </w:r>
    </w:p>
    <w:p>
      <w:pPr>
        <w:spacing w:beforeLines="0" w:afterLines="0"/>
        <w:ind w:firstLine="422" w:firstLineChars="200"/>
        <w:rPr>
          <w:rFonts w:hint="eastAsia" w:ascii="宋体" w:hAnsi="宋体" w:eastAsia="宋体" w:cs="宋体"/>
          <w:b/>
          <w:bCs/>
          <w:sz w:val="21"/>
          <w:szCs w:val="21"/>
          <w:u w:val="single"/>
          <w:lang w:val="zh-CN"/>
        </w:rPr>
      </w:pPr>
      <w:r>
        <w:rPr>
          <w:rFonts w:hint="eastAsia" w:ascii="宋体" w:hAnsi="宋体" w:eastAsia="宋体" w:cs="宋体"/>
          <w:b/>
          <w:bCs/>
          <w:sz w:val="21"/>
          <w:szCs w:val="21"/>
          <w:lang w:val="zh-CN"/>
        </w:rPr>
        <w:t>账户全称：</w:t>
      </w:r>
      <w:r>
        <w:rPr>
          <w:rFonts w:hint="eastAsia" w:ascii="宋体" w:hAnsi="宋体" w:eastAsia="宋体" w:cs="宋体"/>
          <w:b/>
          <w:bCs/>
          <w:sz w:val="21"/>
          <w:szCs w:val="21"/>
          <w:u w:val="single"/>
          <w:lang w:val="zh-CN"/>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lang w:val="zh-CN"/>
        </w:rPr>
        <w:t xml:space="preserve"> </w:t>
      </w:r>
    </w:p>
    <w:p>
      <w:pPr>
        <w:spacing w:beforeLines="0" w:afterLines="0"/>
        <w:ind w:firstLine="422" w:firstLineChars="200"/>
        <w:rPr>
          <w:rFonts w:hint="default" w:ascii="宋体" w:hAnsi="宋体" w:eastAsia="宋体" w:cs="宋体"/>
          <w:b/>
          <w:bCs/>
          <w:sz w:val="21"/>
          <w:szCs w:val="21"/>
          <w:u w:val="single"/>
          <w:lang w:val="en-US" w:eastAsia="zh-CN"/>
        </w:rPr>
      </w:pPr>
      <w:r>
        <w:rPr>
          <w:rFonts w:hint="eastAsia" w:ascii="宋体" w:hAnsi="宋体" w:eastAsia="宋体" w:cs="宋体"/>
          <w:b/>
          <w:bCs/>
          <w:sz w:val="21"/>
          <w:szCs w:val="21"/>
          <w:lang w:val="zh-CN"/>
        </w:rPr>
        <w:t>账    号：</w:t>
      </w:r>
      <w:r>
        <w:rPr>
          <w:rFonts w:hint="eastAsia" w:ascii="宋体" w:hAnsi="宋体" w:eastAsia="宋体" w:cs="宋体"/>
          <w:b/>
          <w:bCs/>
          <w:sz w:val="21"/>
          <w:szCs w:val="21"/>
          <w:u w:val="single"/>
          <w:lang w:val="en-US" w:eastAsia="zh-CN"/>
        </w:rPr>
        <w:t xml:space="preserve">                            </w:t>
      </w:r>
    </w:p>
    <w:p>
      <w:pPr>
        <w:spacing w:beforeLines="0" w:afterLines="0"/>
        <w:ind w:firstLine="422" w:firstLineChars="200"/>
        <w:rPr>
          <w:rFonts w:hint="eastAsia" w:ascii="宋体" w:hAnsi="宋体" w:eastAsia="宋体" w:cs="宋体"/>
          <w:b/>
          <w:bCs/>
          <w:sz w:val="21"/>
          <w:szCs w:val="21"/>
          <w:u w:val="single"/>
          <w:lang w:val="zh-CN"/>
        </w:rPr>
      </w:pPr>
      <w:r>
        <w:rPr>
          <w:rFonts w:hint="eastAsia" w:ascii="宋体" w:hAnsi="宋体" w:eastAsia="宋体" w:cs="宋体"/>
          <w:b/>
          <w:bCs/>
          <w:sz w:val="21"/>
          <w:szCs w:val="21"/>
          <w:lang w:val="zh-CN"/>
        </w:rPr>
        <w:t>开 户 行：</w:t>
      </w:r>
      <w:r>
        <w:rPr>
          <w:rFonts w:hint="eastAsia" w:ascii="宋体" w:hAnsi="宋体" w:eastAsia="宋体" w:cs="宋体"/>
          <w:b/>
          <w:bCs/>
          <w:sz w:val="21"/>
          <w:szCs w:val="21"/>
          <w:u w:val="single"/>
          <w:lang w:val="zh-CN"/>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lang w:val="zh-CN"/>
        </w:rPr>
        <w:t xml:space="preserve">       </w:t>
      </w:r>
    </w:p>
    <w:p>
      <w:pPr>
        <w:spacing w:beforeLines="0" w:afterLines="0"/>
        <w:rPr>
          <w:rFonts w:hint="eastAsia" w:ascii="宋体" w:hAnsi="宋体" w:eastAsia="宋体" w:cs="宋体"/>
          <w:b/>
          <w:bCs/>
          <w:sz w:val="21"/>
          <w:szCs w:val="21"/>
          <w:lang w:val="zh-CN"/>
        </w:rPr>
      </w:pPr>
      <w:r>
        <w:rPr>
          <w:rFonts w:hint="eastAsia" w:ascii="宋体" w:hAnsi="宋体" w:eastAsia="宋体" w:cs="宋体"/>
          <w:b/>
          <w:bCs/>
          <w:sz w:val="21"/>
          <w:szCs w:val="21"/>
          <w:lang w:val="zh-CN"/>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u w:val="single"/>
          <w:lang w:val="zh-CN"/>
        </w:rPr>
        <w:t>甲方仅认可上述指定账户并向该账户付款。否则甲方有权拒绝向指定账户之外的任何账户付款，并且由此导致的付款延迟责任由乙方承担。</w:t>
      </w:r>
    </w:p>
    <w:p>
      <w:pPr>
        <w:pStyle w:val="18"/>
        <w:ind w:firstLine="420" w:firstLineChars="200"/>
        <w:rPr>
          <w:rFonts w:hint="eastAsia" w:ascii="宋体" w:hAnsi="宋体"/>
          <w:sz w:val="21"/>
          <w:szCs w:val="21"/>
        </w:rPr>
      </w:pPr>
      <w:r>
        <w:rPr>
          <w:rFonts w:hint="eastAsia" w:ascii="宋体" w:hAnsi="宋体"/>
          <w:sz w:val="21"/>
          <w:szCs w:val="21"/>
          <w:lang w:eastAsia="zh-CN"/>
        </w:rPr>
        <w:t>乙</w:t>
      </w:r>
      <w:r>
        <w:rPr>
          <w:rFonts w:hint="eastAsia" w:ascii="宋体" w:hAnsi="宋体"/>
          <w:sz w:val="21"/>
          <w:szCs w:val="21"/>
        </w:rPr>
        <w:t>方要如实开具发票，不得变更开票内容，乙方开具发票出现税务争议时，乙方需承担税款、滞纳金、罚款等赔偿责任以及其他相关责任。</w:t>
      </w:r>
    </w:p>
    <w:p>
      <w:pPr>
        <w:tabs>
          <w:tab w:val="left" w:pos="480"/>
        </w:tabs>
        <w:ind w:firstLine="420" w:firstLineChars="200"/>
        <w:rPr>
          <w:rFonts w:ascii="宋体" w:hAnsi="宋体"/>
          <w:b/>
          <w:color w:val="FF0000"/>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w:t>
      </w:r>
      <w:r>
        <w:rPr>
          <w:rFonts w:hint="eastAsia" w:ascii="宋体" w:hAnsi="宋体"/>
          <w:color w:val="FF0000"/>
          <w:szCs w:val="21"/>
        </w:rPr>
        <w:t>结算方式：验收合格后填写</w:t>
      </w:r>
      <w:r>
        <w:rPr>
          <w:rFonts w:hint="eastAsia" w:ascii="宋体" w:hAnsi="宋体"/>
          <w:color w:val="FF0000"/>
          <w:szCs w:val="21"/>
          <w:lang w:eastAsia="zh-CN"/>
        </w:rPr>
        <w:t>西安市第五医院设备</w:t>
      </w:r>
      <w:r>
        <w:rPr>
          <w:rFonts w:hint="eastAsia" w:ascii="宋体" w:hAnsi="宋体"/>
          <w:bCs/>
          <w:color w:val="FF0000"/>
          <w:szCs w:val="21"/>
        </w:rPr>
        <w:t>验收单（一式</w:t>
      </w:r>
      <w:r>
        <w:rPr>
          <w:rFonts w:hint="eastAsia" w:ascii="宋体" w:hAnsi="宋体"/>
          <w:bCs/>
          <w:color w:val="FF0000"/>
          <w:szCs w:val="21"/>
          <w:lang w:eastAsia="zh-CN"/>
        </w:rPr>
        <w:t>两</w:t>
      </w:r>
      <w:r>
        <w:rPr>
          <w:rFonts w:hint="eastAsia" w:ascii="宋体" w:hAnsi="宋体"/>
          <w:bCs/>
          <w:color w:val="FF0000"/>
          <w:szCs w:val="21"/>
        </w:rPr>
        <w:t>份）, 发票（按合同总价直开甲方），持中标通知书、供货合同、发票及其复印件、项目验收单，到甲方办理资金结算。</w:t>
      </w:r>
    </w:p>
    <w:p>
      <w:pPr>
        <w:pStyle w:val="18"/>
        <w:numPr>
          <w:ilvl w:val="0"/>
          <w:numId w:val="0"/>
        </w:numPr>
      </w:pPr>
    </w:p>
    <w:p>
      <w:pPr>
        <w:tabs>
          <w:tab w:val="left" w:pos="480"/>
        </w:tabs>
        <w:ind w:firstLine="422" w:firstLineChars="200"/>
        <w:rPr>
          <w:rFonts w:hint="eastAsia" w:ascii="宋体" w:hAnsi="宋体"/>
          <w:b/>
          <w:bCs w:val="0"/>
          <w:szCs w:val="21"/>
        </w:rPr>
      </w:pPr>
      <w:r>
        <w:rPr>
          <w:rFonts w:hint="eastAsia" w:ascii="宋体" w:hAnsi="宋体"/>
          <w:b/>
          <w:bCs w:val="0"/>
          <w:szCs w:val="21"/>
        </w:rPr>
        <w:t>四、双方的权利和义务</w:t>
      </w:r>
    </w:p>
    <w:p>
      <w:pPr>
        <w:ind w:firstLine="210" w:firstLineChars="100"/>
        <w:rPr>
          <w:rFonts w:hint="eastAsia" w:ascii="宋体" w:hAnsi="宋体"/>
          <w:szCs w:val="21"/>
        </w:rPr>
      </w:pPr>
      <w:r>
        <w:rPr>
          <w:rFonts w:hint="eastAsia" w:ascii="宋体" w:hAnsi="宋体"/>
          <w:szCs w:val="21"/>
        </w:rPr>
        <w:t>（一）甲方的权利和义务</w:t>
      </w:r>
    </w:p>
    <w:p>
      <w:pPr>
        <w:ind w:firstLine="420" w:firstLineChars="200"/>
        <w:rPr>
          <w:rFonts w:hint="eastAsia" w:ascii="宋体" w:hAnsi="宋体"/>
          <w:szCs w:val="21"/>
        </w:rPr>
      </w:pPr>
      <w:r>
        <w:rPr>
          <w:rFonts w:hint="eastAsia" w:ascii="宋体" w:hAnsi="宋体"/>
          <w:szCs w:val="21"/>
        </w:rPr>
        <w:t>甲方权利：组织使用单位严格按照招标文件及投标文件要求和标准验收货物。</w:t>
      </w:r>
    </w:p>
    <w:p>
      <w:pPr>
        <w:ind w:firstLine="420" w:firstLineChars="200"/>
        <w:rPr>
          <w:rFonts w:hint="eastAsia" w:ascii="宋体" w:hAnsi="宋体"/>
          <w:szCs w:val="21"/>
        </w:rPr>
      </w:pPr>
      <w:r>
        <w:rPr>
          <w:rFonts w:hint="eastAsia" w:ascii="宋体" w:hAnsi="宋体"/>
          <w:szCs w:val="21"/>
        </w:rPr>
        <w:t>甲方义务：积极配合乙方验收、安装、调试工作。</w:t>
      </w:r>
    </w:p>
    <w:p>
      <w:pPr>
        <w:ind w:firstLine="210" w:firstLineChars="100"/>
        <w:rPr>
          <w:rFonts w:hint="eastAsia" w:ascii="宋体" w:hAnsi="宋体"/>
          <w:szCs w:val="21"/>
        </w:rPr>
      </w:pPr>
      <w:r>
        <w:rPr>
          <w:rFonts w:hint="eastAsia" w:ascii="宋体" w:hAnsi="宋体"/>
          <w:szCs w:val="21"/>
        </w:rPr>
        <w:t>（二）乙方的权利和义务</w:t>
      </w:r>
    </w:p>
    <w:p>
      <w:pPr>
        <w:ind w:firstLine="210" w:firstLineChars="100"/>
        <w:rPr>
          <w:rFonts w:hint="eastAsia" w:ascii="宋体" w:hAnsi="宋体"/>
          <w:szCs w:val="21"/>
        </w:rPr>
      </w:pPr>
      <w:r>
        <w:rPr>
          <w:rFonts w:hint="eastAsia" w:ascii="宋体" w:hAnsi="宋体"/>
          <w:szCs w:val="21"/>
        </w:rPr>
        <w:t xml:space="preserve">   乙方权利：按照合同约定要求甲方及时付款。</w:t>
      </w:r>
    </w:p>
    <w:p>
      <w:pPr>
        <w:ind w:firstLine="420" w:firstLineChars="200"/>
        <w:rPr>
          <w:rFonts w:hint="eastAsia" w:ascii="宋体" w:hAnsi="宋体"/>
          <w:szCs w:val="21"/>
        </w:rPr>
      </w:pPr>
      <w:r>
        <w:rPr>
          <w:rFonts w:hint="eastAsia" w:ascii="宋体" w:hAnsi="宋体"/>
          <w:szCs w:val="21"/>
        </w:rPr>
        <w:t xml:space="preserve"> 乙方义务：按照合同约定时间，按甲方指定地点提供货物，配合验收工作，并负责安装、调试、提供现场技术培训，保证使用人员正常操作设备的各种功能。</w:t>
      </w:r>
    </w:p>
    <w:p>
      <w:pPr>
        <w:tabs>
          <w:tab w:val="left" w:pos="480"/>
        </w:tabs>
        <w:ind w:firstLine="413" w:firstLineChars="196"/>
        <w:rPr>
          <w:rFonts w:hint="eastAsia" w:ascii="宋体" w:hAnsi="宋体"/>
          <w:szCs w:val="21"/>
        </w:rPr>
      </w:pPr>
      <w:r>
        <w:rPr>
          <w:rFonts w:hint="eastAsia" w:ascii="宋体" w:hAnsi="宋体"/>
          <w:b/>
          <w:szCs w:val="21"/>
        </w:rPr>
        <w:t>五、交货条件：</w:t>
      </w:r>
    </w:p>
    <w:p>
      <w:pPr>
        <w:tabs>
          <w:tab w:val="left" w:pos="480"/>
        </w:tabs>
        <w:ind w:firstLine="420" w:firstLineChars="200"/>
        <w:rPr>
          <w:rFonts w:hint="eastAsia" w:ascii="宋体" w:hAnsi="宋体"/>
          <w:szCs w:val="21"/>
        </w:rPr>
      </w:pPr>
      <w:r>
        <w:rPr>
          <w:rFonts w:hint="eastAsia" w:ascii="宋体" w:hAnsi="宋体"/>
          <w:szCs w:val="21"/>
        </w:rPr>
        <w:t>（一）交货地点：甲方指定地点。</w:t>
      </w:r>
    </w:p>
    <w:p>
      <w:pPr>
        <w:tabs>
          <w:tab w:val="left" w:pos="480"/>
        </w:tabs>
        <w:ind w:firstLine="420" w:firstLineChars="200"/>
        <w:rPr>
          <w:rFonts w:hint="eastAsia" w:ascii="宋体" w:hAnsi="宋体"/>
          <w:b/>
          <w:bCs/>
          <w:color w:val="auto"/>
          <w:szCs w:val="21"/>
        </w:rPr>
      </w:pPr>
      <w:r>
        <w:rPr>
          <w:rFonts w:hint="eastAsia" w:ascii="宋体" w:hAnsi="宋体"/>
          <w:szCs w:val="21"/>
        </w:rPr>
        <w:t>（二）交货期</w:t>
      </w:r>
      <w:r>
        <w:rPr>
          <w:rFonts w:hint="eastAsia" w:ascii="宋体" w:hAnsi="宋体"/>
          <w:b/>
          <w:bCs/>
          <w:szCs w:val="21"/>
        </w:rPr>
        <w:t>：</w:t>
      </w:r>
      <w:r>
        <w:rPr>
          <w:rFonts w:hint="eastAsia" w:ascii="宋体" w:hAnsi="宋体"/>
          <w:b/>
          <w:bCs/>
          <w:color w:val="auto"/>
          <w:szCs w:val="21"/>
        </w:rPr>
        <w:t>自合同签订之日起</w:t>
      </w:r>
      <w:r>
        <w:rPr>
          <w:rFonts w:hint="eastAsia" w:ascii="宋体" w:hAnsi="宋体"/>
          <w:b/>
          <w:bCs/>
          <w:color w:val="auto"/>
          <w:szCs w:val="21"/>
          <w:lang w:val="en-US" w:eastAsia="zh-CN"/>
        </w:rPr>
        <w:t>,</w:t>
      </w:r>
      <w:r>
        <w:rPr>
          <w:rFonts w:hint="eastAsia" w:ascii="宋体" w:hAnsi="宋体"/>
          <w:b/>
          <w:bCs/>
          <w:color w:val="FF0000"/>
          <w:szCs w:val="21"/>
          <w:lang w:val="en-US" w:eastAsia="zh-CN"/>
        </w:rPr>
        <w:t>乙方接到甲方通知后</w:t>
      </w:r>
      <w:r>
        <w:rPr>
          <w:rFonts w:hint="eastAsia" w:ascii="宋体" w:hAnsi="宋体"/>
          <w:b/>
          <w:bCs/>
          <w:color w:val="FF0000"/>
          <w:szCs w:val="21"/>
          <w:lang w:eastAsia="zh-CN"/>
        </w:rPr>
        <w:t>国产</w:t>
      </w:r>
      <w:r>
        <w:rPr>
          <w:rFonts w:hint="eastAsia" w:ascii="宋体" w:hAnsi="宋体"/>
          <w:b/>
          <w:bCs/>
          <w:color w:val="FF0000"/>
          <w:szCs w:val="21"/>
          <w:lang w:val="en-US" w:eastAsia="zh-CN"/>
        </w:rPr>
        <w:t>产品5</w:t>
      </w:r>
      <w:r>
        <w:rPr>
          <w:rFonts w:hint="eastAsia" w:ascii="宋体" w:hAnsi="宋体"/>
          <w:b/>
          <w:bCs/>
          <w:color w:val="auto"/>
          <w:szCs w:val="21"/>
        </w:rPr>
        <w:t>个</w:t>
      </w:r>
      <w:r>
        <w:rPr>
          <w:rFonts w:hint="eastAsia" w:ascii="宋体" w:hAnsi="宋体"/>
          <w:b/>
          <w:bCs/>
          <w:color w:val="auto"/>
          <w:szCs w:val="21"/>
          <w:lang w:eastAsia="zh-CN"/>
        </w:rPr>
        <w:t>工作</w:t>
      </w:r>
      <w:r>
        <w:rPr>
          <w:rFonts w:hint="eastAsia" w:ascii="宋体" w:hAnsi="宋体"/>
          <w:b/>
          <w:bCs/>
          <w:color w:val="auto"/>
          <w:szCs w:val="21"/>
        </w:rPr>
        <w:t>日完成货物的安装、调试并正常运行。</w:t>
      </w:r>
    </w:p>
    <w:p>
      <w:pPr>
        <w:tabs>
          <w:tab w:val="left" w:pos="480"/>
        </w:tabs>
        <w:ind w:firstLine="413" w:firstLineChars="196"/>
        <w:rPr>
          <w:rFonts w:hint="eastAsia" w:ascii="宋体" w:hAnsi="宋体"/>
          <w:b/>
          <w:szCs w:val="21"/>
        </w:rPr>
      </w:pPr>
      <w:r>
        <w:rPr>
          <w:rFonts w:hint="eastAsia" w:ascii="宋体" w:hAnsi="宋体"/>
          <w:b/>
          <w:szCs w:val="21"/>
        </w:rPr>
        <w:t>六、运输</w:t>
      </w:r>
    </w:p>
    <w:p>
      <w:pPr>
        <w:tabs>
          <w:tab w:val="left" w:pos="480"/>
        </w:tabs>
        <w:ind w:firstLine="420" w:firstLineChars="200"/>
        <w:rPr>
          <w:rFonts w:hint="eastAsia" w:ascii="宋体" w:hAnsi="宋体"/>
          <w:szCs w:val="21"/>
        </w:rPr>
      </w:pPr>
      <w:r>
        <w:rPr>
          <w:rFonts w:hint="eastAsia" w:ascii="宋体" w:hAnsi="宋体"/>
          <w:szCs w:val="21"/>
        </w:rPr>
        <w:t>（一）运输由乙方负责，运杂费已包含在合同总价内，包括从货物供应地点所含的运输费、装卸费、仓储费、保险费等。</w:t>
      </w:r>
    </w:p>
    <w:p>
      <w:pPr>
        <w:tabs>
          <w:tab w:val="left" w:pos="480"/>
        </w:tabs>
        <w:ind w:firstLine="420" w:firstLineChars="200"/>
        <w:rPr>
          <w:rFonts w:hint="eastAsia" w:ascii="宋体" w:hAnsi="宋体"/>
          <w:szCs w:val="21"/>
        </w:rPr>
      </w:pPr>
      <w:r>
        <w:rPr>
          <w:rFonts w:hint="eastAsia" w:ascii="宋体" w:hAnsi="宋体"/>
          <w:szCs w:val="21"/>
        </w:rPr>
        <w:t>（二）运输方式由乙方自行选择，但必须保证按期交货。</w:t>
      </w:r>
    </w:p>
    <w:p>
      <w:pPr>
        <w:tabs>
          <w:tab w:val="left" w:pos="480"/>
        </w:tabs>
        <w:ind w:firstLine="413" w:firstLineChars="196"/>
        <w:rPr>
          <w:rFonts w:hint="eastAsia" w:ascii="宋体" w:hAnsi="宋体"/>
          <w:b/>
          <w:szCs w:val="21"/>
        </w:rPr>
      </w:pPr>
      <w:r>
        <w:rPr>
          <w:rFonts w:hint="eastAsia" w:ascii="宋体" w:hAnsi="宋体"/>
          <w:b/>
          <w:szCs w:val="21"/>
        </w:rPr>
        <w:t>七、质量保证</w:t>
      </w:r>
    </w:p>
    <w:p>
      <w:pPr>
        <w:tabs>
          <w:tab w:val="left" w:pos="480"/>
        </w:tabs>
        <w:ind w:firstLine="411" w:firstLineChars="196"/>
        <w:rPr>
          <w:rFonts w:hint="eastAsia" w:ascii="宋体" w:hAnsi="宋体"/>
          <w:szCs w:val="21"/>
        </w:rPr>
      </w:pPr>
      <w:r>
        <w:rPr>
          <w:rFonts w:hint="eastAsia" w:ascii="宋体" w:hAnsi="宋体"/>
          <w:szCs w:val="21"/>
        </w:rPr>
        <w:t>乙方所供货物必须执行下列条款：</w:t>
      </w:r>
    </w:p>
    <w:p>
      <w:pPr>
        <w:tabs>
          <w:tab w:val="left" w:pos="480"/>
        </w:tabs>
        <w:ind w:firstLine="420" w:firstLineChars="200"/>
        <w:rPr>
          <w:rFonts w:hint="eastAsia" w:ascii="宋体" w:hAnsi="宋体"/>
          <w:szCs w:val="21"/>
        </w:rPr>
      </w:pPr>
      <w:r>
        <w:rPr>
          <w:rFonts w:hint="eastAsia" w:ascii="宋体" w:hAnsi="宋体"/>
          <w:szCs w:val="21"/>
        </w:rPr>
        <w:t>（一）保证技术指标先进、质量性能可靠、进货渠道正常，配置合理，全面满足谈判要求。</w:t>
      </w:r>
    </w:p>
    <w:p>
      <w:pPr>
        <w:tabs>
          <w:tab w:val="left" w:pos="480"/>
        </w:tabs>
        <w:ind w:firstLine="420" w:firstLineChars="200"/>
        <w:rPr>
          <w:rFonts w:hint="eastAsia" w:ascii="宋体" w:hAnsi="宋体"/>
          <w:szCs w:val="21"/>
        </w:rPr>
      </w:pPr>
      <w:r>
        <w:rPr>
          <w:rFonts w:hint="eastAsia" w:ascii="宋体" w:hAnsi="宋体"/>
          <w:szCs w:val="21"/>
        </w:rPr>
        <w:t>（二）符合国家有关规范要求，确保达到最佳运行状态。</w:t>
      </w:r>
    </w:p>
    <w:p>
      <w:pPr>
        <w:tabs>
          <w:tab w:val="left" w:pos="480"/>
        </w:tabs>
        <w:ind w:firstLine="420" w:firstLineChars="200"/>
        <w:rPr>
          <w:rFonts w:hint="eastAsia" w:ascii="宋体" w:hAnsi="宋体"/>
          <w:szCs w:val="21"/>
        </w:rPr>
      </w:pPr>
      <w:r>
        <w:rPr>
          <w:rFonts w:hint="eastAsia" w:ascii="宋体" w:hAnsi="宋体"/>
          <w:szCs w:val="21"/>
        </w:rPr>
        <w:t>（三）具有良好的外观，适合安装场所的使用。</w:t>
      </w:r>
    </w:p>
    <w:p>
      <w:pPr>
        <w:tabs>
          <w:tab w:val="left" w:pos="480"/>
        </w:tabs>
        <w:ind w:firstLine="420" w:firstLineChars="200"/>
        <w:rPr>
          <w:rFonts w:hint="eastAsia" w:ascii="宋体" w:hAnsi="宋体"/>
          <w:szCs w:val="21"/>
        </w:rPr>
      </w:pPr>
      <w:r>
        <w:rPr>
          <w:rFonts w:hint="eastAsia"/>
        </w:rPr>
        <w:t>（四）</w:t>
      </w:r>
      <w:r>
        <w:rPr>
          <w:rFonts w:hint="eastAsia" w:ascii="宋体" w:hAnsi="宋体"/>
          <w:szCs w:val="21"/>
        </w:rPr>
        <w:t>自安装、调试正常运行并验收合格之日起：</w:t>
      </w:r>
    </w:p>
    <w:p>
      <w:pPr>
        <w:tabs>
          <w:tab w:val="left" w:pos="480"/>
        </w:tabs>
        <w:ind w:firstLine="420" w:firstLineChars="200"/>
        <w:rPr>
          <w:rFonts w:hint="eastAsia" w:ascii="宋体" w:hAnsi="宋体"/>
          <w:szCs w:val="21"/>
        </w:rPr>
      </w:pPr>
      <w:r>
        <w:rPr>
          <w:rFonts w:hint="eastAsia" w:ascii="宋体" w:hAnsi="宋体"/>
          <w:szCs w:val="21"/>
        </w:rPr>
        <w:t>1、</w:t>
      </w:r>
      <w:r>
        <w:rPr>
          <w:rFonts w:hint="eastAsia" w:ascii="宋体" w:hAnsi="宋体"/>
          <w:color w:val="FF0000"/>
          <w:szCs w:val="21"/>
        </w:rPr>
        <w:t>免费整机保修三年（含第三方设备）</w:t>
      </w:r>
      <w:r>
        <w:rPr>
          <w:rFonts w:hint="eastAsia" w:ascii="宋体" w:hAnsi="宋体"/>
          <w:szCs w:val="21"/>
        </w:rPr>
        <w:t>，终身维护，免费保修期内，同一主要部件出现质量问题经过两次维修后仍无法正常使用，</w:t>
      </w:r>
      <w:r>
        <w:rPr>
          <w:rFonts w:hint="eastAsia" w:ascii="宋体" w:hAnsi="宋体"/>
          <w:color w:val="FF0000"/>
          <w:szCs w:val="21"/>
        </w:rPr>
        <w:t>可以</w:t>
      </w:r>
      <w:r>
        <w:rPr>
          <w:rFonts w:hint="eastAsia" w:ascii="宋体" w:hAnsi="宋体"/>
          <w:szCs w:val="21"/>
        </w:rPr>
        <w:t>更换同型号、同规格的产品，服务响应时间不超过2小时，解决问题不超过4小时，对超过4小时，问题较大短期内暂不能解决的，为不影响甲方正常工作，乙方在2日内免费提供替代产品，确保正常运行；</w:t>
      </w:r>
    </w:p>
    <w:p>
      <w:pPr>
        <w:tabs>
          <w:tab w:val="left" w:pos="480"/>
        </w:tabs>
        <w:ind w:firstLine="420" w:firstLineChars="200"/>
        <w:rPr>
          <w:rFonts w:hint="eastAsia" w:ascii="宋体" w:hAnsi="宋体"/>
          <w:szCs w:val="21"/>
        </w:rPr>
      </w:pPr>
      <w:r>
        <w:rPr>
          <w:rFonts w:hint="eastAsia" w:ascii="宋体" w:hAnsi="宋体"/>
          <w:szCs w:val="21"/>
        </w:rPr>
        <w:t>2、30天内，如出现质量问题，可以选择换货或退货；</w:t>
      </w:r>
    </w:p>
    <w:p>
      <w:pPr>
        <w:tabs>
          <w:tab w:val="left" w:pos="480"/>
        </w:tabs>
        <w:ind w:firstLine="420" w:firstLineChars="200"/>
        <w:rPr>
          <w:rFonts w:hint="eastAsia" w:ascii="宋体" w:hAnsi="宋体"/>
          <w:szCs w:val="21"/>
        </w:rPr>
      </w:pPr>
      <w:r>
        <w:rPr>
          <w:rFonts w:hint="eastAsia" w:ascii="宋体" w:hAnsi="宋体"/>
          <w:szCs w:val="21"/>
        </w:rPr>
        <w:t>3、30至60天内，如出现质量问题，可选择换货。</w:t>
      </w:r>
    </w:p>
    <w:p>
      <w:pPr>
        <w:tabs>
          <w:tab w:val="left" w:pos="480"/>
        </w:tabs>
        <w:ind w:firstLine="420" w:firstLineChars="200"/>
        <w:rPr>
          <w:rFonts w:hint="eastAsia" w:ascii="宋体" w:hAnsi="宋体" w:cs="宋体"/>
          <w:sz w:val="24"/>
        </w:rPr>
      </w:pPr>
      <w:r>
        <w:rPr>
          <w:rFonts w:hint="eastAsia" w:ascii="宋体" w:hAnsi="宋体"/>
          <w:sz w:val="21"/>
          <w:szCs w:val="21"/>
          <w:lang w:val="en-US" w:eastAsia="zh-CN"/>
        </w:rPr>
        <w:t>4、</w:t>
      </w:r>
      <w:r>
        <w:rPr>
          <w:rFonts w:hint="eastAsia" w:ascii="宋体" w:hAnsi="宋体"/>
          <w:sz w:val="21"/>
          <w:szCs w:val="21"/>
        </w:rPr>
        <w:t>设备因产品质量或设计缺陷等问题，而发生的医疗差错或医疗纠纷而引起的经济责任及法律责任由乙方及生产厂商负全部责任，如果造成损失，由乙方</w:t>
      </w:r>
      <w:r>
        <w:rPr>
          <w:rFonts w:hint="eastAsia" w:ascii="宋体" w:hAnsi="宋体" w:cs="宋体"/>
          <w:sz w:val="21"/>
          <w:szCs w:val="21"/>
        </w:rPr>
        <w:t>赔偿甲方的全部损失包括直接损失和间接损失。包括给第三人（病人）造成人身损害、财产损失及其医院支出的相关费用等），如在质保期内，甲方可以从</w:t>
      </w:r>
      <w:r>
        <w:rPr>
          <w:rFonts w:hint="eastAsia" w:ascii="宋体" w:hAnsi="宋体" w:cs="宋体"/>
          <w:color w:val="FF0000"/>
          <w:sz w:val="21"/>
          <w:szCs w:val="21"/>
          <w:lang w:val="en-US" w:eastAsia="zh-CN"/>
        </w:rPr>
        <w:t>未付款项</w:t>
      </w:r>
      <w:r>
        <w:rPr>
          <w:rFonts w:hint="eastAsia" w:ascii="宋体" w:hAnsi="宋体" w:cs="宋体"/>
          <w:sz w:val="21"/>
          <w:szCs w:val="21"/>
        </w:rPr>
        <w:t>中直接扣除</w:t>
      </w:r>
      <w:r>
        <w:rPr>
          <w:rFonts w:hint="eastAsia" w:ascii="宋体" w:hAnsi="宋体" w:cs="宋体"/>
          <w:sz w:val="24"/>
        </w:rPr>
        <w:t>。</w:t>
      </w:r>
    </w:p>
    <w:p>
      <w:pPr>
        <w:pStyle w:val="81"/>
        <w:widowControl w:val="0"/>
        <w:autoSpaceDE w:val="0"/>
        <w:autoSpaceDN w:val="0"/>
        <w:adjustRightInd w:val="0"/>
        <w:spacing w:before="0" w:after="0" w:line="468" w:lineRule="exact"/>
        <w:ind w:firstLine="210" w:firstLineChars="100"/>
        <w:jc w:val="left"/>
        <w:rPr>
          <w:rFonts w:hint="eastAsia" w:ascii="宋体" w:hAnsi="宋体" w:cs="宋体"/>
          <w:color w:val="FF0000"/>
          <w:sz w:val="24"/>
        </w:rPr>
      </w:pPr>
      <w:r>
        <w:rPr>
          <w:rFonts w:ascii="宋体" w:hAnsi="宋体" w:cs="宋体"/>
          <w:color w:val="FF0000"/>
          <w:sz w:val="21"/>
          <w:lang w:eastAsia="zh-CN"/>
        </w:rPr>
        <w:t>（</w:t>
      </w:r>
      <w:r>
        <w:rPr>
          <w:rFonts w:hint="eastAsia" w:ascii="宋体" w:hAnsi="宋体" w:cs="宋体"/>
          <w:color w:val="FF0000"/>
          <w:sz w:val="21"/>
          <w:lang w:val="en-US" w:eastAsia="zh-CN"/>
        </w:rPr>
        <w:t>五</w:t>
      </w:r>
      <w:r>
        <w:rPr>
          <w:rFonts w:ascii="宋体" w:hAnsi="宋体" w:cs="宋体"/>
          <w:color w:val="FF0000"/>
          <w:sz w:val="21"/>
          <w:lang w:eastAsia="zh-CN"/>
        </w:rPr>
        <w:t>）施工中所有的安全责任事故及造成的经济损失由乙方承担。</w:t>
      </w:r>
    </w:p>
    <w:p>
      <w:pPr>
        <w:rPr>
          <w:rFonts w:hint="eastAsia" w:ascii="宋体" w:hAnsi="宋体"/>
          <w:b/>
          <w:sz w:val="24"/>
        </w:rPr>
      </w:pPr>
    </w:p>
    <w:p>
      <w:pPr>
        <w:ind w:firstLine="482" w:firstLineChars="200"/>
        <w:rPr>
          <w:rFonts w:hint="eastAsia" w:ascii="宋体" w:hAnsi="宋体"/>
          <w:b/>
          <w:sz w:val="24"/>
        </w:rPr>
      </w:pPr>
      <w:r>
        <w:rPr>
          <w:rFonts w:hint="eastAsia" w:ascii="宋体" w:hAnsi="宋体"/>
          <w:b/>
          <w:sz w:val="24"/>
        </w:rPr>
        <w:t>八、售后服务</w:t>
      </w:r>
    </w:p>
    <w:p>
      <w:pPr>
        <w:ind w:firstLine="420" w:firstLineChars="200"/>
        <w:rPr>
          <w:rFonts w:hint="eastAsia" w:ascii="宋体" w:hAnsi="宋体"/>
          <w:b/>
          <w:szCs w:val="21"/>
        </w:rPr>
      </w:pPr>
      <w:r>
        <w:rPr>
          <w:rFonts w:hint="eastAsia" w:ascii="宋体" w:hAnsi="宋体"/>
          <w:szCs w:val="21"/>
        </w:rPr>
        <w:t>乙方所供货物提供以下售后服务：</w:t>
      </w:r>
    </w:p>
    <w:p>
      <w:pPr>
        <w:ind w:firstLine="420" w:firstLineChars="200"/>
        <w:rPr>
          <w:rFonts w:hint="eastAsia" w:ascii="宋体" w:hAnsi="宋体"/>
          <w:szCs w:val="21"/>
        </w:rPr>
      </w:pPr>
      <w:r>
        <w:rPr>
          <w:rFonts w:hint="eastAsia" w:ascii="宋体" w:hAnsi="宋体"/>
          <w:szCs w:val="21"/>
        </w:rPr>
        <w:t>（一）质保期内：</w:t>
      </w:r>
    </w:p>
    <w:p>
      <w:pPr>
        <w:ind w:firstLine="420" w:firstLineChars="200"/>
        <w:rPr>
          <w:rFonts w:hint="eastAsia" w:ascii="宋体" w:hAnsi="宋体"/>
          <w:szCs w:val="21"/>
        </w:rPr>
      </w:pPr>
      <w:r>
        <w:rPr>
          <w:rFonts w:hint="eastAsia" w:ascii="宋体" w:hAnsi="宋体"/>
          <w:szCs w:val="21"/>
        </w:rPr>
        <w:t>1、发生质量问题，接到甲方通知后，应于当日派出专业的维修人员到现场进行检测维修，发生              的全部费用由乙方承担，若需送回生产厂，乙方承担往返费用；</w:t>
      </w:r>
    </w:p>
    <w:p>
      <w:pPr>
        <w:ind w:firstLine="420" w:firstLineChars="200"/>
        <w:rPr>
          <w:rFonts w:hint="eastAsia" w:ascii="宋体" w:hAnsi="宋体"/>
          <w:szCs w:val="21"/>
        </w:rPr>
      </w:pPr>
      <w:r>
        <w:rPr>
          <w:rFonts w:hint="eastAsia" w:ascii="宋体" w:hAnsi="宋体"/>
          <w:szCs w:val="21"/>
        </w:rPr>
        <w:t>2、定期派技术人员到现场走访，给予检查维护；</w:t>
      </w:r>
    </w:p>
    <w:p>
      <w:pPr>
        <w:ind w:firstLine="420" w:firstLineChars="200"/>
        <w:rPr>
          <w:rFonts w:hint="eastAsia" w:ascii="宋体" w:hAnsi="宋体"/>
          <w:szCs w:val="21"/>
        </w:rPr>
      </w:pPr>
      <w:r>
        <w:rPr>
          <w:rFonts w:hint="eastAsia" w:ascii="宋体" w:hAnsi="宋体"/>
          <w:szCs w:val="21"/>
        </w:rPr>
        <w:t>3、排除故障的期限不得超过24小时。否则甲方有权指定第三方维修，维修费用由乙方承担。</w:t>
      </w:r>
    </w:p>
    <w:p>
      <w:pPr>
        <w:pStyle w:val="18"/>
        <w:rPr>
          <w:rFonts w:hint="default" w:eastAsia="宋体"/>
          <w:color w:val="FF0000"/>
          <w:sz w:val="21"/>
          <w:szCs w:val="21"/>
          <w:lang w:val="en-US" w:eastAsia="zh-CN"/>
        </w:rPr>
      </w:pPr>
      <w:r>
        <w:rPr>
          <w:rFonts w:hint="eastAsia" w:ascii="宋体" w:hAnsi="宋体"/>
          <w:szCs w:val="21"/>
          <w:lang w:val="en-US" w:eastAsia="zh-CN"/>
        </w:rPr>
        <w:t xml:space="preserve">  </w:t>
      </w:r>
      <w:r>
        <w:rPr>
          <w:rFonts w:hint="eastAsia" w:ascii="宋体" w:hAnsi="宋体"/>
          <w:sz w:val="21"/>
          <w:szCs w:val="21"/>
          <w:lang w:val="en-US" w:eastAsia="zh-CN"/>
        </w:rPr>
        <w:t xml:space="preserve">  </w:t>
      </w:r>
      <w:r>
        <w:rPr>
          <w:rFonts w:hint="eastAsia" w:ascii="宋体" w:hAnsi="宋体"/>
          <w:color w:val="FF0000"/>
          <w:sz w:val="21"/>
          <w:szCs w:val="21"/>
          <w:lang w:val="en-US" w:eastAsia="zh-CN"/>
        </w:rPr>
        <w:t xml:space="preserve"> 4、质保期从货物验收合格之日起计算质保期。</w:t>
      </w:r>
    </w:p>
    <w:p>
      <w:pPr>
        <w:ind w:firstLine="420" w:firstLineChars="200"/>
        <w:rPr>
          <w:rFonts w:hint="eastAsia" w:ascii="宋体" w:hAnsi="宋体"/>
          <w:szCs w:val="21"/>
        </w:rPr>
      </w:pPr>
      <w:r>
        <w:rPr>
          <w:rFonts w:hint="eastAsia" w:ascii="宋体" w:hAnsi="宋体"/>
          <w:szCs w:val="21"/>
        </w:rPr>
        <w:t>（二）质保期结束前，进行系统测试，全面保养维护，确保正常运行。</w:t>
      </w:r>
    </w:p>
    <w:p>
      <w:pPr>
        <w:tabs>
          <w:tab w:val="left" w:pos="480"/>
        </w:tabs>
        <w:ind w:firstLine="472" w:firstLineChars="196"/>
        <w:rPr>
          <w:rFonts w:hint="eastAsia" w:ascii="宋体" w:hAnsi="宋体"/>
          <w:b/>
          <w:sz w:val="24"/>
          <w:szCs w:val="24"/>
        </w:rPr>
      </w:pPr>
      <w:r>
        <w:rPr>
          <w:rFonts w:hint="eastAsia" w:ascii="宋体" w:hAnsi="宋体"/>
          <w:b/>
          <w:sz w:val="24"/>
          <w:szCs w:val="24"/>
        </w:rPr>
        <w:t>九、技术与服务</w:t>
      </w:r>
    </w:p>
    <w:p>
      <w:pPr>
        <w:tabs>
          <w:tab w:val="left" w:pos="480"/>
        </w:tabs>
        <w:ind w:firstLine="420" w:firstLineChars="200"/>
      </w:pPr>
      <w:r>
        <w:rPr>
          <w:rFonts w:hint="eastAsia" w:ascii="宋体" w:hAnsi="宋体"/>
          <w:szCs w:val="21"/>
        </w:rPr>
        <w:t>（一）</w:t>
      </w:r>
      <w:r>
        <w:rPr>
          <w:rFonts w:hint="eastAsia" w:ascii="宋体" w:hAnsi="宋体" w:cs="宋体"/>
          <w:sz w:val="24"/>
        </w:rPr>
        <w:t>技术资料包括</w:t>
      </w:r>
      <w:r>
        <w:rPr>
          <w:rFonts w:hint="eastAsia" w:ascii="宋体" w:hAnsi="宋体" w:cs="宋体"/>
          <w:color w:val="FF0000"/>
          <w:sz w:val="24"/>
        </w:rPr>
        <w:t>：</w:t>
      </w:r>
    </w:p>
    <w:p>
      <w:pPr>
        <w:tabs>
          <w:tab w:val="left" w:pos="480"/>
        </w:tabs>
        <w:ind w:firstLine="420" w:firstLineChars="200"/>
        <w:rPr>
          <w:rFonts w:hint="eastAsia" w:ascii="宋体" w:hAnsi="宋体"/>
          <w:szCs w:val="21"/>
        </w:rPr>
      </w:pPr>
      <w:r>
        <w:rPr>
          <w:rFonts w:hint="eastAsia" w:ascii="宋体" w:hAnsi="宋体"/>
          <w:szCs w:val="21"/>
        </w:rPr>
        <w:t>1、货物合格证；</w:t>
      </w:r>
    </w:p>
    <w:p>
      <w:pPr>
        <w:tabs>
          <w:tab w:val="left" w:pos="480"/>
        </w:tabs>
        <w:ind w:firstLine="420" w:firstLineChars="200"/>
        <w:rPr>
          <w:rFonts w:hint="eastAsia" w:ascii="宋体" w:hAnsi="宋体"/>
          <w:szCs w:val="21"/>
        </w:rPr>
      </w:pPr>
      <w:r>
        <w:rPr>
          <w:rFonts w:hint="eastAsia" w:ascii="宋体" w:hAnsi="宋体"/>
          <w:szCs w:val="21"/>
        </w:rPr>
        <w:t>2、货物使用说明书（中文）；</w:t>
      </w:r>
    </w:p>
    <w:p>
      <w:pPr>
        <w:tabs>
          <w:tab w:val="left" w:pos="480"/>
        </w:tabs>
        <w:ind w:firstLine="420" w:firstLineChars="200"/>
        <w:rPr>
          <w:rFonts w:hint="eastAsia" w:ascii="宋体" w:hAnsi="宋体"/>
          <w:szCs w:val="21"/>
        </w:rPr>
      </w:pPr>
      <w:r>
        <w:rPr>
          <w:rFonts w:hint="eastAsia" w:ascii="宋体" w:hAnsi="宋体"/>
          <w:szCs w:val="21"/>
        </w:rPr>
        <w:t>3、项目峻工资料、检验测试报告；</w:t>
      </w:r>
    </w:p>
    <w:p>
      <w:pPr>
        <w:tabs>
          <w:tab w:val="left" w:pos="480"/>
        </w:tabs>
        <w:ind w:firstLine="420" w:firstLineChars="200"/>
        <w:rPr>
          <w:rFonts w:hint="eastAsia" w:ascii="宋体" w:hAnsi="宋体"/>
          <w:szCs w:val="21"/>
        </w:rPr>
      </w:pPr>
      <w:r>
        <w:rPr>
          <w:rFonts w:hint="eastAsia" w:ascii="宋体" w:hAnsi="宋体"/>
          <w:szCs w:val="21"/>
        </w:rPr>
        <w:t>4、其它资料。</w:t>
      </w:r>
    </w:p>
    <w:p>
      <w:pPr>
        <w:tabs>
          <w:tab w:val="left" w:pos="480"/>
        </w:tabs>
        <w:ind w:firstLine="420" w:firstLineChars="200"/>
        <w:rPr>
          <w:rFonts w:hint="eastAsia" w:ascii="宋体" w:hAnsi="宋体"/>
          <w:szCs w:val="21"/>
        </w:rPr>
      </w:pPr>
      <w:r>
        <w:rPr>
          <w:rFonts w:hint="eastAsia" w:ascii="宋体" w:hAnsi="宋体"/>
          <w:szCs w:val="21"/>
        </w:rPr>
        <w:t>（二）服务承诺：以谈判响应文件、澄清表（函）、合同和随货物的相关文件为准。</w:t>
      </w:r>
    </w:p>
    <w:p>
      <w:pPr>
        <w:tabs>
          <w:tab w:val="left" w:pos="480"/>
        </w:tabs>
        <w:ind w:firstLine="442" w:firstLineChars="200"/>
        <w:rPr>
          <w:rFonts w:hint="eastAsia" w:ascii="宋体" w:hAnsi="宋体"/>
          <w:b/>
          <w:sz w:val="22"/>
          <w:szCs w:val="22"/>
        </w:rPr>
      </w:pPr>
      <w:r>
        <w:rPr>
          <w:rFonts w:hint="eastAsia" w:ascii="宋体" w:hAnsi="宋体"/>
          <w:b/>
          <w:sz w:val="22"/>
          <w:szCs w:val="22"/>
        </w:rPr>
        <w:t>十、验收</w:t>
      </w:r>
    </w:p>
    <w:p>
      <w:pPr>
        <w:tabs>
          <w:tab w:val="left" w:pos="480"/>
        </w:tabs>
        <w:ind w:firstLine="420" w:firstLineChars="200"/>
        <w:rPr>
          <w:rFonts w:hint="eastAsia" w:ascii="宋体" w:hAnsi="宋体"/>
          <w:szCs w:val="21"/>
        </w:rPr>
      </w:pPr>
      <w:r>
        <w:rPr>
          <w:rFonts w:hint="eastAsia" w:ascii="宋体" w:hAnsi="宋体"/>
          <w:szCs w:val="21"/>
        </w:rPr>
        <w:t>（一）货物到达甲方指定地点后，甲方根据合同要求，进行外观验收，确认产地、规格、型号和数量。</w:t>
      </w:r>
      <w:r>
        <w:rPr>
          <w:rFonts w:hint="eastAsia" w:ascii="宋体" w:hAnsi="宋体" w:cs="宋体"/>
          <w:color w:val="FF0000"/>
          <w:szCs w:val="21"/>
          <w:lang w:val="en-US" w:eastAsia="zh-CN"/>
        </w:rPr>
        <w:t>验收不作为产品质量合格的最终依据</w:t>
      </w:r>
      <w:r>
        <w:rPr>
          <w:rFonts w:hint="eastAsia" w:ascii="宋体" w:hAnsi="宋体" w:cs="宋体"/>
          <w:color w:val="FF0000"/>
          <w:szCs w:val="21"/>
        </w:rPr>
        <w:t>。</w:t>
      </w:r>
    </w:p>
    <w:p>
      <w:pPr>
        <w:tabs>
          <w:tab w:val="left" w:pos="480"/>
        </w:tabs>
        <w:ind w:firstLine="420" w:firstLineChars="200"/>
        <w:rPr>
          <w:rFonts w:hint="eastAsia" w:ascii="宋体" w:hAnsi="宋体"/>
          <w:szCs w:val="21"/>
        </w:rPr>
      </w:pPr>
      <w:r>
        <w:rPr>
          <w:rFonts w:hint="eastAsia" w:ascii="宋体" w:hAnsi="宋体"/>
          <w:szCs w:val="21"/>
        </w:rPr>
        <w:t>（二）货物安装、调试并正常运行后，由乙方进行自检，合格后，准备验收文件，并书面通知甲方。</w:t>
      </w:r>
    </w:p>
    <w:p>
      <w:pPr>
        <w:tabs>
          <w:tab w:val="left" w:pos="480"/>
        </w:tabs>
        <w:ind w:firstLine="420" w:firstLineChars="200"/>
        <w:rPr>
          <w:rFonts w:hint="eastAsia" w:ascii="宋体" w:hAnsi="宋体"/>
          <w:szCs w:val="21"/>
        </w:rPr>
      </w:pPr>
      <w:r>
        <w:rPr>
          <w:rFonts w:hint="eastAsia" w:ascii="宋体" w:hAnsi="宋体"/>
          <w:szCs w:val="21"/>
        </w:rPr>
        <w:t>（三）甲方确认乙方的自检内容后，组织乙方（必要时请有关专家）进行系统验收，验收合格后，填写</w:t>
      </w:r>
      <w:r>
        <w:rPr>
          <w:rFonts w:hint="eastAsia" w:ascii="宋体" w:hAnsi="宋体"/>
          <w:bCs/>
          <w:szCs w:val="21"/>
        </w:rPr>
        <w:t>政府采购项目验收单（一式叁份）</w:t>
      </w:r>
      <w:r>
        <w:rPr>
          <w:rFonts w:hint="eastAsia" w:ascii="宋体" w:hAnsi="宋体"/>
          <w:szCs w:val="21"/>
        </w:rPr>
        <w:t>作为对货物的最终认可。</w:t>
      </w:r>
    </w:p>
    <w:p>
      <w:pPr>
        <w:tabs>
          <w:tab w:val="left" w:pos="480"/>
        </w:tabs>
        <w:ind w:firstLine="420" w:firstLineChars="200"/>
        <w:rPr>
          <w:rFonts w:hint="eastAsia" w:ascii="宋体" w:hAnsi="宋体"/>
          <w:szCs w:val="21"/>
        </w:rPr>
      </w:pPr>
      <w:r>
        <w:rPr>
          <w:rFonts w:hint="eastAsia" w:ascii="宋体" w:hAnsi="宋体"/>
          <w:szCs w:val="21"/>
        </w:rPr>
        <w:t>（四）乙方在验收中应向甲方提交货物安装，调试过程中的所有资料包括本合同第九条（一）项要求的资料，以便甲方日后管理和维护。</w:t>
      </w:r>
    </w:p>
    <w:p>
      <w:pPr>
        <w:tabs>
          <w:tab w:val="left" w:pos="480"/>
        </w:tabs>
        <w:ind w:firstLine="420" w:firstLineChars="200"/>
        <w:rPr>
          <w:rFonts w:hint="eastAsia" w:ascii="宋体" w:hAnsi="宋体"/>
          <w:szCs w:val="21"/>
        </w:rPr>
      </w:pPr>
      <w:r>
        <w:rPr>
          <w:rFonts w:hint="eastAsia" w:ascii="宋体" w:hAnsi="宋体"/>
          <w:szCs w:val="21"/>
        </w:rPr>
        <w:t>（五）验收依据：</w:t>
      </w:r>
    </w:p>
    <w:p>
      <w:pPr>
        <w:tabs>
          <w:tab w:val="left" w:pos="480"/>
        </w:tabs>
        <w:ind w:firstLine="420" w:firstLineChars="200"/>
        <w:rPr>
          <w:rFonts w:hint="eastAsia" w:ascii="宋体" w:hAnsi="宋体"/>
          <w:szCs w:val="21"/>
        </w:rPr>
      </w:pPr>
      <w:r>
        <w:rPr>
          <w:rFonts w:hint="eastAsia" w:ascii="宋体" w:hAnsi="宋体"/>
          <w:szCs w:val="21"/>
        </w:rPr>
        <w:t>1、谈判文件、谈判响应文件、澄清表（函）；</w:t>
      </w:r>
    </w:p>
    <w:p>
      <w:pPr>
        <w:tabs>
          <w:tab w:val="left" w:pos="480"/>
        </w:tabs>
        <w:ind w:firstLine="420" w:firstLineChars="200"/>
        <w:rPr>
          <w:rFonts w:hint="eastAsia" w:ascii="宋体" w:hAnsi="宋体"/>
          <w:szCs w:val="21"/>
        </w:rPr>
      </w:pPr>
      <w:r>
        <w:rPr>
          <w:rFonts w:hint="eastAsia" w:ascii="宋体" w:hAnsi="宋体"/>
          <w:szCs w:val="21"/>
        </w:rPr>
        <w:t>2、本合同及附件文本；</w:t>
      </w:r>
    </w:p>
    <w:p>
      <w:pPr>
        <w:tabs>
          <w:tab w:val="left" w:pos="480"/>
        </w:tabs>
        <w:ind w:firstLine="420" w:firstLineChars="200"/>
        <w:rPr>
          <w:rFonts w:hint="eastAsia" w:ascii="宋体" w:hAnsi="宋体"/>
          <w:szCs w:val="21"/>
        </w:rPr>
      </w:pPr>
      <w:r>
        <w:rPr>
          <w:rFonts w:hint="eastAsia" w:ascii="宋体" w:hAnsi="宋体"/>
          <w:szCs w:val="21"/>
        </w:rPr>
        <w:t>3、国家相应的标准、规范。</w:t>
      </w:r>
    </w:p>
    <w:p>
      <w:pPr>
        <w:tabs>
          <w:tab w:val="left" w:pos="480"/>
        </w:tabs>
        <w:ind w:firstLine="413" w:firstLineChars="196"/>
        <w:rPr>
          <w:rFonts w:hint="eastAsia" w:ascii="宋体" w:hAnsi="宋体"/>
          <w:b/>
          <w:szCs w:val="21"/>
        </w:rPr>
      </w:pPr>
      <w:r>
        <w:rPr>
          <w:rFonts w:hint="eastAsia" w:ascii="宋体" w:hAnsi="宋体"/>
          <w:b/>
          <w:szCs w:val="21"/>
        </w:rPr>
        <w:t>十一、违约责任</w:t>
      </w:r>
    </w:p>
    <w:p>
      <w:pPr>
        <w:tabs>
          <w:tab w:val="left" w:pos="480"/>
        </w:tabs>
        <w:ind w:firstLine="420" w:firstLineChars="200"/>
        <w:rPr>
          <w:rFonts w:hint="eastAsia" w:ascii="宋体" w:hAnsi="宋体"/>
          <w:szCs w:val="21"/>
        </w:rPr>
      </w:pPr>
      <w:r>
        <w:rPr>
          <w:rFonts w:hint="eastAsia" w:ascii="宋体" w:hAnsi="宋体"/>
          <w:szCs w:val="21"/>
        </w:rPr>
        <w:t>（一）按《</w:t>
      </w:r>
      <w:r>
        <w:rPr>
          <w:rFonts w:hint="eastAsia" w:ascii="宋体" w:hAnsi="宋体"/>
          <w:color w:val="FF0000"/>
          <w:szCs w:val="21"/>
          <w:lang w:val="en-US" w:eastAsia="zh-CN"/>
        </w:rPr>
        <w:t>民法典</w:t>
      </w:r>
      <w:r>
        <w:rPr>
          <w:rFonts w:hint="eastAsia" w:ascii="宋体" w:hAnsi="宋体"/>
          <w:szCs w:val="21"/>
        </w:rPr>
        <w:t>》</w:t>
      </w:r>
      <w:r>
        <w:rPr>
          <w:rFonts w:hint="eastAsia" w:ascii="宋体" w:hAnsi="宋体"/>
          <w:szCs w:val="21"/>
          <w:lang w:eastAsia="zh-CN"/>
        </w:rPr>
        <w:t>、</w:t>
      </w:r>
      <w:r>
        <w:rPr>
          <w:rFonts w:hint="eastAsia" w:ascii="宋体" w:hAnsi="宋体"/>
          <w:szCs w:val="21"/>
        </w:rPr>
        <w:t>《政府采购法》中的相关条款执行。</w:t>
      </w:r>
    </w:p>
    <w:p>
      <w:pPr>
        <w:tabs>
          <w:tab w:val="left" w:pos="480"/>
        </w:tabs>
        <w:ind w:firstLine="420" w:firstLineChars="200"/>
        <w:rPr>
          <w:rFonts w:hint="eastAsia" w:ascii="宋体" w:hAnsi="宋体"/>
          <w:szCs w:val="21"/>
        </w:rPr>
      </w:pPr>
      <w:r>
        <w:rPr>
          <w:rFonts w:hint="eastAsia" w:ascii="宋体" w:hAnsi="宋体"/>
          <w:szCs w:val="21"/>
        </w:rPr>
        <w:t>（二）未按合同要求提供货物或质量不能满足谈判技术要求，乙方必须无条件更换，提高技术，完善质量，否则，甲方会同鉴证方有权终止合同，并对乙方的违约行为报监管机构进行相应的处罚。</w:t>
      </w:r>
    </w:p>
    <w:p>
      <w:pPr>
        <w:tabs>
          <w:tab w:val="left" w:pos="480"/>
        </w:tabs>
        <w:ind w:firstLine="420" w:firstLineChars="200"/>
        <w:rPr>
          <w:rFonts w:hint="eastAsia" w:ascii="宋体" w:hAnsi="宋体"/>
          <w:szCs w:val="21"/>
        </w:rPr>
      </w:pPr>
      <w:r>
        <w:rPr>
          <w:rFonts w:hint="eastAsia" w:ascii="宋体" w:hAnsi="宋体"/>
          <w:szCs w:val="21"/>
        </w:rPr>
        <w:t>（三）交货期每超过一天，扣除乙方合同总价款的</w:t>
      </w:r>
      <w:r>
        <w:rPr>
          <w:rFonts w:hint="eastAsia" w:ascii="宋体" w:hAnsi="宋体"/>
          <w:szCs w:val="21"/>
          <w:u w:val="single"/>
        </w:rPr>
        <w:t xml:space="preserve"> 1 </w:t>
      </w:r>
      <w:r>
        <w:rPr>
          <w:rFonts w:hint="eastAsia" w:ascii="宋体" w:hAnsi="宋体"/>
          <w:szCs w:val="21"/>
        </w:rPr>
        <w:t>‰，作为违约金。</w:t>
      </w:r>
    </w:p>
    <w:p>
      <w:pPr>
        <w:tabs>
          <w:tab w:val="left" w:pos="480"/>
        </w:tabs>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四</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如果乙方延期交货30天以上，则本合同解除。</w:t>
      </w:r>
      <w:r>
        <w:rPr>
          <w:rFonts w:hint="eastAsia" w:ascii="宋体" w:hAnsi="宋体" w:eastAsia="宋体" w:cs="宋体"/>
          <w:b w:val="0"/>
          <w:bCs w:val="0"/>
          <w:color w:val="FF0000"/>
          <w:sz w:val="21"/>
          <w:szCs w:val="21"/>
          <w:lang w:val="en-US" w:eastAsia="zh-CN"/>
        </w:rPr>
        <w:t>乙方违反合同约定</w:t>
      </w:r>
      <w:r>
        <w:rPr>
          <w:rFonts w:hint="eastAsia" w:ascii="宋体" w:hAnsi="宋体" w:eastAsia="宋体" w:cs="宋体"/>
          <w:b w:val="0"/>
          <w:bCs w:val="0"/>
          <w:sz w:val="21"/>
          <w:szCs w:val="21"/>
        </w:rPr>
        <w:t>需赔偿甲方总价款的30%作为违约金。</w:t>
      </w:r>
    </w:p>
    <w:p>
      <w:pPr>
        <w:tabs>
          <w:tab w:val="left" w:pos="480"/>
        </w:tabs>
        <w:ind w:firstLine="420" w:firstLineChars="200"/>
        <w:rPr>
          <w:rFonts w:hint="eastAsia" w:ascii="宋体" w:hAnsi="宋体"/>
          <w:b w:val="0"/>
          <w:bCs w:val="0"/>
          <w:color w:val="000000"/>
          <w:szCs w:val="21"/>
          <w:lang w:val="en-US" w:eastAsia="zh-CN"/>
        </w:rPr>
      </w:pPr>
      <w:r>
        <w:rPr>
          <w:rFonts w:hint="eastAsia" w:ascii="宋体" w:hAnsi="宋体"/>
          <w:b w:val="0"/>
          <w:bCs w:val="0"/>
          <w:color w:val="000000"/>
          <w:szCs w:val="21"/>
        </w:rPr>
        <w:t>（</w:t>
      </w:r>
      <w:r>
        <w:rPr>
          <w:rFonts w:hint="eastAsia" w:ascii="宋体" w:hAnsi="宋体"/>
          <w:b w:val="0"/>
          <w:bCs w:val="0"/>
          <w:color w:val="000000"/>
          <w:szCs w:val="21"/>
          <w:lang w:val="en-US" w:eastAsia="zh-CN"/>
        </w:rPr>
        <w:t>五</w:t>
      </w:r>
      <w:r>
        <w:rPr>
          <w:rFonts w:hint="eastAsia" w:ascii="宋体" w:hAnsi="宋体"/>
          <w:b w:val="0"/>
          <w:bCs w:val="0"/>
          <w:color w:val="000000"/>
          <w:szCs w:val="21"/>
        </w:rPr>
        <w:t>）</w:t>
      </w:r>
      <w:r>
        <w:rPr>
          <w:rFonts w:hint="eastAsia" w:ascii="宋体" w:hAnsi="宋体"/>
          <w:b w:val="0"/>
          <w:bCs w:val="0"/>
          <w:color w:val="000000"/>
          <w:szCs w:val="21"/>
          <w:lang w:val="en-US" w:eastAsia="zh-CN"/>
        </w:rPr>
        <w:t>乙方货物到达甲方指定地点，一般设备</w:t>
      </w:r>
      <w:r>
        <w:rPr>
          <w:rFonts w:hint="eastAsia" w:ascii="宋体" w:hAnsi="宋体"/>
          <w:b w:val="0"/>
          <w:bCs w:val="0"/>
          <w:color w:val="FF0000"/>
          <w:szCs w:val="21"/>
          <w:lang w:val="en-US" w:eastAsia="zh-CN"/>
        </w:rPr>
        <w:t>五个日历日</w:t>
      </w:r>
      <w:r>
        <w:rPr>
          <w:rFonts w:hint="eastAsia" w:ascii="宋体" w:hAnsi="宋体"/>
          <w:b w:val="0"/>
          <w:bCs w:val="0"/>
          <w:color w:val="000000"/>
          <w:szCs w:val="21"/>
          <w:lang w:val="en-US" w:eastAsia="zh-CN"/>
        </w:rPr>
        <w:t>内完成安装调试及培训，大型</w:t>
      </w:r>
      <w:r>
        <w:rPr>
          <w:rFonts w:hint="eastAsia" w:ascii="宋体" w:hAnsi="宋体"/>
          <w:b w:val="0"/>
          <w:bCs w:val="0"/>
          <w:color w:val="FF0000"/>
          <w:szCs w:val="21"/>
          <w:lang w:val="en-US" w:eastAsia="zh-CN"/>
        </w:rPr>
        <w:t>设备十个日历日</w:t>
      </w:r>
      <w:r>
        <w:rPr>
          <w:rFonts w:hint="eastAsia" w:ascii="宋体" w:hAnsi="宋体"/>
          <w:b w:val="0"/>
          <w:bCs w:val="0"/>
          <w:color w:val="000000"/>
          <w:szCs w:val="21"/>
          <w:lang w:val="en-US" w:eastAsia="zh-CN"/>
        </w:rPr>
        <w:t>完成安装调试及培训</w:t>
      </w:r>
      <w:r>
        <w:rPr>
          <w:rFonts w:hint="eastAsia" w:ascii="宋体" w:hAnsi="宋体"/>
          <w:b w:val="0"/>
          <w:bCs w:val="0"/>
          <w:color w:val="000000"/>
          <w:szCs w:val="21"/>
          <w:lang w:eastAsia="zh-CN"/>
        </w:rPr>
        <w:t>，</w:t>
      </w:r>
      <w:r>
        <w:rPr>
          <w:rFonts w:hint="eastAsia" w:ascii="宋体" w:hAnsi="宋体"/>
          <w:b w:val="0"/>
          <w:bCs w:val="0"/>
          <w:color w:val="000000"/>
          <w:szCs w:val="21"/>
        </w:rPr>
        <w:t>每超过一天，扣除乙方合同总价款的</w:t>
      </w:r>
      <w:r>
        <w:rPr>
          <w:rFonts w:hint="eastAsia" w:ascii="宋体" w:hAnsi="宋体"/>
          <w:b w:val="0"/>
          <w:bCs w:val="0"/>
          <w:color w:val="000000"/>
          <w:szCs w:val="21"/>
          <w:u w:val="single"/>
        </w:rPr>
        <w:t xml:space="preserve">  1 </w:t>
      </w:r>
      <w:r>
        <w:rPr>
          <w:rFonts w:hint="eastAsia" w:ascii="宋体" w:hAnsi="宋体"/>
          <w:b w:val="0"/>
          <w:bCs w:val="0"/>
          <w:color w:val="000000"/>
          <w:szCs w:val="21"/>
        </w:rPr>
        <w:t>‰</w:t>
      </w:r>
      <w:r>
        <w:rPr>
          <w:rFonts w:hint="eastAsia" w:ascii="宋体" w:hAnsi="宋体"/>
          <w:b w:val="0"/>
          <w:bCs w:val="0"/>
          <w:color w:val="000000"/>
          <w:szCs w:val="21"/>
          <w:lang w:eastAsia="zh-CN"/>
        </w:rPr>
        <w:t>作为违约金</w:t>
      </w:r>
      <w:r>
        <w:rPr>
          <w:rFonts w:hint="eastAsia" w:ascii="宋体" w:hAnsi="宋体"/>
          <w:b w:val="0"/>
          <w:bCs w:val="0"/>
          <w:color w:val="000000"/>
          <w:szCs w:val="21"/>
        </w:rPr>
        <w:t>。</w:t>
      </w:r>
      <w:r>
        <w:rPr>
          <w:rFonts w:hint="eastAsia" w:ascii="宋体" w:hAnsi="宋体"/>
          <w:b w:val="0"/>
          <w:bCs w:val="0"/>
          <w:color w:val="00B050"/>
          <w:szCs w:val="21"/>
          <w:lang w:eastAsia="zh-CN"/>
        </w:rPr>
        <w:t>如</w:t>
      </w:r>
      <w:r>
        <w:rPr>
          <w:rFonts w:hint="eastAsia" w:ascii="宋体" w:hAnsi="宋体"/>
          <w:b w:val="0"/>
          <w:bCs w:val="0"/>
          <w:color w:val="00B050"/>
          <w:szCs w:val="21"/>
          <w:lang w:val="en-US" w:eastAsia="zh-CN"/>
        </w:rPr>
        <w:t>30天内未安装调试完成货物，甲方</w:t>
      </w:r>
      <w:r>
        <w:rPr>
          <w:rFonts w:hint="eastAsia" w:ascii="宋体" w:hAnsi="宋体"/>
          <w:b w:val="0"/>
          <w:bCs w:val="0"/>
          <w:color w:val="0000FF"/>
          <w:szCs w:val="21"/>
          <w:lang w:val="en-US" w:eastAsia="zh-CN"/>
        </w:rPr>
        <w:t>可以</w:t>
      </w:r>
      <w:r>
        <w:rPr>
          <w:rFonts w:hint="eastAsia" w:ascii="宋体" w:hAnsi="宋体"/>
          <w:b w:val="0"/>
          <w:bCs w:val="0"/>
          <w:color w:val="00B050"/>
          <w:szCs w:val="21"/>
          <w:lang w:val="en-US" w:eastAsia="zh-CN"/>
        </w:rPr>
        <w:t>解除合同，</w:t>
      </w:r>
      <w:r>
        <w:rPr>
          <w:rFonts w:hint="eastAsia" w:ascii="宋体" w:hAnsi="宋体"/>
          <w:b w:val="0"/>
          <w:bCs w:val="0"/>
          <w:color w:val="000000"/>
          <w:szCs w:val="21"/>
          <w:lang w:val="en-US" w:eastAsia="zh-CN"/>
        </w:rPr>
        <w:t>并要求乙方支付总价款的30%的违约金。</w:t>
      </w:r>
    </w:p>
    <w:p>
      <w:pPr>
        <w:pStyle w:val="18"/>
        <w:rPr>
          <w:rFonts w:hint="default"/>
          <w:lang w:val="en-US" w:eastAsia="zh-CN"/>
        </w:rPr>
      </w:pPr>
    </w:p>
    <w:p>
      <w:pPr>
        <w:tabs>
          <w:tab w:val="left" w:pos="480"/>
        </w:tabs>
        <w:ind w:firstLine="422" w:firstLineChars="200"/>
        <w:rPr>
          <w:rFonts w:hint="eastAsia" w:ascii="宋体" w:hAnsi="宋体"/>
          <w:b/>
          <w:szCs w:val="21"/>
        </w:rPr>
      </w:pPr>
      <w:r>
        <w:rPr>
          <w:rFonts w:hint="eastAsia" w:ascii="宋体" w:hAnsi="宋体"/>
          <w:b/>
          <w:szCs w:val="21"/>
        </w:rPr>
        <w:t>十二、合同争议解决的方式</w:t>
      </w:r>
    </w:p>
    <w:p>
      <w:pPr>
        <w:tabs>
          <w:tab w:val="left" w:pos="480"/>
        </w:tabs>
        <w:ind w:firstLine="420" w:firstLineChars="200"/>
        <w:rPr>
          <w:rFonts w:ascii="宋体" w:hAnsi="宋体"/>
          <w:szCs w:val="21"/>
        </w:rPr>
      </w:pPr>
      <w:r>
        <w:rPr>
          <w:rFonts w:hint="eastAsia" w:ascii="宋体" w:hAnsi="宋体"/>
          <w:szCs w:val="21"/>
        </w:rPr>
        <w:t>本合同在履行过程中发生的争议，由甲、乙双方当事人协商解决，协商不成的按下列第（ 二 ）种方式解决：</w:t>
      </w:r>
    </w:p>
    <w:p>
      <w:pPr>
        <w:tabs>
          <w:tab w:val="left" w:pos="480"/>
        </w:tabs>
        <w:ind w:firstLine="420" w:firstLineChars="200"/>
        <w:rPr>
          <w:rFonts w:hint="eastAsia" w:ascii="宋体" w:hAnsi="宋体"/>
          <w:szCs w:val="21"/>
        </w:rPr>
      </w:pPr>
      <w:r>
        <w:rPr>
          <w:rFonts w:hint="eastAsia" w:ascii="宋体" w:hAnsi="宋体"/>
          <w:szCs w:val="21"/>
        </w:rPr>
        <w:t>（一）提交</w:t>
      </w:r>
      <w:r>
        <w:rPr>
          <w:rFonts w:hint="eastAsia" w:ascii="宋体" w:hAnsi="宋体"/>
          <w:szCs w:val="21"/>
          <w:u w:val="single"/>
        </w:rPr>
        <w:t xml:space="preserve">  西安</w:t>
      </w:r>
      <w:r>
        <w:rPr>
          <w:rFonts w:hint="eastAsia" w:ascii="宋体" w:hAnsi="宋体"/>
          <w:szCs w:val="21"/>
          <w:u w:val="single"/>
          <w:vertAlign w:val="subscript"/>
        </w:rPr>
        <w:t xml:space="preserve">   </w:t>
      </w:r>
      <w:r>
        <w:rPr>
          <w:rFonts w:hint="eastAsia" w:ascii="宋体" w:hAnsi="宋体"/>
          <w:szCs w:val="21"/>
        </w:rPr>
        <w:t>仲裁委员会仲裁；</w:t>
      </w:r>
    </w:p>
    <w:p>
      <w:pPr>
        <w:tabs>
          <w:tab w:val="left" w:pos="480"/>
        </w:tabs>
        <w:ind w:firstLine="420" w:firstLineChars="200"/>
        <w:rPr>
          <w:rFonts w:hint="eastAsia" w:ascii="宋体" w:hAnsi="宋体"/>
          <w:szCs w:val="21"/>
        </w:rPr>
      </w:pPr>
      <w:r>
        <w:rPr>
          <w:rFonts w:hint="eastAsia" w:ascii="宋体" w:hAnsi="宋体"/>
          <w:szCs w:val="21"/>
        </w:rPr>
        <w:t xml:space="preserve">（二）依法向 </w:t>
      </w:r>
      <w:r>
        <w:rPr>
          <w:rFonts w:hint="eastAsia" w:ascii="宋体" w:hAnsi="宋体"/>
          <w:szCs w:val="21"/>
          <w:u w:val="single"/>
        </w:rPr>
        <w:t xml:space="preserve"> 甲方  </w:t>
      </w:r>
      <w:r>
        <w:rPr>
          <w:rFonts w:hint="eastAsia" w:ascii="宋体" w:hAnsi="宋体"/>
          <w:szCs w:val="21"/>
        </w:rPr>
        <w:t>所在地人民法院起诉。</w:t>
      </w:r>
    </w:p>
    <w:p>
      <w:pPr>
        <w:tabs>
          <w:tab w:val="left" w:pos="480"/>
        </w:tabs>
        <w:ind w:firstLine="413" w:firstLineChars="196"/>
        <w:rPr>
          <w:rFonts w:hint="eastAsia" w:ascii="宋体" w:hAnsi="宋体"/>
          <w:b/>
          <w:szCs w:val="21"/>
        </w:rPr>
      </w:pPr>
      <w:r>
        <w:rPr>
          <w:rFonts w:hint="eastAsia" w:ascii="宋体" w:hAnsi="宋体"/>
          <w:b/>
          <w:szCs w:val="21"/>
        </w:rPr>
        <w:t>十三、合同生效</w:t>
      </w:r>
    </w:p>
    <w:p>
      <w:pPr>
        <w:tabs>
          <w:tab w:val="left" w:pos="480"/>
        </w:tabs>
        <w:ind w:firstLine="420" w:firstLineChars="200"/>
        <w:rPr>
          <w:rFonts w:hint="eastAsia" w:ascii="宋体" w:hAnsi="宋体"/>
          <w:szCs w:val="21"/>
        </w:rPr>
      </w:pPr>
      <w:r>
        <w:rPr>
          <w:rFonts w:hint="eastAsia" w:ascii="宋体" w:hAnsi="宋体"/>
          <w:szCs w:val="21"/>
        </w:rPr>
        <w:t>本合同一式伍份，甲方执叁份，乙方、鉴证方各执壹份，西安市财政局政府采购管理处备案贰份，本合同甲、乙、确认各方签字盖章后生效，合同执行完毕后，自动失效（合同的服务承诺则长期有效）。</w:t>
      </w:r>
    </w:p>
    <w:p>
      <w:pPr>
        <w:tabs>
          <w:tab w:val="left" w:pos="480"/>
        </w:tabs>
        <w:ind w:firstLine="413" w:firstLineChars="196"/>
        <w:rPr>
          <w:rFonts w:hint="eastAsia" w:ascii="宋体" w:hAnsi="宋体"/>
          <w:b/>
          <w:szCs w:val="21"/>
        </w:rPr>
      </w:pPr>
      <w:r>
        <w:rPr>
          <w:rFonts w:hint="eastAsia" w:ascii="宋体" w:hAnsi="宋体"/>
          <w:b/>
          <w:szCs w:val="21"/>
        </w:rPr>
        <w:t>十四、其他事项</w:t>
      </w:r>
    </w:p>
    <w:p>
      <w:pPr>
        <w:tabs>
          <w:tab w:val="left" w:pos="480"/>
        </w:tabs>
        <w:ind w:firstLine="420" w:firstLineChars="200"/>
        <w:rPr>
          <w:rFonts w:hint="eastAsia" w:ascii="宋体" w:hAnsi="宋体"/>
          <w:szCs w:val="21"/>
        </w:rPr>
      </w:pPr>
      <w:r>
        <w:rPr>
          <w:rFonts w:hint="eastAsia" w:ascii="宋体" w:hAnsi="宋体"/>
          <w:szCs w:val="21"/>
        </w:rPr>
        <w:t>（一）鉴证方作为政府集中采购代理机构对合同进行确认。</w:t>
      </w:r>
    </w:p>
    <w:p>
      <w:pPr>
        <w:tabs>
          <w:tab w:val="left" w:pos="480"/>
        </w:tabs>
        <w:ind w:firstLine="420" w:firstLineChars="200"/>
        <w:rPr>
          <w:rFonts w:hint="eastAsia" w:ascii="宋体" w:hAnsi="宋体"/>
          <w:szCs w:val="21"/>
        </w:rPr>
      </w:pPr>
      <w:r>
        <w:rPr>
          <w:rFonts w:hint="eastAsia" w:ascii="宋体" w:hAnsi="宋体"/>
          <w:szCs w:val="21"/>
        </w:rPr>
        <w:t>（二）西安市财政局政府采购管理处在合同的履行期间以及履行期后，可以随时检查项目的执行情况，对采购内容、标准进行调查核实，并对发现的问题进行处理。</w:t>
      </w:r>
    </w:p>
    <w:p>
      <w:pPr>
        <w:tabs>
          <w:tab w:val="left" w:pos="480"/>
        </w:tabs>
        <w:ind w:firstLine="420" w:firstLineChars="200"/>
        <w:rPr>
          <w:rFonts w:hint="eastAsia" w:ascii="宋体" w:hAnsi="宋体"/>
          <w:szCs w:val="21"/>
        </w:rPr>
      </w:pPr>
      <w:r>
        <w:rPr>
          <w:rFonts w:hint="eastAsia" w:ascii="宋体" w:hAnsi="宋体"/>
          <w:szCs w:val="21"/>
        </w:rPr>
        <w:t>（三）谈判文件、谈判响应文件、澄清表（函）、成交通知书、合同附件均成为合同不可分割的部分。</w:t>
      </w:r>
    </w:p>
    <w:p>
      <w:pPr>
        <w:tabs>
          <w:tab w:val="left" w:pos="480"/>
        </w:tabs>
        <w:ind w:firstLine="420" w:firstLineChars="200"/>
        <w:rPr>
          <w:rFonts w:hint="eastAsia" w:ascii="宋体" w:hAnsi="宋体"/>
          <w:szCs w:val="21"/>
        </w:rPr>
      </w:pPr>
      <w:r>
        <w:rPr>
          <w:rFonts w:hint="eastAsia" w:ascii="宋体" w:hAnsi="宋体"/>
          <w:szCs w:val="21"/>
        </w:rPr>
        <w:t>（四）合同未尽事宜，由甲、乙双方协商，作为合同补充，与原合同具有同等法律效力。</w:t>
      </w:r>
    </w:p>
    <w:p>
      <w:pPr>
        <w:tabs>
          <w:tab w:val="left" w:pos="480"/>
        </w:tabs>
        <w:ind w:firstLine="420" w:firstLineChars="200"/>
        <w:rPr>
          <w:rFonts w:hint="eastAsia" w:ascii="宋体" w:hAnsi="宋体"/>
          <w:szCs w:val="21"/>
        </w:rPr>
      </w:pPr>
      <w:r>
        <w:rPr>
          <w:rFonts w:hint="eastAsia" w:ascii="宋体" w:hAnsi="宋体"/>
          <w:szCs w:val="21"/>
        </w:rPr>
        <w:t>（五）合同一经签订，不得擅自变更、中止或终止合同。对确需变更、调整或中止、终止合同的，应按规定履行相应的手续。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420" w:lineRule="atLeast"/>
        <w:ind w:right="0" w:firstLine="420" w:firstLineChars="200"/>
        <w:jc w:val="left"/>
        <w:rPr>
          <w:rFonts w:hint="eastAsia" w:ascii="宋体" w:hAnsi="宋体" w:eastAsia="宋体" w:cs="宋体"/>
          <w:szCs w:val="21"/>
        </w:rPr>
      </w:pPr>
      <w:r>
        <w:rPr>
          <w:rFonts w:hint="eastAsia" w:ascii="宋体" w:hAnsi="宋体"/>
          <w:szCs w:val="21"/>
          <w:lang w:val="en-US" w:eastAsia="zh-CN"/>
        </w:rPr>
        <w:t>（六）</w:t>
      </w:r>
      <w:r>
        <w:rPr>
          <w:rFonts w:hint="eastAsia" w:ascii="宋体" w:hAnsi="宋体" w:eastAsia="宋体" w:cs="宋体"/>
          <w:i w:val="0"/>
          <w:iCs w:val="0"/>
          <w:caps w:val="0"/>
          <w:color w:val="FF0000"/>
          <w:spacing w:val="0"/>
          <w:kern w:val="0"/>
          <w:sz w:val="21"/>
          <w:szCs w:val="21"/>
          <w:shd w:val="clear" w:color="auto" w:fill="FFFFFF"/>
          <w:lang w:val="en-US" w:eastAsia="zh-CN" w:bidi="ar"/>
        </w:rPr>
        <w:t>有下列情形之一的，甲方可以解除合同：（1）因不可抗力致使不能实现合同目的；（2）在履行期限届满之前，乙方明确表示或者以自己的行为表明不履行主要债务；（3）乙方迟延履行主要债务，经催告后在合理</w:t>
      </w:r>
      <w:r>
        <w:rPr>
          <w:rFonts w:hint="eastAsia" w:ascii="宋体" w:hAnsi="宋体" w:eastAsia="宋体" w:cs="宋体"/>
          <w:i w:val="0"/>
          <w:iCs w:val="0"/>
          <w:caps w:val="0"/>
          <w:color w:val="FF0000"/>
          <w:spacing w:val="0"/>
          <w:kern w:val="0"/>
          <w:sz w:val="21"/>
          <w:szCs w:val="21"/>
          <w:u w:val="none"/>
          <w:shd w:val="clear" w:color="auto" w:fill="FFFFFF"/>
          <w:lang w:val="en-US" w:eastAsia="zh-CN" w:bidi="ar"/>
        </w:rPr>
        <w:fldChar w:fldCharType="begin"/>
      </w:r>
      <w:r>
        <w:rPr>
          <w:rFonts w:hint="eastAsia" w:ascii="宋体" w:hAnsi="宋体" w:eastAsia="宋体" w:cs="宋体"/>
          <w:i w:val="0"/>
          <w:iCs w:val="0"/>
          <w:caps w:val="0"/>
          <w:color w:val="FF0000"/>
          <w:spacing w:val="0"/>
          <w:kern w:val="0"/>
          <w:sz w:val="21"/>
          <w:szCs w:val="21"/>
          <w:u w:val="none"/>
          <w:shd w:val="clear" w:color="auto" w:fill="FFFFFF"/>
          <w:lang w:val="en-US" w:eastAsia="zh-CN" w:bidi="ar"/>
        </w:rPr>
        <w:instrText xml:space="preserve"> HYPERLINK "http://www.so.com/s?q=%E6%9C%9F%E9%99%90&amp;ie=utf-8&amp;src=internal_wenda_recommend_textn" \t "https://wenda.so.com/q/_blank" </w:instrText>
      </w:r>
      <w:r>
        <w:rPr>
          <w:rFonts w:hint="eastAsia" w:ascii="宋体" w:hAnsi="宋体" w:eastAsia="宋体" w:cs="宋体"/>
          <w:i w:val="0"/>
          <w:iCs w:val="0"/>
          <w:caps w:val="0"/>
          <w:color w:val="FF0000"/>
          <w:spacing w:val="0"/>
          <w:kern w:val="0"/>
          <w:sz w:val="21"/>
          <w:szCs w:val="21"/>
          <w:u w:val="none"/>
          <w:shd w:val="clear" w:color="auto" w:fill="FFFFFF"/>
          <w:lang w:val="en-US" w:eastAsia="zh-CN" w:bidi="ar"/>
        </w:rPr>
        <w:fldChar w:fldCharType="separate"/>
      </w:r>
      <w:r>
        <w:rPr>
          <w:rStyle w:val="35"/>
          <w:rFonts w:hint="eastAsia" w:ascii="宋体" w:hAnsi="宋体" w:eastAsia="宋体" w:cs="宋体"/>
          <w:i w:val="0"/>
          <w:iCs w:val="0"/>
          <w:caps w:val="0"/>
          <w:color w:val="FF0000"/>
          <w:spacing w:val="0"/>
          <w:sz w:val="21"/>
          <w:szCs w:val="21"/>
          <w:u w:val="none"/>
          <w:shd w:val="clear" w:color="auto" w:fill="FFFFFF"/>
        </w:rPr>
        <w:t>期限</w:t>
      </w:r>
      <w:r>
        <w:rPr>
          <w:rFonts w:hint="eastAsia" w:ascii="宋体" w:hAnsi="宋体" w:eastAsia="宋体" w:cs="宋体"/>
          <w:i w:val="0"/>
          <w:iCs w:val="0"/>
          <w:caps w:val="0"/>
          <w:color w:val="FF0000"/>
          <w:spacing w:val="0"/>
          <w:kern w:val="0"/>
          <w:sz w:val="21"/>
          <w:szCs w:val="21"/>
          <w:u w:val="none"/>
          <w:shd w:val="clear" w:color="auto" w:fill="FFFFFF"/>
          <w:lang w:val="en-US" w:eastAsia="zh-CN" w:bidi="ar"/>
        </w:rPr>
        <w:fldChar w:fldCharType="end"/>
      </w:r>
      <w:r>
        <w:rPr>
          <w:rFonts w:hint="eastAsia" w:ascii="宋体" w:hAnsi="宋体" w:eastAsia="宋体" w:cs="宋体"/>
          <w:i w:val="0"/>
          <w:iCs w:val="0"/>
          <w:caps w:val="0"/>
          <w:color w:val="FF0000"/>
          <w:spacing w:val="0"/>
          <w:kern w:val="0"/>
          <w:sz w:val="21"/>
          <w:szCs w:val="21"/>
          <w:shd w:val="clear" w:color="auto" w:fill="FFFFFF"/>
          <w:lang w:val="en-US" w:eastAsia="zh-CN" w:bidi="ar"/>
        </w:rPr>
        <w:t>内仍未履行；（4）乙方迟延履行债务或者有其他</w:t>
      </w:r>
      <w:r>
        <w:rPr>
          <w:rFonts w:hint="eastAsia" w:ascii="宋体" w:hAnsi="宋体" w:eastAsia="宋体" w:cs="宋体"/>
          <w:i w:val="0"/>
          <w:iCs w:val="0"/>
          <w:caps w:val="0"/>
          <w:color w:val="FF0000"/>
          <w:spacing w:val="0"/>
          <w:kern w:val="0"/>
          <w:sz w:val="21"/>
          <w:szCs w:val="21"/>
          <w:u w:val="none"/>
          <w:shd w:val="clear" w:color="auto" w:fill="FFFFFF"/>
          <w:lang w:val="en-US" w:eastAsia="zh-CN" w:bidi="ar"/>
        </w:rPr>
        <w:fldChar w:fldCharType="begin"/>
      </w:r>
      <w:r>
        <w:rPr>
          <w:rFonts w:hint="eastAsia" w:ascii="宋体" w:hAnsi="宋体" w:eastAsia="宋体" w:cs="宋体"/>
          <w:i w:val="0"/>
          <w:iCs w:val="0"/>
          <w:caps w:val="0"/>
          <w:color w:val="FF0000"/>
          <w:spacing w:val="0"/>
          <w:kern w:val="0"/>
          <w:sz w:val="21"/>
          <w:szCs w:val="21"/>
          <w:u w:val="none"/>
          <w:shd w:val="clear" w:color="auto" w:fill="FFFFFF"/>
          <w:lang w:val="en-US" w:eastAsia="zh-CN" w:bidi="ar"/>
        </w:rPr>
        <w:instrText xml:space="preserve"> HYPERLINK "http://www.so.com/s?q=%E8%BF%9D%E7%BA%A6%E8%A1%8C%E4%B8%BA&amp;ie=utf-8&amp;src=internal_wenda_recommend_textn" \t "https://wenda.so.com/q/_blank" </w:instrText>
      </w:r>
      <w:r>
        <w:rPr>
          <w:rFonts w:hint="eastAsia" w:ascii="宋体" w:hAnsi="宋体" w:eastAsia="宋体" w:cs="宋体"/>
          <w:i w:val="0"/>
          <w:iCs w:val="0"/>
          <w:caps w:val="0"/>
          <w:color w:val="FF0000"/>
          <w:spacing w:val="0"/>
          <w:kern w:val="0"/>
          <w:sz w:val="21"/>
          <w:szCs w:val="21"/>
          <w:u w:val="none"/>
          <w:shd w:val="clear" w:color="auto" w:fill="FFFFFF"/>
          <w:lang w:val="en-US" w:eastAsia="zh-CN" w:bidi="ar"/>
        </w:rPr>
        <w:fldChar w:fldCharType="separate"/>
      </w:r>
      <w:r>
        <w:rPr>
          <w:rStyle w:val="35"/>
          <w:rFonts w:hint="eastAsia" w:ascii="宋体" w:hAnsi="宋体" w:eastAsia="宋体" w:cs="宋体"/>
          <w:i w:val="0"/>
          <w:iCs w:val="0"/>
          <w:caps w:val="0"/>
          <w:color w:val="FF0000"/>
          <w:spacing w:val="0"/>
          <w:sz w:val="21"/>
          <w:szCs w:val="21"/>
          <w:u w:val="none"/>
          <w:shd w:val="clear" w:color="auto" w:fill="FFFFFF"/>
        </w:rPr>
        <w:t>违约行为</w:t>
      </w:r>
      <w:r>
        <w:rPr>
          <w:rFonts w:hint="eastAsia" w:ascii="宋体" w:hAnsi="宋体" w:eastAsia="宋体" w:cs="宋体"/>
          <w:i w:val="0"/>
          <w:iCs w:val="0"/>
          <w:caps w:val="0"/>
          <w:color w:val="FF0000"/>
          <w:spacing w:val="0"/>
          <w:kern w:val="0"/>
          <w:sz w:val="21"/>
          <w:szCs w:val="21"/>
          <w:u w:val="none"/>
          <w:shd w:val="clear" w:color="auto" w:fill="FFFFFF"/>
          <w:lang w:val="en-US" w:eastAsia="zh-CN" w:bidi="ar"/>
        </w:rPr>
        <w:fldChar w:fldCharType="end"/>
      </w:r>
      <w:r>
        <w:rPr>
          <w:rFonts w:hint="eastAsia" w:ascii="宋体" w:hAnsi="宋体" w:eastAsia="宋体" w:cs="宋体"/>
          <w:i w:val="0"/>
          <w:iCs w:val="0"/>
          <w:caps w:val="0"/>
          <w:color w:val="FF0000"/>
          <w:spacing w:val="0"/>
          <w:kern w:val="0"/>
          <w:sz w:val="21"/>
          <w:szCs w:val="21"/>
          <w:shd w:val="clear" w:color="auto" w:fill="FFFFFF"/>
          <w:lang w:val="en-US" w:eastAsia="zh-CN" w:bidi="ar"/>
        </w:rPr>
        <w:t>致使不能实现合同目的。</w:t>
      </w:r>
    </w:p>
    <w:p>
      <w:pPr>
        <w:pStyle w:val="18"/>
        <w:rPr>
          <w:rFonts w:hint="default" w:eastAsia="宋体"/>
          <w:lang w:val="en-US" w:eastAsia="zh-CN"/>
        </w:rPr>
      </w:pPr>
    </w:p>
    <w:p>
      <w:pPr>
        <w:tabs>
          <w:tab w:val="left" w:pos="480"/>
        </w:tabs>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七</w:t>
      </w:r>
      <w:r>
        <w:rPr>
          <w:rFonts w:hint="eastAsia" w:ascii="宋体" w:hAnsi="宋体"/>
          <w:szCs w:val="21"/>
        </w:rPr>
        <w:t>）</w:t>
      </w:r>
      <w:r>
        <w:rPr>
          <w:rFonts w:hint="eastAsia"/>
          <w:color w:val="FF0000"/>
          <w:szCs w:val="21"/>
          <w:lang w:val="en-US" w:eastAsia="zh-CN"/>
        </w:rPr>
        <w:t>合同所涉及通知的形式：包含书面通知，电话，短信，微信，邮箱等由双方联系人确定。</w:t>
      </w:r>
    </w:p>
    <w:p>
      <w:pPr>
        <w:tabs>
          <w:tab w:val="left" w:pos="480"/>
        </w:tabs>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八</w:t>
      </w:r>
      <w:r>
        <w:rPr>
          <w:rFonts w:hint="eastAsia" w:ascii="宋体" w:hAnsi="宋体"/>
          <w:szCs w:val="21"/>
          <w:lang w:eastAsia="zh-CN"/>
        </w:rPr>
        <w:t>）</w:t>
      </w:r>
      <w:r>
        <w:rPr>
          <w:rFonts w:hint="eastAsia" w:ascii="宋体" w:hAnsi="宋体"/>
          <w:szCs w:val="21"/>
        </w:rPr>
        <w:t>本合同按照中华人民共和国的现行法律进行解释。</w:t>
      </w:r>
    </w:p>
    <w:p>
      <w:pPr>
        <w:tabs>
          <w:tab w:val="left" w:pos="480"/>
        </w:tabs>
        <w:rPr>
          <w:rFonts w:hint="eastAsia" w:ascii="宋体" w:hAnsi="宋体"/>
          <w:szCs w:val="21"/>
        </w:rPr>
      </w:pPr>
    </w:p>
    <w:p>
      <w:pPr>
        <w:tabs>
          <w:tab w:val="left" w:pos="480"/>
        </w:tabs>
        <w:rPr>
          <w:rFonts w:hint="eastAsia" w:ascii="宋体" w:hAnsi="宋体"/>
          <w:szCs w:val="21"/>
        </w:rPr>
      </w:pPr>
    </w:p>
    <w:p>
      <w:pPr>
        <w:tabs>
          <w:tab w:val="left" w:pos="480"/>
        </w:tabs>
        <w:rPr>
          <w:rFonts w:hint="eastAsia" w:ascii="宋体" w:hAnsi="宋体"/>
          <w:szCs w:val="21"/>
        </w:rPr>
      </w:pPr>
    </w:p>
    <w:p>
      <w:pPr>
        <w:tabs>
          <w:tab w:val="left" w:pos="480"/>
        </w:tabs>
        <w:rPr>
          <w:rFonts w:hint="eastAsia" w:ascii="宋体" w:hAnsi="宋体"/>
          <w:szCs w:val="21"/>
        </w:rPr>
      </w:pPr>
    </w:p>
    <w:p>
      <w:pPr>
        <w:tabs>
          <w:tab w:val="left" w:pos="480"/>
        </w:tabs>
        <w:rPr>
          <w:rFonts w:hint="eastAsia" w:ascii="宋体" w:hAnsi="宋体"/>
          <w:szCs w:val="21"/>
        </w:rPr>
      </w:pPr>
    </w:p>
    <w:p>
      <w:pPr>
        <w:tabs>
          <w:tab w:val="left" w:pos="480"/>
        </w:tabs>
        <w:rPr>
          <w:rFonts w:hint="eastAsia" w:ascii="宋体" w:hAnsi="宋体"/>
          <w:szCs w:val="21"/>
        </w:rPr>
      </w:pPr>
    </w:p>
    <w:p>
      <w:pPr>
        <w:tabs>
          <w:tab w:val="left" w:pos="480"/>
        </w:tabs>
        <w:rPr>
          <w:rFonts w:hint="eastAsia" w:ascii="宋体" w:hAnsi="宋体"/>
          <w:szCs w:val="21"/>
        </w:rPr>
      </w:pPr>
    </w:p>
    <w:p>
      <w:pPr>
        <w:tabs>
          <w:tab w:val="left" w:pos="480"/>
        </w:tabs>
        <w:rPr>
          <w:rFonts w:hint="eastAsia" w:ascii="宋体" w:hAnsi="宋体"/>
          <w:szCs w:val="21"/>
        </w:rPr>
      </w:pPr>
    </w:p>
    <w:p>
      <w:pPr>
        <w:tabs>
          <w:tab w:val="left" w:pos="480"/>
        </w:tabs>
        <w:rPr>
          <w:rFonts w:hint="eastAsia" w:ascii="宋体" w:hAnsi="宋体"/>
          <w:szCs w:val="21"/>
        </w:rPr>
      </w:pPr>
    </w:p>
    <w:p>
      <w:pPr>
        <w:tabs>
          <w:tab w:val="left" w:pos="480"/>
        </w:tabs>
        <w:rPr>
          <w:rFonts w:hint="eastAsia" w:ascii="宋体" w:hAnsi="宋体"/>
          <w:szCs w:val="21"/>
        </w:rPr>
      </w:pPr>
    </w:p>
    <w:p>
      <w:pPr>
        <w:tabs>
          <w:tab w:val="left" w:pos="480"/>
        </w:tabs>
        <w:rPr>
          <w:rFonts w:hint="eastAsia" w:ascii="宋体" w:hAnsi="宋体"/>
          <w:szCs w:val="21"/>
        </w:rPr>
      </w:pPr>
      <w:r>
        <w:rPr>
          <w:rFonts w:hint="eastAsia" w:ascii="宋体" w:hAnsi="宋体"/>
          <w:szCs w:val="21"/>
        </w:rPr>
        <w:t>甲  方（法人公章）                        乙  方（法人公章）</w:t>
      </w:r>
    </w:p>
    <w:p>
      <w:pPr>
        <w:spacing w:before="40" w:beforeLines="0" w:afterLines="0"/>
        <w:jc w:val="left"/>
        <w:rPr>
          <w:rFonts w:hint="default" w:ascii="仿宋" w:hAnsi="仿宋" w:eastAsia="宋体"/>
          <w:color w:val="000000"/>
          <w:position w:val="20"/>
          <w:sz w:val="24"/>
          <w:szCs w:val="24"/>
          <w:lang w:val="en-US" w:eastAsia="zh-CN"/>
        </w:rPr>
      </w:pPr>
      <w:r>
        <w:rPr>
          <w:rFonts w:hint="eastAsia" w:ascii="宋体" w:hAnsi="宋体"/>
          <w:szCs w:val="21"/>
        </w:rPr>
        <w:t>单位名称：西安市第五医院                  单位名称：</w:t>
      </w:r>
      <w:r>
        <w:rPr>
          <w:rFonts w:hint="eastAsia" w:ascii="宋体" w:hAnsi="宋体"/>
          <w:szCs w:val="21"/>
          <w:lang w:val="en-US" w:eastAsia="zh-CN"/>
        </w:rPr>
        <w:t xml:space="preserve">  </w:t>
      </w:r>
    </w:p>
    <w:p>
      <w:pPr>
        <w:spacing w:beforeLines="0" w:afterLines="0"/>
        <w:jc w:val="left"/>
        <w:rPr>
          <w:rFonts w:hint="eastAsia" w:ascii="仿宋" w:hAnsi="仿宋" w:eastAsia="仿宋"/>
          <w:color w:val="000000"/>
          <w:sz w:val="24"/>
          <w:szCs w:val="24"/>
          <w:lang w:val="zh-CN"/>
        </w:rPr>
      </w:pPr>
      <w:r>
        <w:rPr>
          <w:rFonts w:hint="eastAsia" w:ascii="宋体" w:hAnsi="宋体"/>
          <w:szCs w:val="21"/>
        </w:rPr>
        <w:t>地  址：西安市莲湖区西关正街112号        地  址：</w:t>
      </w:r>
    </w:p>
    <w:p>
      <w:pPr>
        <w:tabs>
          <w:tab w:val="left" w:pos="480"/>
        </w:tabs>
        <w:rPr>
          <w:rFonts w:hint="eastAsia" w:ascii="宋体" w:hAnsi="宋体"/>
          <w:szCs w:val="21"/>
        </w:rPr>
      </w:pPr>
    </w:p>
    <w:p>
      <w:pPr>
        <w:tabs>
          <w:tab w:val="left" w:pos="480"/>
        </w:tabs>
        <w:rPr>
          <w:rFonts w:hint="eastAsia" w:ascii="宋体" w:hAnsi="宋体"/>
          <w:szCs w:val="21"/>
        </w:rPr>
      </w:pPr>
      <w:r>
        <w:rPr>
          <w:rFonts w:hint="eastAsia" w:ascii="宋体" w:hAnsi="宋体"/>
          <w:szCs w:val="21"/>
        </w:rPr>
        <w:t xml:space="preserve">经办人：                                  经办人：                                </w:t>
      </w:r>
    </w:p>
    <w:p>
      <w:pPr>
        <w:tabs>
          <w:tab w:val="left" w:pos="480"/>
        </w:tabs>
        <w:rPr>
          <w:rFonts w:hint="eastAsia" w:ascii="宋体" w:hAnsi="宋体"/>
          <w:szCs w:val="21"/>
        </w:rPr>
      </w:pPr>
    </w:p>
    <w:p>
      <w:pPr>
        <w:tabs>
          <w:tab w:val="left" w:pos="480"/>
        </w:tabs>
        <w:rPr>
          <w:rFonts w:hint="eastAsia" w:ascii="宋体" w:hAnsi="宋体"/>
          <w:szCs w:val="21"/>
        </w:rPr>
      </w:pPr>
      <w:r>
        <w:rPr>
          <w:rFonts w:hint="eastAsia" w:ascii="宋体" w:hAnsi="宋体"/>
          <w:szCs w:val="21"/>
        </w:rPr>
        <w:t xml:space="preserve">主管院长：                                </w:t>
      </w:r>
    </w:p>
    <w:p>
      <w:pPr>
        <w:tabs>
          <w:tab w:val="left" w:pos="480"/>
        </w:tabs>
        <w:rPr>
          <w:rFonts w:hint="eastAsia" w:ascii="宋体" w:hAnsi="宋体"/>
          <w:szCs w:val="21"/>
        </w:rPr>
      </w:pPr>
      <w:r>
        <w:rPr>
          <w:rFonts w:hint="eastAsia" w:ascii="宋体" w:hAnsi="宋体"/>
          <w:szCs w:val="21"/>
        </w:rPr>
        <w:t xml:space="preserve">                                  </w:t>
      </w:r>
    </w:p>
    <w:p>
      <w:pPr>
        <w:tabs>
          <w:tab w:val="left" w:pos="480"/>
        </w:tabs>
        <w:suppressAutoHyphens/>
        <w:ind w:left="4410" w:hanging="4410" w:hangingChars="2100"/>
        <w:rPr>
          <w:rFonts w:hint="eastAsia" w:ascii="宋体" w:hAnsi="宋体"/>
          <w:szCs w:val="21"/>
        </w:rPr>
      </w:pPr>
      <w:r>
        <w:rPr>
          <w:rFonts w:hint="eastAsia" w:ascii="宋体" w:hAnsi="宋体"/>
          <w:szCs w:val="21"/>
        </w:rPr>
        <w:t xml:space="preserve">法定代表人（签字或盖章）：                 法定代表人（签字或盖章）：                                                          </w:t>
      </w:r>
    </w:p>
    <w:p>
      <w:pPr>
        <w:tabs>
          <w:tab w:val="left" w:pos="480"/>
        </w:tabs>
        <w:suppressAutoHyphens/>
        <w:ind w:firstLine="4410" w:firstLineChars="2100"/>
        <w:rPr>
          <w:rFonts w:hint="eastAsia" w:ascii="宋体" w:hAnsi="宋体"/>
          <w:szCs w:val="21"/>
        </w:rPr>
      </w:pPr>
      <w:r>
        <w:rPr>
          <w:rFonts w:hint="eastAsia" w:ascii="宋体" w:hAnsi="宋体"/>
          <w:szCs w:val="21"/>
        </w:rPr>
        <w:t>开户银行：</w:t>
      </w:r>
    </w:p>
    <w:p>
      <w:pPr>
        <w:tabs>
          <w:tab w:val="left" w:pos="480"/>
        </w:tabs>
        <w:ind w:firstLine="4410" w:firstLineChars="2100"/>
        <w:rPr>
          <w:rFonts w:hint="eastAsia" w:ascii="宋体" w:hAnsi="宋体"/>
          <w:szCs w:val="21"/>
        </w:rPr>
      </w:pPr>
      <w:r>
        <w:rPr>
          <w:rFonts w:hint="eastAsia" w:ascii="宋体" w:hAnsi="宋体"/>
          <w:szCs w:val="21"/>
        </w:rPr>
        <w:t xml:space="preserve">帐  号：       </w:t>
      </w:r>
    </w:p>
    <w:p>
      <w:pPr>
        <w:tabs>
          <w:tab w:val="left" w:pos="480"/>
        </w:tabs>
        <w:rPr>
          <w:rFonts w:hint="eastAsia" w:ascii="宋体" w:hAnsi="宋体"/>
          <w:szCs w:val="21"/>
        </w:rPr>
      </w:pPr>
      <w:r>
        <w:rPr>
          <w:rFonts w:hint="eastAsia" w:ascii="宋体" w:hAnsi="宋体"/>
          <w:szCs w:val="21"/>
        </w:rPr>
        <w:t>联系电话：029-84696321                    联系电话：</w:t>
      </w:r>
    </w:p>
    <w:p>
      <w:pPr>
        <w:tabs>
          <w:tab w:val="left" w:pos="480"/>
        </w:tabs>
        <w:rPr>
          <w:rFonts w:hint="eastAsia" w:ascii="宋体" w:hAnsi="宋体"/>
          <w:szCs w:val="21"/>
        </w:rPr>
      </w:pPr>
      <w:r>
        <w:rPr>
          <w:rFonts w:hint="eastAsia" w:ascii="宋体" w:hAnsi="宋体"/>
          <w:szCs w:val="21"/>
        </w:rPr>
        <w:t>签订日期：202</w:t>
      </w:r>
      <w:r>
        <w:rPr>
          <w:rFonts w:hint="eastAsia" w:ascii="宋体" w:hAnsi="宋体"/>
          <w:szCs w:val="21"/>
          <w:lang w:val="en-US" w:eastAsia="zh-CN"/>
        </w:rPr>
        <w:t>3</w:t>
      </w:r>
      <w:r>
        <w:rPr>
          <w:rFonts w:hint="eastAsia" w:ascii="宋体" w:hAnsi="宋体"/>
          <w:szCs w:val="21"/>
        </w:rPr>
        <w:t xml:space="preserve"> 年  月  日                 签订日期：202</w:t>
      </w:r>
      <w:r>
        <w:rPr>
          <w:rFonts w:hint="eastAsia" w:ascii="宋体" w:hAnsi="宋体"/>
          <w:szCs w:val="21"/>
          <w:lang w:val="en-US" w:eastAsia="zh-CN"/>
        </w:rPr>
        <w:t>3</w:t>
      </w:r>
      <w:r>
        <w:rPr>
          <w:rFonts w:hint="eastAsia" w:ascii="宋体" w:hAnsi="宋体"/>
          <w:szCs w:val="21"/>
        </w:rPr>
        <w:t>年  月  日</w:t>
      </w:r>
    </w:p>
    <w:p>
      <w:pPr>
        <w:tabs>
          <w:tab w:val="left" w:pos="480"/>
        </w:tabs>
        <w:rPr>
          <w:rFonts w:hint="eastAsia" w:ascii="宋体" w:hAnsi="宋体"/>
          <w:szCs w:val="21"/>
        </w:rPr>
      </w:pPr>
    </w:p>
    <w:p>
      <w:pPr>
        <w:tabs>
          <w:tab w:val="left" w:pos="480"/>
        </w:tabs>
        <w:rPr>
          <w:rFonts w:hint="eastAsia" w:ascii="宋体" w:hAnsi="宋体"/>
          <w:szCs w:val="21"/>
        </w:rPr>
      </w:pPr>
    </w:p>
    <w:p>
      <w:pPr>
        <w:tabs>
          <w:tab w:val="left" w:pos="480"/>
        </w:tabs>
        <w:rPr>
          <w:rFonts w:hint="eastAsia" w:ascii="宋体" w:hAnsi="宋体"/>
          <w:szCs w:val="21"/>
        </w:rPr>
      </w:pPr>
      <w:r>
        <w:rPr>
          <w:rFonts w:hint="eastAsia" w:ascii="宋体" w:hAnsi="宋体"/>
          <w:szCs w:val="21"/>
        </w:rPr>
        <w:t>鉴证方（业务专用章）</w:t>
      </w:r>
    </w:p>
    <w:p>
      <w:pPr>
        <w:tabs>
          <w:tab w:val="left" w:pos="480"/>
        </w:tabs>
        <w:ind w:firstLine="420" w:firstLineChars="200"/>
        <w:rPr>
          <w:rFonts w:hint="eastAsia" w:ascii="宋体" w:hAnsi="宋体"/>
          <w:szCs w:val="21"/>
        </w:rPr>
      </w:pPr>
    </w:p>
    <w:p>
      <w:pPr>
        <w:tabs>
          <w:tab w:val="left" w:pos="480"/>
        </w:tabs>
        <w:rPr>
          <w:rFonts w:hint="eastAsia" w:ascii="宋体" w:hAnsi="宋体"/>
          <w:szCs w:val="21"/>
        </w:rPr>
      </w:pPr>
      <w:r>
        <w:rPr>
          <w:rFonts w:hint="eastAsia" w:ascii="宋体" w:hAnsi="宋体"/>
          <w:szCs w:val="21"/>
        </w:rPr>
        <w:t>单位名称：</w:t>
      </w:r>
    </w:p>
    <w:p>
      <w:pPr>
        <w:tabs>
          <w:tab w:val="left" w:pos="480"/>
        </w:tabs>
        <w:rPr>
          <w:rFonts w:hint="eastAsia" w:ascii="宋体" w:hAnsi="宋体"/>
          <w:szCs w:val="21"/>
        </w:rPr>
      </w:pPr>
      <w:r>
        <w:rPr>
          <w:rFonts w:hint="eastAsia" w:ascii="宋体" w:hAnsi="宋体"/>
          <w:szCs w:val="21"/>
        </w:rPr>
        <w:t>地  址：</w:t>
      </w:r>
    </w:p>
    <w:p>
      <w:pPr>
        <w:tabs>
          <w:tab w:val="left" w:pos="480"/>
        </w:tabs>
        <w:rPr>
          <w:rFonts w:hint="eastAsia" w:ascii="宋体" w:hAnsi="宋体"/>
          <w:szCs w:val="21"/>
        </w:rPr>
      </w:pPr>
      <w:r>
        <w:rPr>
          <w:rFonts w:hint="eastAsia" w:ascii="宋体" w:hAnsi="宋体"/>
          <w:szCs w:val="21"/>
        </w:rPr>
        <w:t>代理人：</w:t>
      </w:r>
    </w:p>
    <w:p>
      <w:pPr>
        <w:tabs>
          <w:tab w:val="left" w:pos="480"/>
        </w:tabs>
        <w:rPr>
          <w:rFonts w:hint="eastAsia" w:ascii="宋体" w:hAnsi="宋体"/>
          <w:szCs w:val="21"/>
        </w:rPr>
      </w:pPr>
      <w:r>
        <w:rPr>
          <w:rFonts w:hint="eastAsia" w:ascii="宋体" w:hAnsi="宋体"/>
          <w:szCs w:val="21"/>
        </w:rPr>
        <w:t>联系电话：</w:t>
      </w:r>
    </w:p>
    <w:p>
      <w:pPr>
        <w:tabs>
          <w:tab w:val="left" w:pos="480"/>
        </w:tabs>
        <w:rPr>
          <w:rFonts w:hint="eastAsia" w:ascii="宋体" w:hAnsi="宋体"/>
          <w:b/>
          <w:szCs w:val="21"/>
        </w:rPr>
      </w:pPr>
      <w:r>
        <w:rPr>
          <w:rFonts w:hint="eastAsia" w:ascii="宋体" w:hAnsi="宋体"/>
          <w:szCs w:val="21"/>
        </w:rPr>
        <w:t>签订日期：202</w:t>
      </w:r>
      <w:r>
        <w:rPr>
          <w:rFonts w:hint="eastAsia" w:ascii="宋体" w:hAnsi="宋体"/>
          <w:szCs w:val="21"/>
          <w:lang w:val="en-US" w:eastAsia="zh-CN"/>
        </w:rPr>
        <w:t>3</w:t>
      </w:r>
      <w:r>
        <w:rPr>
          <w:rFonts w:hint="eastAsia" w:ascii="宋体" w:hAnsi="宋体"/>
          <w:szCs w:val="21"/>
        </w:rPr>
        <w:t>年   月   日</w:t>
      </w:r>
    </w:p>
    <w:p>
      <w:pPr>
        <w:tabs>
          <w:tab w:val="left" w:pos="675"/>
        </w:tabs>
        <w:rPr>
          <w:rFonts w:hint="eastAsia" w:ascii="宋体" w:hAnsi="宋体"/>
          <w:b/>
          <w:sz w:val="32"/>
          <w:szCs w:val="32"/>
        </w:rPr>
      </w:pPr>
    </w:p>
    <w:p>
      <w:pPr>
        <w:snapToGrid w:val="0"/>
        <w:rPr>
          <w:rFonts w:hint="eastAsia"/>
        </w:rPr>
      </w:pPr>
    </w:p>
    <w:p>
      <w:pPr>
        <w:tabs>
          <w:tab w:val="left" w:pos="675"/>
        </w:tabs>
        <w:rPr>
          <w:rFonts w:hint="eastAsia" w:ascii="宋体" w:hAnsi="宋体"/>
          <w:b/>
          <w:sz w:val="32"/>
          <w:szCs w:val="32"/>
        </w:rPr>
      </w:pPr>
      <w:r>
        <w:rPr>
          <w:rFonts w:hint="eastAsia" w:ascii="宋体" w:hAnsi="宋体"/>
          <w:b/>
          <w:sz w:val="32"/>
          <w:szCs w:val="32"/>
        </w:rPr>
        <w:t>附件</w:t>
      </w:r>
    </w:p>
    <w:p>
      <w:pPr>
        <w:tabs>
          <w:tab w:val="left" w:pos="675"/>
        </w:tabs>
        <w:jc w:val="center"/>
        <w:rPr>
          <w:rFonts w:hint="eastAsia" w:ascii="宋体" w:hAnsi="宋体"/>
          <w:b/>
          <w:sz w:val="32"/>
          <w:szCs w:val="32"/>
        </w:rPr>
      </w:pPr>
    </w:p>
    <w:p>
      <w:pPr>
        <w:tabs>
          <w:tab w:val="left" w:pos="675"/>
        </w:tabs>
        <w:jc w:val="center"/>
        <w:rPr>
          <w:rFonts w:hint="eastAsia" w:ascii="宋体" w:hAnsi="宋体"/>
          <w:b/>
          <w:sz w:val="32"/>
          <w:szCs w:val="32"/>
        </w:rPr>
      </w:pPr>
      <w:r>
        <w:rPr>
          <w:rFonts w:hint="eastAsia" w:ascii="宋体" w:hAnsi="宋体"/>
          <w:b/>
          <w:sz w:val="32"/>
          <w:szCs w:val="32"/>
          <w:u w:val="single"/>
        </w:rPr>
        <w:t>（项目名称）（标段名称）</w:t>
      </w:r>
      <w:r>
        <w:rPr>
          <w:rFonts w:hint="eastAsia" w:ascii="宋体" w:hAnsi="宋体"/>
          <w:b/>
          <w:sz w:val="32"/>
          <w:szCs w:val="32"/>
        </w:rPr>
        <w:t>配置清单</w:t>
      </w:r>
    </w:p>
    <w:p>
      <w:pPr>
        <w:tabs>
          <w:tab w:val="left" w:pos="675"/>
        </w:tabs>
        <w:jc w:val="center"/>
        <w:rPr>
          <w:rFonts w:hint="eastAsia" w:ascii="宋体" w:hAnsi="宋体"/>
          <w:b/>
          <w:sz w:val="30"/>
          <w:szCs w:val="30"/>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产地</w:t>
            </w: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bl>
    <w:p>
      <w:pPr>
        <w:rPr>
          <w:rFonts w:hint="eastAsia" w:ascii="仿宋_GB2312" w:hAnsi="仿宋" w:eastAsia="仿宋_GB2312"/>
          <w:b/>
          <w:sz w:val="36"/>
          <w:szCs w:val="36"/>
        </w:rPr>
      </w:pPr>
      <w:r>
        <w:rPr>
          <w:rFonts w:hint="eastAsia" w:ascii="仿宋_GB2312" w:hAnsi="仿宋" w:eastAsia="仿宋_GB2312"/>
          <w:b/>
          <w:sz w:val="36"/>
          <w:szCs w:val="36"/>
        </w:rPr>
        <w:br w:type="page"/>
      </w:r>
    </w:p>
    <w:p>
      <w:pPr>
        <w:snapToGrid w:val="0"/>
        <w:spacing w:line="520" w:lineRule="exact"/>
        <w:ind w:firstLine="2711" w:firstLineChars="750"/>
        <w:rPr>
          <w:rFonts w:hint="eastAsia" w:ascii="仿宋_GB2312" w:hAnsi="仿宋" w:eastAsia="仿宋_GB2312"/>
          <w:b/>
          <w:sz w:val="36"/>
          <w:szCs w:val="36"/>
        </w:rPr>
      </w:pPr>
      <w:r>
        <w:rPr>
          <w:rFonts w:hint="eastAsia" w:ascii="仿宋_GB2312" w:hAnsi="仿宋" w:eastAsia="仿宋_GB2312"/>
          <w:b/>
          <w:sz w:val="36"/>
          <w:szCs w:val="36"/>
        </w:rPr>
        <w:t>西安市政府采购供应商</w:t>
      </w:r>
    </w:p>
    <w:p>
      <w:pPr>
        <w:snapToGrid w:val="0"/>
        <w:spacing w:line="520" w:lineRule="exact"/>
        <w:rPr>
          <w:rFonts w:hint="eastAsia" w:ascii="仿宋_GB2312" w:hAnsi="仿宋" w:eastAsia="仿宋_GB2312"/>
          <w:b/>
          <w:sz w:val="36"/>
          <w:szCs w:val="36"/>
        </w:rPr>
      </w:pPr>
      <w:r>
        <w:rPr>
          <w:rFonts w:hint="eastAsia" w:ascii="仿宋_GB2312" w:hAnsi="仿宋" w:eastAsia="仿宋_GB2312"/>
          <w:b/>
          <w:sz w:val="36"/>
          <w:szCs w:val="36"/>
        </w:rPr>
        <w:t xml:space="preserve">          拒绝政府采购领域商业贿赂承诺书</w:t>
      </w:r>
    </w:p>
    <w:p>
      <w:pPr>
        <w:snapToGrid w:val="0"/>
        <w:spacing w:line="400" w:lineRule="exact"/>
        <w:ind w:firstLine="560" w:firstLineChars="200"/>
        <w:rPr>
          <w:rFonts w:hint="eastAsia" w:ascii="仿宋_GB2312" w:hAnsi="仿宋" w:eastAsia="仿宋_GB2312"/>
          <w:sz w:val="28"/>
          <w:szCs w:val="28"/>
        </w:rPr>
      </w:pP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为响应党中央、国务院关于治理政府采购领域商业贿赂行为的号召，我公司在此承诺：</w:t>
      </w:r>
    </w:p>
    <w:p>
      <w:pPr>
        <w:snapToGrid w:val="0"/>
        <w:spacing w:line="360" w:lineRule="auto"/>
        <w:ind w:firstLine="560" w:firstLineChars="200"/>
        <w:rPr>
          <w:rFonts w:hint="eastAsia" w:ascii="宋体" w:hAnsi="宋体"/>
          <w:sz w:val="28"/>
          <w:szCs w:val="28"/>
        </w:rPr>
      </w:pPr>
      <w:r>
        <w:rPr>
          <w:rFonts w:hint="eastAsia" w:ascii="宋体" w:hAnsi="宋体"/>
          <w:sz w:val="28"/>
          <w:szCs w:val="28"/>
        </w:rPr>
        <w:t>一、在参与政府采购活动中遵纪守法、诚信经营、公平竞标。</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二、不向政府采购人、采购代理机构和政府采购评审专家进行任何形式的商业贿赂以谋取交易机会。</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三、不向政府采购代理机构和采购人提供虚假资质文件或采用虚假应标方式参与政府采购市场竞争并谋取中标、成交。</w:t>
      </w:r>
    </w:p>
    <w:p>
      <w:pPr>
        <w:snapToGrid w:val="0"/>
        <w:spacing w:line="360" w:lineRule="auto"/>
        <w:ind w:firstLine="560" w:firstLineChars="200"/>
        <w:rPr>
          <w:rFonts w:hint="eastAsia" w:ascii="宋体" w:hAnsi="宋体"/>
          <w:sz w:val="28"/>
          <w:szCs w:val="28"/>
        </w:rPr>
      </w:pPr>
      <w:r>
        <w:rPr>
          <w:rFonts w:hint="eastAsia" w:ascii="宋体" w:hAnsi="宋体"/>
          <w:sz w:val="28"/>
          <w:szCs w:val="28"/>
        </w:rPr>
        <w:t>四、不采取“围标、陪标”等商业欺诈手段获取政府采购订单；</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五、不采取不正当手段诋毁、排挤其他供应商。</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六、不在提供商品和服务时“偷梁换柱、以次充好”损害采购人的合法权益。</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七、不与采购人、采购代理机构、政府采购评审专家或其他供应商恶意串通，进行质疑和投诉，维护政府采购市场秩序。</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八、尊重和接受政府采购监督管理部门的监督和政府采购代理机构招标采购要求，承担因违约行为给采购人造成的损失。</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九、不发生其他有悖于政府采购公开、公平、公正和诚信原则的行为。</w:t>
      </w:r>
    </w:p>
    <w:p>
      <w:pPr>
        <w:snapToGrid w:val="0"/>
        <w:spacing w:line="360" w:lineRule="auto"/>
        <w:ind w:left="482"/>
        <w:rPr>
          <w:rFonts w:hint="eastAsia" w:ascii="宋体" w:hAnsi="宋体"/>
          <w:sz w:val="28"/>
          <w:szCs w:val="28"/>
        </w:rPr>
      </w:pPr>
      <w:r>
        <w:rPr>
          <w:rFonts w:hint="eastAsia" w:ascii="宋体" w:hAnsi="宋体"/>
          <w:sz w:val="28"/>
          <w:szCs w:val="28"/>
        </w:rPr>
        <w:t>承诺单位：（盖章）</w:t>
      </w:r>
    </w:p>
    <w:p>
      <w:pPr>
        <w:snapToGrid w:val="0"/>
        <w:spacing w:line="360" w:lineRule="auto"/>
        <w:ind w:left="482"/>
        <w:rPr>
          <w:rFonts w:hint="eastAsia" w:ascii="宋体" w:hAnsi="宋体"/>
          <w:sz w:val="28"/>
          <w:szCs w:val="28"/>
        </w:rPr>
      </w:pPr>
      <w:r>
        <w:rPr>
          <w:rFonts w:hint="eastAsia" w:ascii="宋体" w:hAnsi="宋体"/>
          <w:bCs/>
          <w:sz w:val="28"/>
          <w:szCs w:val="28"/>
        </w:rPr>
        <w:t>法定代表人或被授权人</w:t>
      </w:r>
      <w:r>
        <w:rPr>
          <w:rFonts w:hint="eastAsia" w:ascii="宋体" w:hAnsi="宋体"/>
          <w:sz w:val="28"/>
          <w:szCs w:val="28"/>
        </w:rPr>
        <w:t>：（签字或盖章）</w:t>
      </w:r>
    </w:p>
    <w:p>
      <w:pPr>
        <w:tabs>
          <w:tab w:val="left" w:pos="480"/>
        </w:tabs>
        <w:ind w:left="7700" w:leftChars="200" w:hanging="7280" w:hangingChars="2600"/>
        <w:rPr>
          <w:rFonts w:ascii="宋体"/>
          <w:b/>
          <w:bCs/>
          <w:szCs w:val="21"/>
        </w:rPr>
      </w:pPr>
      <w:r>
        <w:rPr>
          <w:rFonts w:hint="eastAsia" w:ascii="宋体" w:hAnsi="宋体"/>
          <w:sz w:val="28"/>
          <w:szCs w:val="28"/>
        </w:rPr>
        <w:t>地址：</w:t>
      </w:r>
    </w:p>
    <w:p>
      <w:pPr>
        <w:snapToGrid w:val="0"/>
        <w:spacing w:line="360" w:lineRule="auto"/>
        <w:ind w:firstLine="420" w:firstLineChars="150"/>
        <w:rPr>
          <w:rFonts w:hint="eastAsia" w:ascii="宋体" w:hAnsi="宋体"/>
          <w:sz w:val="28"/>
          <w:szCs w:val="28"/>
        </w:rPr>
      </w:pPr>
      <w:r>
        <w:rPr>
          <w:rFonts w:hint="eastAsia" w:ascii="宋体" w:hAnsi="宋体"/>
          <w:sz w:val="28"/>
          <w:szCs w:val="28"/>
        </w:rPr>
        <w:t xml:space="preserve">电话：    </w:t>
      </w:r>
    </w:p>
    <w:p>
      <w:pPr>
        <w:snapToGrid w:val="0"/>
        <w:spacing w:line="360" w:lineRule="auto"/>
        <w:ind w:left="482"/>
        <w:rPr>
          <w:rFonts w:hint="eastAsia" w:ascii="宋体" w:hAnsi="宋体"/>
          <w:sz w:val="28"/>
          <w:szCs w:val="28"/>
        </w:rPr>
      </w:pPr>
      <w:r>
        <w:rPr>
          <w:rFonts w:hint="eastAsia" w:ascii="宋体" w:hAnsi="宋体"/>
          <w:sz w:val="28"/>
          <w:szCs w:val="28"/>
        </w:rPr>
        <w:t>邮编：                                2023年    月    日</w:t>
      </w:r>
    </w:p>
    <w:p>
      <w:pPr>
        <w:rPr>
          <w:rFonts w:hint="eastAsia" w:ascii="宋体" w:hAnsi="宋体"/>
          <w:sz w:val="28"/>
          <w:szCs w:val="28"/>
        </w:rPr>
      </w:pPr>
      <w:r>
        <w:rPr>
          <w:rFonts w:hint="eastAsia" w:ascii="宋体" w:hAnsi="宋体"/>
          <w:sz w:val="28"/>
          <w:szCs w:val="28"/>
        </w:rPr>
        <w:br w:type="page"/>
      </w:r>
    </w:p>
    <w:p>
      <w:pPr>
        <w:pStyle w:val="3"/>
        <w:keepNext w:val="0"/>
        <w:pageBreakBefore/>
        <w:spacing w:beforeLines="100" w:afterLines="150" w:line="500" w:lineRule="exact"/>
        <w:rPr>
          <w:rFonts w:asciiTheme="minorEastAsia" w:hAnsiTheme="minorEastAsia" w:eastAsiaTheme="minorEastAsia" w:cstheme="minorEastAsia"/>
        </w:rPr>
      </w:pPr>
      <w:r>
        <w:rPr>
          <w:rFonts w:hint="eastAsia" w:asciiTheme="minorEastAsia" w:hAnsiTheme="minorEastAsia" w:eastAsiaTheme="minorEastAsia" w:cstheme="minorEastAsia"/>
          <w:sz w:val="36"/>
          <w:szCs w:val="36"/>
        </w:rPr>
        <w:t>第七部分  投标文件格式</w:t>
      </w:r>
      <w:bookmarkEnd w:id="88"/>
      <w:bookmarkEnd w:id="92"/>
    </w:p>
    <w:p>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项目编号：</w:t>
      </w:r>
      <w:r>
        <w:rPr>
          <w:rFonts w:hint="eastAsia" w:asciiTheme="minorEastAsia" w:hAnsiTheme="minorEastAsia" w:cstheme="minorEastAsia"/>
          <w:b/>
          <w:w w:val="120"/>
          <w:sz w:val="28"/>
          <w:szCs w:val="28"/>
          <w:lang w:eastAsia="zh-CN"/>
        </w:rPr>
        <w:t>SXWZ2023ZB-DWYY-193</w:t>
      </w:r>
      <w:r>
        <w:rPr>
          <w:rFonts w:hint="eastAsia" w:asciiTheme="minorEastAsia" w:hAnsiTheme="minorEastAsia" w:cstheme="minorEastAsia"/>
          <w:b/>
          <w:w w:val="120"/>
          <w:sz w:val="28"/>
          <w:szCs w:val="28"/>
        </w:rPr>
        <w:t xml:space="preserve">       （正本或副本）</w:t>
      </w:r>
    </w:p>
    <w:p>
      <w:pPr>
        <w:snapToGrid w:val="0"/>
        <w:spacing w:line="360" w:lineRule="auto"/>
        <w:ind w:right="-99" w:rightChars="-47"/>
        <w:rPr>
          <w:rFonts w:asciiTheme="minorEastAsia" w:hAnsiTheme="minorEastAsia" w:cstheme="minorEastAsia"/>
          <w:b/>
          <w:bCs/>
          <w:sz w:val="72"/>
          <w:szCs w:val="72"/>
        </w:rPr>
      </w:pPr>
      <w:r>
        <w:rPr>
          <w:rFonts w:hint="eastAsia" w:ascii="宋体" w:hAnsi="宋体" w:cs="宋体"/>
          <w:b/>
          <w:bCs/>
          <w:sz w:val="72"/>
          <w:szCs w:val="72"/>
        </w:rPr>
        <w:t xml:space="preserve">         </w:t>
      </w:r>
    </w:p>
    <w:p>
      <w:pPr>
        <w:snapToGrid w:val="0"/>
        <w:spacing w:line="480" w:lineRule="auto"/>
        <w:jc w:val="center"/>
        <w:rPr>
          <w:rFonts w:asciiTheme="minorEastAsia" w:hAnsiTheme="minorEastAsia" w:cstheme="minorEastAsia"/>
          <w:b/>
          <w:bCs/>
          <w:sz w:val="72"/>
          <w:szCs w:val="72"/>
        </w:rPr>
      </w:pPr>
      <w:r>
        <w:rPr>
          <w:rFonts w:hint="eastAsia" w:asciiTheme="minorEastAsia" w:hAnsiTheme="minorEastAsia" w:cstheme="minorEastAsia"/>
          <w:b/>
          <w:bCs/>
          <w:sz w:val="52"/>
          <w:szCs w:val="52"/>
          <w:lang w:eastAsia="zh-CN"/>
        </w:rPr>
        <w:t>西安市第五医院下肢康复运动器等设备一批采购项目</w:t>
      </w:r>
    </w:p>
    <w:p>
      <w:pPr>
        <w:snapToGrid w:val="0"/>
        <w:spacing w:line="480" w:lineRule="auto"/>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投标文件</w:t>
      </w:r>
    </w:p>
    <w:p>
      <w:pPr>
        <w:snapToGrid w:val="0"/>
        <w:spacing w:line="480" w:lineRule="auto"/>
        <w:jc w:val="center"/>
        <w:rPr>
          <w:rFonts w:hint="eastAsia" w:asciiTheme="minorEastAsia" w:hAnsiTheme="minorEastAsia" w:eastAsiaTheme="minorEastAsia" w:cstheme="minorEastAsia"/>
          <w:sz w:val="32"/>
          <w:szCs w:val="32"/>
          <w:lang w:val="zh-CN" w:eastAsia="zh-CN"/>
        </w:rPr>
      </w:pPr>
    </w:p>
    <w:p>
      <w:pPr>
        <w:snapToGrid w:val="0"/>
        <w:spacing w:line="480" w:lineRule="auto"/>
        <w:ind w:firstLine="1600" w:firstLineChars="500"/>
        <w:jc w:val="left"/>
        <w:rPr>
          <w:rFonts w:asciiTheme="minorEastAsia" w:hAnsiTheme="minorEastAsia" w:cstheme="minorEastAsia"/>
          <w:sz w:val="32"/>
          <w:szCs w:val="32"/>
          <w:lang w:val="zh-CN"/>
        </w:rPr>
      </w:pP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lang w:val="zh-CN"/>
        </w:rPr>
        <w:t>投标人（单位名称及公章）：</w:t>
      </w:r>
      <w:r>
        <w:rPr>
          <w:rFonts w:hint="eastAsia" w:asciiTheme="minorEastAsia" w:hAnsiTheme="minorEastAsia" w:cstheme="minorEastAsia"/>
          <w:sz w:val="32"/>
          <w:szCs w:val="32"/>
          <w:u w:val="single"/>
        </w:rPr>
        <w:t xml:space="preserve">                         </w:t>
      </w: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r>
        <w:rPr>
          <w:rFonts w:hint="eastAsia" w:asciiTheme="minorEastAsia" w:hAnsiTheme="minorEastAsia" w:cstheme="minorEastAsia"/>
          <w:sz w:val="32"/>
          <w:szCs w:val="32"/>
          <w:u w:val="single"/>
        </w:rPr>
        <w:t xml:space="preserve">                                          </w:t>
      </w:r>
    </w:p>
    <w:p>
      <w:pPr>
        <w:pageBreakBefore/>
        <w:spacing w:beforeLines="100" w:afterLines="150" w:line="500" w:lineRule="exact"/>
        <w:ind w:firstLine="723"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pPr>
        <w:pStyle w:val="14"/>
        <w:snapToGrid w:val="0"/>
        <w:spacing w:line="480" w:lineRule="auto"/>
        <w:ind w:firstLine="562" w:firstLineChars="200"/>
        <w:jc w:val="left"/>
        <w:rPr>
          <w:rFonts w:asciiTheme="minorEastAsia" w:hAnsiTheme="minorEastAsia" w:cstheme="minorEastAsia"/>
          <w:b/>
          <w:bCs/>
          <w:sz w:val="28"/>
          <w:szCs w:val="28"/>
        </w:rPr>
      </w:pPr>
      <w:bookmarkStart w:id="93" w:name="_Toc21472"/>
      <w:r>
        <w:rPr>
          <w:rFonts w:hint="eastAsia" w:asciiTheme="minorEastAsia" w:hAnsiTheme="minorEastAsia" w:cstheme="minorEastAsia"/>
          <w:b/>
          <w:bCs/>
          <w:sz w:val="28"/>
          <w:szCs w:val="28"/>
        </w:rPr>
        <w:t>第一章   投标函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开标一览表 </w:t>
      </w:r>
    </w:p>
    <w:p>
      <w:pPr>
        <w:pStyle w:val="14"/>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sz w:val="28"/>
          <w:szCs w:val="28"/>
        </w:rPr>
        <w:t>分项报价表</w:t>
      </w:r>
    </w:p>
    <w:p>
      <w:pPr>
        <w:pStyle w:val="14"/>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第四</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投标人资质证明资料</w:t>
      </w:r>
    </w:p>
    <w:p>
      <w:pPr>
        <w:pStyle w:val="14"/>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商务和技术响应偏离表</w:t>
      </w:r>
    </w:p>
    <w:p>
      <w:pPr>
        <w:pStyle w:val="14"/>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技术支持资料</w:t>
      </w:r>
    </w:p>
    <w:p>
      <w:pPr>
        <w:pStyle w:val="14"/>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第七</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投标人业绩一览表</w:t>
      </w:r>
    </w:p>
    <w:p>
      <w:pPr>
        <w:pStyle w:val="14"/>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投标人认为有必要说明的其他问题</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第九章   投标人承诺书</w:t>
      </w:r>
    </w:p>
    <w:p>
      <w:pPr>
        <w:pStyle w:val="4"/>
        <w:pageBreakBefore/>
        <w:spacing w:beforeLines="100" w:afterLines="150" w:line="500" w:lineRule="exact"/>
        <w:rPr>
          <w:rFonts w:asciiTheme="minorEastAsia" w:hAnsiTheme="minorEastAsia" w:eastAsiaTheme="minorEastAsia" w:cstheme="minorEastAsia"/>
          <w:sz w:val="36"/>
          <w:szCs w:val="36"/>
        </w:rPr>
      </w:pPr>
      <w:bookmarkStart w:id="94" w:name="_Toc9898"/>
      <w:r>
        <w:rPr>
          <w:rFonts w:hint="eastAsia" w:asciiTheme="minorEastAsia" w:hAnsiTheme="minorEastAsia" w:eastAsiaTheme="minorEastAsia" w:cstheme="minorEastAsia"/>
          <w:sz w:val="36"/>
          <w:szCs w:val="36"/>
        </w:rPr>
        <w:t>第一章  投标函</w:t>
      </w:r>
      <w:bookmarkEnd w:id="93"/>
      <w:bookmarkEnd w:id="94"/>
    </w:p>
    <w:p>
      <w:pPr>
        <w:adjustRightInd w:val="0"/>
        <w:snapToGrid w:val="0"/>
        <w:spacing w:line="360"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highlight w:val="yellow"/>
        </w:rPr>
      </w:pPr>
      <w:r>
        <w:rPr>
          <w:rFonts w:hint="eastAsia" w:asciiTheme="minorEastAsia" w:hAnsiTheme="minorEastAsia" w:cstheme="minorEastAsia"/>
          <w:sz w:val="24"/>
          <w:szCs w:val="24"/>
        </w:rPr>
        <w:t>2、按照招标文件的规定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完成总体供货和服务的</w:t>
      </w:r>
      <w:r>
        <w:rPr>
          <w:rFonts w:hint="eastAsia" w:asciiTheme="minorEastAsia" w:hAnsiTheme="minorEastAsia" w:cstheme="minorEastAsia"/>
          <w:sz w:val="24"/>
          <w:szCs w:val="24"/>
          <w:highlight w:val="none"/>
        </w:rPr>
        <w:t>投标</w:t>
      </w:r>
      <w:r>
        <w:rPr>
          <w:rFonts w:hint="eastAsia" w:asciiTheme="minorEastAsia" w:hAnsiTheme="minorEastAsia" w:cstheme="minorEastAsia"/>
          <w:sz w:val="24"/>
          <w:szCs w:val="24"/>
          <w:highlight w:val="none"/>
          <w:lang w:eastAsia="zh-CN"/>
        </w:rPr>
        <w:t>总报价</w:t>
      </w:r>
      <w:r>
        <w:rPr>
          <w:rFonts w:hint="eastAsia" w:asciiTheme="minorEastAsia" w:hAnsiTheme="minorEastAsia" w:cstheme="minorEastAsia"/>
          <w:sz w:val="24"/>
          <w:szCs w:val="24"/>
          <w:highlight w:val="none"/>
        </w:rPr>
        <w:t>为：</w:t>
      </w:r>
    </w:p>
    <w:p>
      <w:pPr>
        <w:adjustRightInd w:val="0"/>
        <w:snapToGrid w:val="0"/>
        <w:spacing w:line="360" w:lineRule="auto"/>
        <w:ind w:left="210" w:leftChars="100" w:firstLine="240" w:firstLineChars="100"/>
        <w:rPr>
          <w:rFonts w:hint="eastAsia" w:asciiTheme="minorEastAsia" w:hAnsiTheme="minorEastAsia" w:cstheme="minorEastAsia"/>
          <w:sz w:val="24"/>
          <w:szCs w:val="24"/>
        </w:rPr>
      </w:pP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widowControl/>
        <w:spacing w:line="460" w:lineRule="exact"/>
        <w:ind w:firstLine="480" w:firstLineChars="200"/>
        <w:jc w:val="left"/>
        <w:rPr>
          <w:rFonts w:asciiTheme="minorEastAsia" w:hAnsiTheme="minorEastAsia" w:cstheme="minorEastAsia"/>
          <w:sz w:val="24"/>
          <w:szCs w:val="24"/>
          <w:u w:val="single"/>
        </w:rPr>
      </w:pPr>
    </w:p>
    <w:p>
      <w:pPr>
        <w:pStyle w:val="4"/>
        <w:spacing w:beforeLines="100" w:afterLines="150" w:line="500" w:lineRule="exact"/>
        <w:rPr>
          <w:rFonts w:asciiTheme="minorEastAsia" w:hAnsiTheme="minorEastAsia" w:eastAsiaTheme="minorEastAsia" w:cstheme="minorEastAsia"/>
          <w:sz w:val="36"/>
          <w:szCs w:val="36"/>
        </w:rPr>
      </w:pPr>
      <w:bookmarkStart w:id="95" w:name="_Toc15401"/>
      <w:bookmarkStart w:id="96" w:name="_Toc22907"/>
      <w:r>
        <w:rPr>
          <w:rFonts w:hint="eastAsia" w:asciiTheme="minorEastAsia" w:hAnsiTheme="minorEastAsia" w:eastAsiaTheme="minorEastAsia" w:cstheme="minorEastAsia"/>
          <w:sz w:val="36"/>
          <w:szCs w:val="36"/>
        </w:rPr>
        <w:t>第二章  开标一览表</w:t>
      </w:r>
      <w:bookmarkEnd w:id="95"/>
      <w:bookmarkEnd w:id="96"/>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none"/>
        </w:rPr>
        <w:t xml:space="preserve">  </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8"/>
        <w:tblpPr w:leftFromText="180" w:rightFromText="180" w:vertAnchor="text" w:horzAnchor="page" w:tblpXSpec="center" w:tblpY="360"/>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2160"/>
        <w:gridCol w:w="1872"/>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657" w:type="dxa"/>
            <w:tcBorders>
              <w:tl2br w:val="single" w:color="auto" w:sz="4" w:space="0"/>
            </w:tcBorders>
          </w:tcPr>
          <w:p>
            <w:pPr>
              <w:kinsoku w:val="0"/>
              <w:spacing w:line="480" w:lineRule="auto"/>
              <w:ind w:firstLine="630" w:firstLineChars="3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160" w:type="dxa"/>
            <w:vAlign w:val="center"/>
          </w:tcPr>
          <w:p>
            <w:pPr>
              <w:kinsoku w:val="0"/>
              <w:spacing w:line="480" w:lineRule="auto"/>
              <w:jc w:val="center"/>
              <w:rPr>
                <w:rFonts w:ascii="宋体" w:hAnsi="宋体" w:cs="宋体"/>
                <w:szCs w:val="21"/>
              </w:rPr>
            </w:pPr>
            <w:r>
              <w:rPr>
                <w:rFonts w:hint="eastAsia" w:ascii="宋体" w:hAnsi="宋体" w:cs="宋体"/>
                <w:szCs w:val="21"/>
                <w:lang w:eastAsia="zh-CN"/>
              </w:rPr>
              <w:t>投标报价</w:t>
            </w:r>
            <w:r>
              <w:rPr>
                <w:rFonts w:hint="eastAsia" w:ascii="宋体" w:hAnsi="宋体" w:cs="宋体"/>
                <w:szCs w:val="21"/>
              </w:rPr>
              <w:t>（元）</w:t>
            </w:r>
          </w:p>
        </w:tc>
        <w:tc>
          <w:tcPr>
            <w:tcW w:w="1872" w:type="dxa"/>
            <w:vAlign w:val="center"/>
          </w:tcPr>
          <w:p>
            <w:pPr>
              <w:kinsoku w:val="0"/>
              <w:spacing w:line="480" w:lineRule="auto"/>
              <w:jc w:val="center"/>
              <w:rPr>
                <w:rFonts w:hint="eastAsia"/>
                <w:lang w:eastAsia="zh-CN"/>
              </w:rPr>
            </w:pPr>
            <w:r>
              <w:rPr>
                <w:rFonts w:hint="eastAsia"/>
                <w:lang w:eastAsia="zh-CN"/>
              </w:rPr>
              <w:t>交货期</w:t>
            </w:r>
          </w:p>
        </w:tc>
        <w:tc>
          <w:tcPr>
            <w:tcW w:w="2152" w:type="dxa"/>
            <w:vAlign w:val="center"/>
          </w:tcPr>
          <w:p>
            <w:pPr>
              <w:kinsoku w:val="0"/>
              <w:spacing w:line="480" w:lineRule="auto"/>
              <w:jc w:val="center"/>
              <w:rPr>
                <w:rFonts w:hint="eastAsia"/>
                <w:lang w:eastAsia="zh-CN"/>
              </w:rPr>
            </w:pPr>
            <w:r>
              <w:rPr>
                <w:rFonts w:hint="eastAsia"/>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2657" w:type="dxa"/>
            <w:vAlign w:val="center"/>
          </w:tcPr>
          <w:p>
            <w:pPr>
              <w:kinsoku w:val="0"/>
              <w:spacing w:line="480" w:lineRule="auto"/>
              <w:jc w:val="left"/>
              <w:rPr>
                <w:rFonts w:hint="default"/>
                <w:lang w:val="en-US" w:eastAsia="zh-CN"/>
              </w:rPr>
            </w:pPr>
            <w:r>
              <w:rPr>
                <w:rFonts w:hint="eastAsia"/>
                <w:lang w:eastAsia="zh-CN"/>
              </w:rPr>
              <w:t>西安市第五医院下肢康复运动器等设备一批采购项目</w:t>
            </w:r>
          </w:p>
        </w:tc>
        <w:tc>
          <w:tcPr>
            <w:tcW w:w="2160" w:type="dxa"/>
            <w:vAlign w:val="center"/>
          </w:tcPr>
          <w:p>
            <w:pPr>
              <w:kinsoku w:val="0"/>
              <w:spacing w:line="480" w:lineRule="auto"/>
              <w:jc w:val="left"/>
              <w:rPr>
                <w:rFonts w:ascii="宋体" w:hAnsi="宋体" w:cs="宋体"/>
                <w:szCs w:val="21"/>
              </w:rPr>
            </w:pPr>
          </w:p>
        </w:tc>
        <w:tc>
          <w:tcPr>
            <w:tcW w:w="1872" w:type="dxa"/>
            <w:vAlign w:val="center"/>
          </w:tcPr>
          <w:p>
            <w:pPr>
              <w:kinsoku w:val="0"/>
              <w:spacing w:line="480" w:lineRule="auto"/>
              <w:jc w:val="left"/>
              <w:rPr>
                <w:rFonts w:hint="eastAsia"/>
                <w:lang w:eastAsia="zh-CN"/>
              </w:rPr>
            </w:pPr>
          </w:p>
        </w:tc>
        <w:tc>
          <w:tcPr>
            <w:tcW w:w="2152" w:type="dxa"/>
            <w:vAlign w:val="center"/>
          </w:tcPr>
          <w:p>
            <w:pPr>
              <w:kinsoku w:val="0"/>
              <w:spacing w:line="480" w:lineRule="auto"/>
              <w:jc w:val="lef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841" w:type="dxa"/>
            <w:gridSpan w:val="4"/>
            <w:vAlign w:val="center"/>
          </w:tcPr>
          <w:p>
            <w:pPr>
              <w:kinsoku w:val="0"/>
              <w:spacing w:line="480" w:lineRule="auto"/>
              <w:ind w:firstLine="420" w:firstLineChars="200"/>
              <w:jc w:val="left"/>
              <w:rPr>
                <w:rFonts w:ascii="宋体" w:hAnsi="宋体" w:cs="宋体"/>
                <w:szCs w:val="21"/>
              </w:rPr>
            </w:pPr>
            <w:r>
              <w:rPr>
                <w:rFonts w:hint="eastAsia" w:ascii="宋体" w:hAnsi="宋体" w:cs="宋体"/>
                <w:szCs w:val="21"/>
                <w:lang w:eastAsia="zh-CN"/>
              </w:rPr>
              <w:t>投标总报价</w:t>
            </w:r>
            <w:r>
              <w:rPr>
                <w:rFonts w:hint="eastAsia" w:ascii="宋体" w:hAnsi="宋体" w:cs="宋体"/>
                <w:szCs w:val="21"/>
              </w:rPr>
              <w:t>：人民</w:t>
            </w:r>
            <w:r>
              <w:rPr>
                <w:rFonts w:ascii="宋体" w:hAnsi="宋体" w:cs="宋体"/>
                <w:szCs w:val="21"/>
              </w:rPr>
              <w:t>币</w:t>
            </w:r>
            <w:r>
              <w:rPr>
                <w:rFonts w:hint="eastAsia" w:ascii="宋体" w:hAnsi="宋体" w:cs="宋体"/>
                <w:szCs w:val="21"/>
                <w:u w:val="single"/>
              </w:rPr>
              <w:t>（大</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（小</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841" w:type="dxa"/>
            <w:gridSpan w:val="4"/>
            <w:vAlign w:val="center"/>
          </w:tcPr>
          <w:p>
            <w:pPr>
              <w:kinsoku w:val="0"/>
              <w:spacing w:line="240" w:lineRule="auto"/>
              <w:ind w:firstLine="420" w:firstLineChars="200"/>
              <w:jc w:val="left"/>
            </w:pPr>
            <w:r>
              <w:t>备</w:t>
            </w:r>
            <w:r>
              <w:rPr>
                <w:rFonts w:hint="eastAsia"/>
              </w:rPr>
              <w:t>注：</w:t>
            </w:r>
          </w:p>
          <w:p>
            <w:pPr>
              <w:kinsoku w:val="0"/>
              <w:spacing w:line="240" w:lineRule="auto"/>
              <w:ind w:firstLine="420" w:firstLineChars="200"/>
              <w:jc w:val="left"/>
            </w:pPr>
            <w:r>
              <w:rPr>
                <w:rFonts w:hint="eastAsia"/>
              </w:rPr>
              <w:t>1、表</w:t>
            </w:r>
            <w:r>
              <w:t>内报价内</w:t>
            </w:r>
            <w:r>
              <w:rPr>
                <w:rFonts w:hint="eastAsia"/>
              </w:rPr>
              <w:t>容以元</w:t>
            </w:r>
            <w:r>
              <w:t>为单</w:t>
            </w:r>
            <w:r>
              <w:rPr>
                <w:rFonts w:hint="eastAsia"/>
              </w:rPr>
              <w:t>位，精确到小数点后两位</w:t>
            </w:r>
            <w:r>
              <w:rPr>
                <w:rFonts w:hint="eastAsia"/>
                <w:lang w:eastAsia="zh-CN"/>
              </w:rPr>
              <w:t>；</w:t>
            </w:r>
          </w:p>
          <w:p>
            <w:pPr>
              <w:pStyle w:val="2"/>
              <w:spacing w:line="240" w:lineRule="auto"/>
              <w:ind w:firstLine="420" w:firstLineChars="200"/>
              <w:rPr>
                <w:rFonts w:hint="default"/>
              </w:rPr>
            </w:pPr>
            <w:r>
              <w:rPr>
                <w:rFonts w:asciiTheme="minorHAnsi" w:hAnsiTheme="minorHAnsi" w:eastAsiaTheme="minorEastAsia" w:cstheme="minorBidi"/>
                <w:b w:val="0"/>
                <w:sz w:val="21"/>
              </w:rPr>
              <w:t>2、交货期、</w:t>
            </w:r>
            <w:r>
              <w:rPr>
                <w:rFonts w:hint="eastAsia" w:asciiTheme="minorHAnsi" w:hAnsiTheme="minorHAnsi" w:eastAsiaTheme="minorEastAsia" w:cstheme="minorBidi"/>
                <w:b w:val="0"/>
                <w:sz w:val="21"/>
                <w:lang w:eastAsia="zh-CN"/>
              </w:rPr>
              <w:t>质保期</w:t>
            </w:r>
            <w:r>
              <w:rPr>
                <w:rFonts w:asciiTheme="minorHAnsi" w:hAnsiTheme="minorHAnsi" w:eastAsiaTheme="minorEastAsia" w:cstheme="minorBidi"/>
                <w:b w:val="0"/>
                <w:sz w:val="21"/>
              </w:rPr>
              <w:t>要求详见第五部分采购要求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rPr>
          <w:rFonts w:hint="eastAsia" w:asciiTheme="minorEastAsia" w:hAnsiTheme="minorEastAsia" w:cstheme="minorEastAsia"/>
          <w:sz w:val="28"/>
          <w:szCs w:val="28"/>
        </w:rPr>
      </w:pPr>
      <w:bookmarkStart w:id="97" w:name="_Toc3196"/>
      <w:bookmarkStart w:id="98" w:name="_Toc25889"/>
      <w:bookmarkStart w:id="99" w:name="_Toc3301"/>
      <w:bookmarkStart w:id="100" w:name="_Toc30178"/>
      <w:bookmarkStart w:id="101" w:name="_Toc28294"/>
      <w:bookmarkStart w:id="102" w:name="_Toc8188"/>
      <w:bookmarkStart w:id="103" w:name="_Toc1408"/>
      <w:bookmarkStart w:id="104" w:name="_Toc18357"/>
      <w:r>
        <w:rPr>
          <w:rFonts w:hint="eastAsia" w:asciiTheme="minorEastAsia" w:hAnsiTheme="minorEastAsia" w:cstheme="minorEastAsia"/>
          <w:sz w:val="28"/>
          <w:szCs w:val="28"/>
        </w:rPr>
        <w:br w:type="page"/>
      </w:r>
    </w:p>
    <w:p>
      <w:pPr>
        <w:pStyle w:val="4"/>
      </w:pPr>
      <w:r>
        <w:rPr>
          <w:rFonts w:hint="eastAsia"/>
        </w:rPr>
        <w:t>第三章  分项报价表</w:t>
      </w:r>
      <w:bookmarkEnd w:id="97"/>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8"/>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586"/>
        <w:gridCol w:w="958"/>
        <w:gridCol w:w="1563"/>
        <w:gridCol w:w="962"/>
        <w:gridCol w:w="1347"/>
        <w:gridCol w:w="1148"/>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586"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95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563" w:type="dxa"/>
            <w:tcBorders>
              <w:top w:val="single" w:color="auto" w:sz="6" w:space="0"/>
              <w:left w:val="single" w:color="auto" w:sz="6" w:space="0"/>
              <w:bottom w:val="single" w:color="auto" w:sz="6" w:space="0"/>
              <w:right w:val="single" w:color="auto" w:sz="6" w:space="0"/>
            </w:tcBorders>
            <w:vAlign w:val="center"/>
          </w:tcPr>
          <w:p>
            <w:pPr>
              <w:spacing w:beforeLines="50" w:after="120"/>
              <w:jc w:val="center"/>
              <w:rPr>
                <w:rFonts w:ascii="宋体" w:hAnsi="宋体"/>
                <w:sz w:val="22"/>
              </w:rPr>
            </w:pPr>
            <w:r>
              <w:rPr>
                <w:rFonts w:hint="eastAsia" w:ascii="宋体" w:hAnsi="宋体"/>
                <w:sz w:val="22"/>
              </w:rPr>
              <w:t>原产地及制造厂名</w:t>
            </w:r>
          </w:p>
        </w:tc>
        <w:tc>
          <w:tcPr>
            <w:tcW w:w="9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34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p>
          <w:p>
            <w:pPr>
              <w:spacing w:after="120"/>
              <w:jc w:val="center"/>
              <w:rPr>
                <w:rFonts w:ascii="宋体" w:hAnsi="宋体"/>
                <w:bCs/>
                <w:sz w:val="22"/>
              </w:rPr>
            </w:pPr>
            <w:r>
              <w:rPr>
                <w:rFonts w:hint="eastAsia" w:ascii="宋体" w:hAnsi="宋体"/>
                <w:sz w:val="22"/>
              </w:rPr>
              <w:t>（元）</w:t>
            </w:r>
          </w:p>
        </w:tc>
        <w:tc>
          <w:tcPr>
            <w:tcW w:w="114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bCs/>
                <w:sz w:val="22"/>
              </w:rPr>
            </w:pPr>
            <w:r>
              <w:rPr>
                <w:rFonts w:hint="eastAsia" w:ascii="宋体" w:hAnsi="宋体"/>
                <w:bCs/>
                <w:sz w:val="22"/>
              </w:rPr>
              <w:t>总价</w:t>
            </w:r>
          </w:p>
          <w:p>
            <w:pPr>
              <w:spacing w:after="120"/>
              <w:jc w:val="center"/>
              <w:rPr>
                <w:rFonts w:ascii="宋体" w:hAnsi="宋体"/>
                <w:bCs/>
                <w:sz w:val="22"/>
              </w:rPr>
            </w:pPr>
            <w:r>
              <w:rPr>
                <w:rFonts w:hint="eastAsia" w:ascii="宋体" w:hAnsi="宋体"/>
                <w:bCs/>
                <w:sz w:val="22"/>
              </w:rPr>
              <w:t>（元）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6" w:space="0"/>
              <w:left w:val="single" w:color="auto" w:sz="4" w:space="0"/>
              <w:bottom w:val="single" w:color="auto" w:sz="4" w:space="0"/>
            </w:tcBorders>
            <w:vAlign w:val="center"/>
          </w:tcPr>
          <w:p>
            <w:pPr>
              <w:spacing w:beforeLines="100"/>
              <w:jc w:val="center"/>
              <w:rPr>
                <w:rFonts w:ascii="宋体" w:hAnsi="宋体"/>
                <w:sz w:val="22"/>
              </w:rPr>
            </w:pPr>
            <w:r>
              <w:rPr>
                <w:rFonts w:hint="eastAsia" w:ascii="宋体" w:hAnsi="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586" w:type="dxa"/>
            <w:tcBorders>
              <w:top w:val="single" w:color="auto" w:sz="6" w:space="0"/>
              <w:left w:val="single" w:color="auto" w:sz="6" w:space="0"/>
              <w:bottom w:val="single" w:color="auto" w:sz="4" w:space="0"/>
              <w:right w:val="single" w:color="auto" w:sz="4" w:space="0"/>
            </w:tcBorders>
            <w:vAlign w:val="center"/>
          </w:tcPr>
          <w:p>
            <w:pPr>
              <w:spacing w:beforeLines="50"/>
              <w:jc w:val="center"/>
              <w:rPr>
                <w:rFonts w:ascii="宋体" w:hAnsi="宋体"/>
                <w:sz w:val="22"/>
              </w:rPr>
            </w:pPr>
          </w:p>
        </w:tc>
        <w:tc>
          <w:tcPr>
            <w:tcW w:w="958" w:type="dxa"/>
            <w:tcBorders>
              <w:top w:val="single" w:color="auto" w:sz="6" w:space="0"/>
              <w:left w:val="single" w:color="auto" w:sz="4" w:space="0"/>
              <w:bottom w:val="single" w:color="auto" w:sz="4" w:space="0"/>
              <w:right w:val="single" w:color="auto" w:sz="6" w:space="0"/>
            </w:tcBorders>
            <w:vAlign w:val="center"/>
          </w:tcPr>
          <w:p>
            <w:pPr>
              <w:spacing w:beforeLines="50"/>
              <w:jc w:val="center"/>
              <w:rPr>
                <w:rFonts w:ascii="宋体" w:hAnsi="宋体"/>
                <w:sz w:val="22"/>
              </w:rPr>
            </w:pPr>
          </w:p>
        </w:tc>
        <w:tc>
          <w:tcPr>
            <w:tcW w:w="1563"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962"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347"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148"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b/>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安装调试费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hint="eastAsia" w:ascii="宋体" w:hAnsi="宋体" w:eastAsiaTheme="minorEastAsia"/>
                <w:sz w:val="22"/>
                <w:lang w:eastAsia="zh-CN"/>
              </w:rPr>
            </w:pPr>
            <w:r>
              <w:rPr>
                <w:rFonts w:hint="eastAsia" w:ascii="宋体" w:hAnsi="宋体"/>
                <w:sz w:val="22"/>
                <w:lang w:val="en-US" w:eastAsia="zh-CN"/>
              </w:rPr>
              <w:t>合计</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Lines="50"/>
              <w:jc w:val="left"/>
              <w:rPr>
                <w:rFonts w:ascii="宋体" w:hAnsi="宋体"/>
                <w:sz w:val="22"/>
              </w:rPr>
            </w:pPr>
            <w:r>
              <w:rPr>
                <w:rFonts w:hint="eastAsia" w:ascii="宋体" w:hAnsi="宋体"/>
                <w:sz w:val="22"/>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pacing w:val="-6"/>
                <w:sz w:val="22"/>
              </w:rPr>
              <w:t>保留小数点后两位。</w:t>
            </w:r>
          </w:p>
        </w:tc>
      </w:tr>
    </w:tbl>
    <w:p>
      <w:pPr>
        <w:kinsoku w:val="0"/>
        <w:spacing w:line="360" w:lineRule="auto"/>
        <w:jc w:val="left"/>
        <w:rPr>
          <w:rFonts w:asciiTheme="minorEastAsia" w:hAnsiTheme="minorEastAsia" w:cstheme="minorEastAsia"/>
          <w:sz w:val="24"/>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rPr>
          <w:rFonts w:hint="eastAsia"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bookmarkStart w:id="105" w:name="_Toc15967"/>
    </w:p>
    <w:p>
      <w:pPr>
        <w:bidi w:val="0"/>
      </w:pPr>
    </w:p>
    <w:p/>
    <w:bookmarkEnd w:id="105"/>
    <w:p>
      <w:pPr>
        <w:pStyle w:val="4"/>
        <w:rPr>
          <w:color w:val="000000" w:themeColor="text1"/>
          <w14:textFill>
            <w14:solidFill>
              <w14:schemeClr w14:val="tx1"/>
            </w14:solidFill>
          </w14:textFill>
        </w:rPr>
      </w:pPr>
      <w:bookmarkStart w:id="106" w:name="_Toc12815"/>
      <w:r>
        <w:rPr>
          <w:rFonts w:hint="eastAsia"/>
          <w:color w:val="000000" w:themeColor="text1"/>
          <w14:textFill>
            <w14:solidFill>
              <w14:schemeClr w14:val="tx1"/>
            </w14:solidFill>
          </w14:textFill>
        </w:rPr>
        <w:t>第四章  供应商资质证明资料</w:t>
      </w:r>
      <w:bookmarkEnd w:id="98"/>
      <w:bookmarkEnd w:id="99"/>
      <w:bookmarkEnd w:id="100"/>
      <w:bookmarkEnd w:id="106"/>
    </w:p>
    <w:p>
      <w:pPr>
        <w:pStyle w:val="7"/>
        <w:rPr>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供应商需在此页附招标公告或招标文件中要求的资质证明文件，投标文件附资质复印件或扫描件加盖供应商公章。格式参考见下页。</w:t>
      </w:r>
    </w:p>
    <w:p>
      <w:pPr>
        <w:rPr>
          <w:color w:val="000000" w:themeColor="text1"/>
          <w14:textFill>
            <w14:solidFill>
              <w14:schemeClr w14:val="tx1"/>
            </w14:solidFill>
          </w14:textFill>
        </w:rPr>
      </w:pPr>
    </w:p>
    <w:p>
      <w:pPr>
        <w:pStyle w:val="7"/>
        <w:rPr>
          <w:color w:val="000000" w:themeColor="text1"/>
          <w:sz w:val="24"/>
          <w:szCs w:val="24"/>
          <w14:textFill>
            <w14:solidFill>
              <w14:schemeClr w14:val="tx1"/>
            </w14:solidFill>
          </w14:textFill>
        </w:rPr>
      </w:pPr>
    </w:p>
    <w:p>
      <w:pPr>
        <w:pStyle w:val="7"/>
        <w:ind w:firstLine="0"/>
        <w:rPr>
          <w:b/>
          <w:bCs/>
          <w:color w:val="000000" w:themeColor="text1"/>
          <w:sz w:val="28"/>
          <w:szCs w:val="28"/>
          <w14:textFill>
            <w14:solidFill>
              <w14:schemeClr w14:val="tx1"/>
            </w14:solidFill>
          </w14:textFill>
        </w:rPr>
        <w:sectPr>
          <w:headerReference r:id="rId11" w:type="default"/>
          <w:footerReference r:id="rId12" w:type="default"/>
          <w:pgSz w:w="11906" w:h="16838"/>
          <w:pgMar w:top="1440" w:right="1803" w:bottom="1440" w:left="1803" w:header="851" w:footer="992" w:gutter="0"/>
          <w:cols w:space="720" w:num="1"/>
          <w:docGrid w:type="lines" w:linePitch="319" w:charSpace="0"/>
        </w:sectPr>
      </w:pPr>
      <w:r>
        <w:rPr>
          <w:rFonts w:hint="eastAsia"/>
          <w:b/>
          <w:bCs/>
          <w:color w:val="000000" w:themeColor="text1"/>
          <w:sz w:val="28"/>
          <w:szCs w:val="28"/>
          <w14:textFill>
            <w14:solidFill>
              <w14:schemeClr w14:val="tx1"/>
            </w14:solidFill>
          </w14:textFill>
        </w:rPr>
        <w:t xml:space="preserve"> </w:t>
      </w:r>
    </w:p>
    <w:p>
      <w:pPr>
        <w:pStyle w:val="7"/>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1、供应商符合《政府采购法》第二十二条规定条件的承诺函</w:t>
      </w:r>
    </w:p>
    <w:p>
      <w:pPr>
        <w:pStyle w:val="12"/>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参加的投标活动，现承诺：</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我公司满足政府采购法第二十二条关于供应商的资格要求：</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同时也满足本项目法律法规规章规定关于供应商的其他资格性条件，未参与本采购项目前期咨询论证，不属于禁止参加投标的供应商。</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pPr>
        <w:pStyle w:val="12"/>
        <w:spacing w:line="360" w:lineRule="auto"/>
        <w:ind w:left="0" w:leftChars="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（名称及盖章）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pStyle w:val="7"/>
        <w:ind w:firstLine="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2、供应商基本情况一览表</w:t>
      </w:r>
    </w:p>
    <w:p>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2-1供应商基本情况一览表</w:t>
      </w:r>
    </w:p>
    <w:tbl>
      <w:tblPr>
        <w:tblStyle w:val="28"/>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w:t>
            </w:r>
          </w:p>
        </w:tc>
        <w:tc>
          <w:tcPr>
            <w:tcW w:w="3655" w:type="dxa"/>
            <w:gridSpan w:val="3"/>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p>
        </w:tc>
        <w:tc>
          <w:tcPr>
            <w:tcW w:w="2639" w:type="dxa"/>
            <w:gridSpan w:val="2"/>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组织结构</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技术负责人</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w:t>
            </w:r>
          </w:p>
        </w:tc>
        <w:tc>
          <w:tcPr>
            <w:tcW w:w="2331" w:type="dxa"/>
            <w:gridSpan w:val="2"/>
            <w:vAlign w:val="center"/>
          </w:tcPr>
          <w:p>
            <w:pPr>
              <w:rPr>
                <w:color w:val="000000" w:themeColor="text1"/>
                <w14:textFill>
                  <w14:solidFill>
                    <w14:schemeClr w14:val="tx1"/>
                  </w14:solidFill>
                </w14:textFill>
              </w:rPr>
            </w:pPr>
          </w:p>
        </w:tc>
        <w:tc>
          <w:tcPr>
            <w:tcW w:w="4774" w:type="dxa"/>
            <w:gridSpan w:val="5"/>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营业执照号</w:t>
            </w:r>
          </w:p>
        </w:tc>
        <w:tc>
          <w:tcPr>
            <w:tcW w:w="2331" w:type="dxa"/>
            <w:gridSpan w:val="2"/>
            <w:vAlign w:val="center"/>
          </w:tcPr>
          <w:p>
            <w:pPr>
              <w:rPr>
                <w:color w:val="000000" w:themeColor="text1"/>
                <w14:textFill>
                  <w14:solidFill>
                    <w14:schemeClr w14:val="tx1"/>
                  </w14:solidFill>
                </w14:textFill>
              </w:rPr>
            </w:pPr>
          </w:p>
        </w:tc>
        <w:tc>
          <w:tcPr>
            <w:tcW w:w="1324"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注册资金</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技工</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7105" w:type="dxa"/>
            <w:gridSpan w:val="7"/>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hAnsi="宋体"/>
          <w:color w:val="000000" w:themeColor="text1"/>
          <w:sz w:val="24"/>
          <w:szCs w:val="24"/>
          <w:u w:val="single"/>
          <w14:textFill>
            <w14:solidFill>
              <w14:schemeClr w14:val="tx1"/>
            </w14:solidFill>
          </w14:textFill>
        </w:rPr>
      </w:pPr>
    </w:p>
    <w:p>
      <w:pPr>
        <w:spacing w:line="360" w:lineRule="auto"/>
        <w:rPr>
          <w:b/>
          <w:bCs/>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2-2供应商营业执照等资质证明材料</w:t>
      </w:r>
      <w:r>
        <w:rPr>
          <w:rFonts w:hint="eastAsia"/>
          <w:b/>
          <w:bCs/>
          <w:color w:val="000000" w:themeColor="text1"/>
          <w14:textFill>
            <w14:solidFill>
              <w14:schemeClr w14:val="tx1"/>
            </w14:solidFill>
          </w14:textFill>
        </w:rPr>
        <w:t>。</w:t>
      </w:r>
    </w:p>
    <w:p>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2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8938" w:type="dxa"/>
            <w:gridSpan w:val="6"/>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（投标人公章）</w:t>
            </w: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pStyle w:val="2"/>
        <w:rPr>
          <w:rFonts w:hint="default"/>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pPr>
        <w:pStyle w:val="14"/>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pPr>
        <w:pStyle w:val="14"/>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（供应商地址）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（供应商名称）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本授权书有效期自投标文件递交截止之日</w:t>
      </w:r>
      <w:r>
        <w:rPr>
          <w:rFonts w:hint="eastAsia" w:ascii="宋体" w:hAnsi="宋体" w:cs="宋体"/>
          <w:color w:val="000000" w:themeColor="text1"/>
          <w:sz w:val="24"/>
          <w:u w:val="single"/>
          <w14:textFill>
            <w14:solidFill>
              <w14:schemeClr w14:val="tx1"/>
            </w14:solidFill>
          </w14:textFill>
        </w:rPr>
        <w:t>起 90 日历天</w:t>
      </w:r>
      <w:r>
        <w:rPr>
          <w:rFonts w:hint="eastAsia" w:ascii="宋体" w:hAnsi="宋体" w:cs="宋体"/>
          <w:color w:val="000000" w:themeColor="text1"/>
          <w:sz w:val="24"/>
          <w14:textFill>
            <w14:solidFill>
              <w14:schemeClr w14:val="tx1"/>
            </w14:solidFill>
          </w14:textFill>
        </w:rPr>
        <w:t>，特此声明。</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r>
        <w:rPr>
          <w:rFonts w:hint="eastAsia" w:hAnsi="宋体" w:cs="宋体"/>
          <w:color w:val="000000" w:themeColor="text1"/>
          <w:sz w:val="24"/>
          <w:szCs w:val="24"/>
          <w:u w:val="single"/>
          <w14:textFill>
            <w14:solidFill>
              <w14:schemeClr w14:val="tx1"/>
            </w14:solidFill>
          </w14:textFill>
        </w:rPr>
        <w:t>：</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pPr>
        <w:pStyle w:val="14"/>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pPr>
        <w:pStyle w:val="14"/>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pPr>
        <w:pStyle w:val="14"/>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28"/>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4"/>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4"/>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w:t>
      </w:r>
      <w:r>
        <w:rPr>
          <w:rFonts w:hint="eastAsia" w:hAnsi="宋体" w:cs="宋体"/>
          <w:color w:val="000000" w:themeColor="text1"/>
          <w:sz w:val="24"/>
          <w:szCs w:val="24"/>
          <w:lang w:val="en-US" w:eastAsia="zh-CN"/>
          <w14:textFill>
            <w14:solidFill>
              <w14:schemeClr w14:val="tx1"/>
            </w14:solidFill>
          </w14:textFill>
        </w:rPr>
        <w:t>90</w:t>
      </w:r>
      <w:r>
        <w:rPr>
          <w:rFonts w:hint="eastAsia" w:hAnsi="宋体" w:cs="宋体"/>
          <w:color w:val="000000" w:themeColor="text1"/>
          <w:sz w:val="24"/>
          <w:szCs w:val="24"/>
          <w14:textFill>
            <w14:solidFill>
              <w14:schemeClr w14:val="tx1"/>
            </w14:solidFill>
          </w14:textFill>
        </w:rPr>
        <w:t>日历日。</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公开招标，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4"/>
        <w:spacing w:line="480" w:lineRule="auto"/>
        <w:jc w:val="left"/>
        <w:rPr>
          <w:rFonts w:hint="eastAsia" w:hAnsi="宋体" w:cs="宋体" w:eastAsiaTheme="minorEastAsia"/>
          <w:color w:val="000000" w:themeColor="text1"/>
          <w:kern w:val="0"/>
          <w:sz w:val="24"/>
          <w:lang w:eastAsia="zh-CN"/>
          <w14:textFill>
            <w14:solidFill>
              <w14:schemeClr w14:val="tx1"/>
            </w14:solidFill>
          </w14:textFill>
        </w:rPr>
      </w:pPr>
    </w:p>
    <w:p>
      <w:pPr>
        <w:pStyle w:val="14"/>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投标人（单位名称及公章）：</w:t>
      </w:r>
    </w:p>
    <w:p>
      <w:pPr>
        <w:pStyle w:val="14"/>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spacing w:line="600" w:lineRule="auto"/>
        <w:rPr>
          <w:rFonts w:hint="eastAsia" w:hAnsi="宋体" w:cs="宋体" w:eastAsiaTheme="minorEastAsia"/>
          <w:color w:val="000000" w:themeColor="text1"/>
          <w:kern w:val="0"/>
          <w:sz w:val="24"/>
          <w:u w:val="single"/>
          <w:lang w:eastAsia="zh-CN"/>
          <w14:textFill>
            <w14:solidFill>
              <w14:schemeClr w14:val="tx1"/>
            </w14:solidFill>
          </w14:textFill>
        </w:rPr>
      </w:pPr>
      <w:r>
        <w:rPr>
          <w:rFonts w:hint="eastAsia" w:hAnsi="宋体" w:cs="宋体"/>
          <w:color w:val="000000" w:themeColor="text1"/>
          <w:kern w:val="0"/>
          <w:sz w:val="24"/>
          <w14:textFill>
            <w14:solidFill>
              <w14:schemeClr w14:val="tx1"/>
            </w14:solidFill>
          </w14:textFill>
        </w:rPr>
        <w:t>日    期</w:t>
      </w:r>
      <w:r>
        <w:rPr>
          <w:rFonts w:hint="eastAsia" w:hAnsi="宋体" w:cs="宋体"/>
          <w:color w:val="000000" w:themeColor="text1"/>
          <w:kern w:val="0"/>
          <w:sz w:val="24"/>
          <w:u w:val="single"/>
          <w14:textFill>
            <w14:solidFill>
              <w14:schemeClr w14:val="tx1"/>
            </w14:solidFill>
          </w14:textFill>
        </w:rPr>
        <w:t xml:space="preserve">：             </w:t>
      </w:r>
    </w:p>
    <w:p>
      <w:pPr>
        <w:pStyle w:val="2"/>
        <w:rPr>
          <w:rFonts w:hint="eastAsia"/>
          <w:lang w:eastAsia="zh-CN"/>
        </w:rPr>
        <w:sectPr>
          <w:pgSz w:w="11906" w:h="16838"/>
          <w:pgMar w:top="1440" w:right="1803" w:bottom="1440" w:left="1803" w:header="851" w:footer="992" w:gutter="0"/>
          <w:cols w:space="720" w:num="1"/>
          <w:docGrid w:type="lines" w:linePitch="319" w:charSpace="0"/>
        </w:sectPr>
      </w:pPr>
    </w:p>
    <w:p>
      <w:pPr>
        <w:spacing w:line="360" w:lineRule="auto"/>
        <w:rPr>
          <w:sz w:val="24"/>
          <w:szCs w:val="28"/>
        </w:rPr>
      </w:pPr>
      <w:r>
        <w:rPr>
          <w:rFonts w:hint="eastAsia"/>
          <w:sz w:val="24"/>
          <w:szCs w:val="28"/>
        </w:rPr>
        <w:t>5、社保资金缴纳证明材料；</w:t>
      </w:r>
    </w:p>
    <w:p>
      <w:pPr>
        <w:spacing w:line="360" w:lineRule="auto"/>
        <w:rPr>
          <w:sz w:val="24"/>
          <w:szCs w:val="28"/>
        </w:rPr>
      </w:pPr>
      <w:r>
        <w:rPr>
          <w:rFonts w:hint="eastAsia"/>
          <w:sz w:val="24"/>
          <w:szCs w:val="28"/>
        </w:rPr>
        <w:t xml:space="preserve">6、税收缴纳证明材料： </w:t>
      </w:r>
    </w:p>
    <w:p>
      <w:pPr>
        <w:spacing w:line="360" w:lineRule="auto"/>
        <w:rPr>
          <w:sz w:val="24"/>
          <w:szCs w:val="28"/>
        </w:rPr>
      </w:pPr>
      <w:r>
        <w:rPr>
          <w:rFonts w:hint="eastAsia"/>
          <w:sz w:val="24"/>
          <w:szCs w:val="28"/>
        </w:rPr>
        <w:t xml:space="preserve">7、财务状况证明材料： </w:t>
      </w:r>
    </w:p>
    <w:p>
      <w:pPr>
        <w:numPr>
          <w:ilvl w:val="0"/>
          <w:numId w:val="0"/>
        </w:numPr>
        <w:snapToGrid w:val="0"/>
        <w:spacing w:line="360" w:lineRule="auto"/>
        <w:jc w:val="left"/>
        <w:rPr>
          <w:rFonts w:hint="eastAsia" w:ascii="宋体" w:hAnsi="宋体" w:cs="宋体"/>
          <w:bCs/>
          <w:kern w:val="0"/>
          <w:sz w:val="24"/>
          <w:szCs w:val="24"/>
          <w:lang w:val="en-US" w:eastAsia="zh-CN"/>
        </w:rPr>
      </w:pPr>
      <w:r>
        <w:rPr>
          <w:rFonts w:hint="eastAsia" w:ascii="宋体" w:hAnsi="宋体" w:cs="宋体"/>
          <w:bCs/>
          <w:kern w:val="0"/>
          <w:sz w:val="24"/>
          <w:szCs w:val="24"/>
          <w:highlight w:val="none"/>
        </w:rPr>
        <w:t>8、</w:t>
      </w:r>
      <w:r>
        <w:rPr>
          <w:rFonts w:hint="eastAsia" w:ascii="宋体" w:hAnsi="宋体" w:cs="宋体"/>
          <w:bCs/>
          <w:color w:val="auto"/>
          <w:kern w:val="0"/>
          <w:sz w:val="24"/>
          <w:szCs w:val="24"/>
          <w:lang w:val="en-US" w:eastAsia="zh-CN"/>
        </w:rPr>
        <w:t>投标人为代理商的应提供《医疗器械经营许可证》或《医疗器械经营备案凭证》及所投产品医疗器械注册证(含附件和附页)；投标人为制造厂商的应提供《医疗器械生产许可证》和《医疗器械经营许可证》及所投产品医疗器械注册证(含附件和附页)；</w:t>
      </w:r>
    </w:p>
    <w:p>
      <w:pPr>
        <w:spacing w:line="360" w:lineRule="auto"/>
        <w:rPr>
          <w:sz w:val="24"/>
          <w:szCs w:val="28"/>
        </w:rPr>
      </w:pPr>
      <w:r>
        <w:rPr>
          <w:rFonts w:hint="eastAsia"/>
          <w:sz w:val="24"/>
          <w:szCs w:val="28"/>
          <w:lang w:val="en-US" w:eastAsia="zh-CN"/>
        </w:rPr>
        <w:t>9、</w:t>
      </w:r>
      <w:r>
        <w:rPr>
          <w:rFonts w:hint="eastAsia"/>
          <w:sz w:val="24"/>
          <w:szCs w:val="28"/>
        </w:rPr>
        <w:t>非联合体</w:t>
      </w:r>
      <w:r>
        <w:rPr>
          <w:rFonts w:hint="eastAsia"/>
          <w:sz w:val="24"/>
          <w:szCs w:val="28"/>
          <w:lang w:eastAsia="zh-CN"/>
        </w:rPr>
        <w:t>投标</w:t>
      </w:r>
      <w:r>
        <w:rPr>
          <w:rFonts w:hint="eastAsia"/>
          <w:sz w:val="24"/>
          <w:szCs w:val="28"/>
        </w:rPr>
        <w:t>声明</w:t>
      </w:r>
      <w:r>
        <w:rPr>
          <w:rFonts w:hint="eastAsia"/>
          <w:sz w:val="24"/>
          <w:szCs w:val="28"/>
          <w:lang w:eastAsia="zh-CN"/>
        </w:rPr>
        <w:t>函</w:t>
      </w:r>
      <w:r>
        <w:rPr>
          <w:rFonts w:hint="eastAsia"/>
          <w:sz w:val="24"/>
          <w:szCs w:val="28"/>
        </w:rPr>
        <w:t>（格式自拟）；</w:t>
      </w:r>
    </w:p>
    <w:p>
      <w:pPr>
        <w:spacing w:line="360" w:lineRule="auto"/>
        <w:rPr>
          <w:sz w:val="24"/>
          <w:szCs w:val="28"/>
        </w:rPr>
      </w:pPr>
      <w:r>
        <w:rPr>
          <w:rFonts w:hint="eastAsia"/>
          <w:sz w:val="24"/>
          <w:szCs w:val="28"/>
          <w:lang w:val="en-US" w:eastAsia="zh-CN"/>
        </w:rPr>
        <w:t>10</w:t>
      </w:r>
      <w:r>
        <w:rPr>
          <w:rFonts w:hint="eastAsia"/>
          <w:sz w:val="24"/>
          <w:szCs w:val="28"/>
        </w:rPr>
        <w:t>、投标人认为应该提交的其他证明材料；</w:t>
      </w:r>
    </w:p>
    <w:p/>
    <w:p>
      <w:pPr>
        <w:sectPr>
          <w:headerReference r:id="rId13" w:type="default"/>
          <w:pgSz w:w="11906" w:h="16838"/>
          <w:pgMar w:top="1440" w:right="1803" w:bottom="1440" w:left="1803" w:header="851" w:footer="992" w:gutter="0"/>
          <w:cols w:space="720" w:num="1"/>
          <w:docGrid w:type="lines" w:linePitch="319" w:charSpace="0"/>
        </w:sectPr>
      </w:pPr>
      <w:r>
        <w:rPr>
          <w:rFonts w:hint="eastAsia"/>
        </w:rPr>
        <w:t xml:space="preserve"> </w:t>
      </w:r>
    </w:p>
    <w:p>
      <w:pPr>
        <w:pStyle w:val="4"/>
      </w:pPr>
      <w:bookmarkStart w:id="107" w:name="_Toc25284"/>
      <w:r>
        <w:rPr>
          <w:rFonts w:hint="eastAsia"/>
        </w:rPr>
        <w:t>第五章  商务和技术响应偏离表</w:t>
      </w:r>
      <w:bookmarkEnd w:id="101"/>
      <w:bookmarkEnd w:id="102"/>
      <w:bookmarkEnd w:id="107"/>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r>
        <w:rPr>
          <w:rFonts w:hint="eastAsia" w:asciiTheme="minorEastAsia" w:hAnsiTheme="minorEastAsia" w:cstheme="minorEastAsia"/>
          <w:sz w:val="28"/>
          <w:szCs w:val="28"/>
          <w:u w:val="single"/>
        </w:rPr>
        <w:t xml:space="preserve">                                  </w:t>
      </w:r>
    </w:p>
    <w:tbl>
      <w:tblPr>
        <w:tblStyle w:val="28"/>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238"/>
        <w:gridCol w:w="310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70" w:type="dxa"/>
            <w:vAlign w:val="center"/>
          </w:tcPr>
          <w:p>
            <w:pPr>
              <w:pStyle w:val="14"/>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2238" w:type="dxa"/>
            <w:vAlign w:val="center"/>
          </w:tcPr>
          <w:p>
            <w:pPr>
              <w:pStyle w:val="14"/>
              <w:spacing w:line="480" w:lineRule="auto"/>
              <w:jc w:val="left"/>
              <w:rPr>
                <w:rFonts w:asciiTheme="minorEastAsia" w:hAnsiTheme="minorEastAsia" w:cstheme="minorEastAsia"/>
                <w:sz w:val="24"/>
                <w:szCs w:val="24"/>
              </w:rPr>
            </w:pPr>
            <w:r>
              <w:rPr>
                <w:rFonts w:hint="eastAsia" w:hAnsi="宋体" w:cs="宋体"/>
              </w:rPr>
              <w:t>商务要求内容</w:t>
            </w:r>
          </w:p>
        </w:tc>
        <w:tc>
          <w:tcPr>
            <w:tcW w:w="3100" w:type="dxa"/>
            <w:vAlign w:val="center"/>
          </w:tcPr>
          <w:p>
            <w:pPr>
              <w:pStyle w:val="14"/>
              <w:spacing w:line="480" w:lineRule="auto"/>
              <w:rPr>
                <w:rFonts w:asciiTheme="minorEastAsia" w:hAnsiTheme="minorEastAsia" w:cstheme="minorEastAsia"/>
                <w:sz w:val="24"/>
                <w:szCs w:val="24"/>
              </w:rPr>
            </w:pPr>
            <w:r>
              <w:rPr>
                <w:rFonts w:hint="eastAsia" w:hAnsi="宋体" w:cs="宋体"/>
              </w:rPr>
              <w:t>响应文件响应商务内容</w:t>
            </w:r>
          </w:p>
        </w:tc>
        <w:tc>
          <w:tcPr>
            <w:tcW w:w="2031" w:type="dxa"/>
            <w:vAlign w:val="center"/>
          </w:tcPr>
          <w:p>
            <w:pPr>
              <w:pStyle w:val="14"/>
              <w:spacing w:line="480" w:lineRule="auto"/>
              <w:jc w:val="center"/>
              <w:rPr>
                <w:rFonts w:asciiTheme="minorEastAsia" w:hAnsiTheme="minorEastAsia" w:cstheme="minorEastAsia"/>
                <w:sz w:val="24"/>
                <w:szCs w:val="24"/>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4"/>
              <w:spacing w:line="480" w:lineRule="auto"/>
              <w:ind w:firstLine="480" w:firstLineChars="200"/>
              <w:jc w:val="left"/>
              <w:rPr>
                <w:rFonts w:asciiTheme="minorEastAsia" w:hAnsiTheme="minorEastAsia" w:cstheme="minorEastAsia"/>
                <w:sz w:val="24"/>
                <w:szCs w:val="24"/>
              </w:rPr>
            </w:pPr>
          </w:p>
        </w:tc>
        <w:tc>
          <w:tcPr>
            <w:tcW w:w="2238" w:type="dxa"/>
            <w:vAlign w:val="center"/>
          </w:tcPr>
          <w:p>
            <w:pPr>
              <w:pStyle w:val="14"/>
              <w:spacing w:line="480" w:lineRule="auto"/>
              <w:ind w:firstLine="480" w:firstLineChars="200"/>
              <w:jc w:val="left"/>
              <w:rPr>
                <w:rFonts w:asciiTheme="minorEastAsia" w:hAnsiTheme="minorEastAsia" w:cstheme="minorEastAsia"/>
                <w:sz w:val="24"/>
                <w:szCs w:val="24"/>
              </w:rPr>
            </w:pPr>
          </w:p>
        </w:tc>
        <w:tc>
          <w:tcPr>
            <w:tcW w:w="3100" w:type="dxa"/>
            <w:vAlign w:val="center"/>
          </w:tcPr>
          <w:p>
            <w:pPr>
              <w:pStyle w:val="14"/>
              <w:spacing w:line="480" w:lineRule="auto"/>
              <w:ind w:firstLine="480" w:firstLineChars="200"/>
              <w:jc w:val="left"/>
              <w:rPr>
                <w:rFonts w:asciiTheme="minorEastAsia" w:hAnsiTheme="minorEastAsia" w:cstheme="minorEastAsia"/>
                <w:sz w:val="24"/>
                <w:szCs w:val="24"/>
              </w:rPr>
            </w:pPr>
          </w:p>
        </w:tc>
        <w:tc>
          <w:tcPr>
            <w:tcW w:w="2031" w:type="dxa"/>
            <w:vAlign w:val="center"/>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4"/>
              <w:spacing w:line="480" w:lineRule="auto"/>
              <w:ind w:firstLine="480" w:firstLineChars="200"/>
              <w:jc w:val="left"/>
              <w:rPr>
                <w:rFonts w:asciiTheme="minorEastAsia" w:hAnsiTheme="minorEastAsia" w:cstheme="minorEastAsia"/>
                <w:sz w:val="24"/>
                <w:szCs w:val="24"/>
              </w:rPr>
            </w:pPr>
          </w:p>
        </w:tc>
        <w:tc>
          <w:tcPr>
            <w:tcW w:w="2238" w:type="dxa"/>
          </w:tcPr>
          <w:p>
            <w:pPr>
              <w:pStyle w:val="14"/>
              <w:spacing w:line="480" w:lineRule="auto"/>
              <w:ind w:firstLine="480" w:firstLineChars="200"/>
              <w:jc w:val="left"/>
              <w:rPr>
                <w:rFonts w:asciiTheme="minorEastAsia" w:hAnsiTheme="minorEastAsia" w:cstheme="minorEastAsia"/>
                <w:sz w:val="24"/>
                <w:szCs w:val="24"/>
              </w:rPr>
            </w:pPr>
          </w:p>
        </w:tc>
        <w:tc>
          <w:tcPr>
            <w:tcW w:w="3100" w:type="dxa"/>
          </w:tcPr>
          <w:p>
            <w:pPr>
              <w:pStyle w:val="14"/>
              <w:spacing w:line="480" w:lineRule="auto"/>
              <w:ind w:firstLine="480" w:firstLineChars="200"/>
              <w:jc w:val="left"/>
              <w:rPr>
                <w:rFonts w:asciiTheme="minorEastAsia" w:hAnsiTheme="minorEastAsia" w:cstheme="minorEastAsia"/>
                <w:sz w:val="24"/>
                <w:szCs w:val="24"/>
              </w:rPr>
            </w:pPr>
          </w:p>
        </w:tc>
        <w:tc>
          <w:tcPr>
            <w:tcW w:w="2031"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4"/>
              <w:spacing w:line="480" w:lineRule="auto"/>
              <w:ind w:firstLine="480" w:firstLineChars="200"/>
              <w:jc w:val="left"/>
              <w:rPr>
                <w:rFonts w:asciiTheme="minorEastAsia" w:hAnsiTheme="minorEastAsia" w:cstheme="minorEastAsia"/>
                <w:sz w:val="24"/>
                <w:szCs w:val="24"/>
              </w:rPr>
            </w:pPr>
          </w:p>
        </w:tc>
        <w:tc>
          <w:tcPr>
            <w:tcW w:w="2238" w:type="dxa"/>
          </w:tcPr>
          <w:p>
            <w:pPr>
              <w:pStyle w:val="14"/>
              <w:spacing w:line="480" w:lineRule="auto"/>
              <w:ind w:firstLine="480" w:firstLineChars="200"/>
              <w:jc w:val="left"/>
              <w:rPr>
                <w:rFonts w:asciiTheme="minorEastAsia" w:hAnsiTheme="minorEastAsia" w:cstheme="minorEastAsia"/>
                <w:sz w:val="24"/>
                <w:szCs w:val="24"/>
              </w:rPr>
            </w:pPr>
          </w:p>
        </w:tc>
        <w:tc>
          <w:tcPr>
            <w:tcW w:w="3100" w:type="dxa"/>
          </w:tcPr>
          <w:p>
            <w:pPr>
              <w:pStyle w:val="14"/>
              <w:spacing w:line="480" w:lineRule="auto"/>
              <w:ind w:firstLine="480" w:firstLineChars="200"/>
              <w:jc w:val="left"/>
              <w:rPr>
                <w:rFonts w:asciiTheme="minorEastAsia" w:hAnsiTheme="minorEastAsia" w:cstheme="minorEastAsia"/>
                <w:sz w:val="24"/>
                <w:szCs w:val="24"/>
              </w:rPr>
            </w:pPr>
          </w:p>
        </w:tc>
        <w:tc>
          <w:tcPr>
            <w:tcW w:w="2031"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4"/>
              <w:spacing w:line="480" w:lineRule="auto"/>
              <w:ind w:firstLine="480" w:firstLineChars="200"/>
              <w:jc w:val="left"/>
              <w:rPr>
                <w:rFonts w:asciiTheme="minorEastAsia" w:hAnsiTheme="minorEastAsia" w:cstheme="minorEastAsia"/>
                <w:sz w:val="24"/>
                <w:szCs w:val="24"/>
              </w:rPr>
            </w:pPr>
          </w:p>
        </w:tc>
        <w:tc>
          <w:tcPr>
            <w:tcW w:w="2238" w:type="dxa"/>
          </w:tcPr>
          <w:p>
            <w:pPr>
              <w:pStyle w:val="14"/>
              <w:spacing w:line="480" w:lineRule="auto"/>
              <w:ind w:firstLine="480" w:firstLineChars="200"/>
              <w:jc w:val="left"/>
              <w:rPr>
                <w:rFonts w:asciiTheme="minorEastAsia" w:hAnsiTheme="minorEastAsia" w:cstheme="minorEastAsia"/>
                <w:sz w:val="24"/>
                <w:szCs w:val="24"/>
              </w:rPr>
            </w:pPr>
          </w:p>
        </w:tc>
        <w:tc>
          <w:tcPr>
            <w:tcW w:w="3100" w:type="dxa"/>
          </w:tcPr>
          <w:p>
            <w:pPr>
              <w:pStyle w:val="14"/>
              <w:spacing w:line="480" w:lineRule="auto"/>
              <w:ind w:firstLine="480" w:firstLineChars="200"/>
              <w:jc w:val="left"/>
              <w:rPr>
                <w:rFonts w:asciiTheme="minorEastAsia" w:hAnsiTheme="minorEastAsia" w:cstheme="minorEastAsia"/>
                <w:sz w:val="24"/>
                <w:szCs w:val="24"/>
              </w:rPr>
            </w:pPr>
          </w:p>
        </w:tc>
        <w:tc>
          <w:tcPr>
            <w:tcW w:w="2031"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4"/>
              <w:spacing w:line="480" w:lineRule="auto"/>
              <w:ind w:firstLine="480" w:firstLineChars="200"/>
              <w:jc w:val="left"/>
              <w:rPr>
                <w:rFonts w:asciiTheme="minorEastAsia" w:hAnsiTheme="minorEastAsia" w:cstheme="minorEastAsia"/>
                <w:sz w:val="24"/>
                <w:szCs w:val="24"/>
              </w:rPr>
            </w:pPr>
          </w:p>
        </w:tc>
        <w:tc>
          <w:tcPr>
            <w:tcW w:w="2238" w:type="dxa"/>
          </w:tcPr>
          <w:p>
            <w:pPr>
              <w:pStyle w:val="14"/>
              <w:spacing w:line="480" w:lineRule="auto"/>
              <w:ind w:firstLine="480" w:firstLineChars="200"/>
              <w:jc w:val="left"/>
              <w:rPr>
                <w:rFonts w:asciiTheme="minorEastAsia" w:hAnsiTheme="minorEastAsia" w:cstheme="minorEastAsia"/>
                <w:sz w:val="24"/>
                <w:szCs w:val="24"/>
              </w:rPr>
            </w:pPr>
          </w:p>
        </w:tc>
        <w:tc>
          <w:tcPr>
            <w:tcW w:w="3100" w:type="dxa"/>
          </w:tcPr>
          <w:p>
            <w:pPr>
              <w:pStyle w:val="14"/>
              <w:spacing w:line="480" w:lineRule="auto"/>
              <w:ind w:firstLine="480" w:firstLineChars="200"/>
              <w:jc w:val="left"/>
              <w:rPr>
                <w:rFonts w:asciiTheme="minorEastAsia" w:hAnsiTheme="minorEastAsia" w:cstheme="minorEastAsia"/>
                <w:sz w:val="24"/>
                <w:szCs w:val="24"/>
              </w:rPr>
            </w:pPr>
          </w:p>
        </w:tc>
        <w:tc>
          <w:tcPr>
            <w:tcW w:w="2031"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4"/>
              <w:spacing w:line="480" w:lineRule="auto"/>
              <w:ind w:firstLine="480" w:firstLineChars="200"/>
              <w:jc w:val="left"/>
              <w:rPr>
                <w:rFonts w:asciiTheme="minorEastAsia" w:hAnsiTheme="minorEastAsia" w:cstheme="minorEastAsia"/>
                <w:sz w:val="24"/>
                <w:szCs w:val="24"/>
              </w:rPr>
            </w:pPr>
          </w:p>
        </w:tc>
        <w:tc>
          <w:tcPr>
            <w:tcW w:w="2238" w:type="dxa"/>
          </w:tcPr>
          <w:p>
            <w:pPr>
              <w:pStyle w:val="14"/>
              <w:spacing w:line="480" w:lineRule="auto"/>
              <w:ind w:firstLine="480" w:firstLineChars="200"/>
              <w:jc w:val="left"/>
              <w:rPr>
                <w:rFonts w:asciiTheme="minorEastAsia" w:hAnsiTheme="minorEastAsia" w:cstheme="minorEastAsia"/>
                <w:sz w:val="24"/>
                <w:szCs w:val="24"/>
              </w:rPr>
            </w:pPr>
          </w:p>
        </w:tc>
        <w:tc>
          <w:tcPr>
            <w:tcW w:w="3100" w:type="dxa"/>
          </w:tcPr>
          <w:p>
            <w:pPr>
              <w:pStyle w:val="14"/>
              <w:spacing w:line="480" w:lineRule="auto"/>
              <w:ind w:firstLine="480" w:firstLineChars="200"/>
              <w:jc w:val="left"/>
              <w:rPr>
                <w:rFonts w:asciiTheme="minorEastAsia" w:hAnsiTheme="minorEastAsia" w:cstheme="minorEastAsia"/>
                <w:sz w:val="24"/>
                <w:szCs w:val="24"/>
              </w:rPr>
            </w:pPr>
          </w:p>
        </w:tc>
        <w:tc>
          <w:tcPr>
            <w:tcW w:w="2031"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70" w:type="dxa"/>
          </w:tcPr>
          <w:p>
            <w:pPr>
              <w:pStyle w:val="14"/>
              <w:spacing w:line="480" w:lineRule="auto"/>
              <w:ind w:firstLine="480" w:firstLineChars="200"/>
              <w:jc w:val="left"/>
              <w:rPr>
                <w:rFonts w:asciiTheme="minorEastAsia" w:hAnsiTheme="minorEastAsia" w:cstheme="minorEastAsia"/>
                <w:sz w:val="24"/>
                <w:szCs w:val="24"/>
              </w:rPr>
            </w:pPr>
          </w:p>
        </w:tc>
        <w:tc>
          <w:tcPr>
            <w:tcW w:w="2238" w:type="dxa"/>
          </w:tcPr>
          <w:p>
            <w:pPr>
              <w:pStyle w:val="14"/>
              <w:spacing w:line="480" w:lineRule="auto"/>
              <w:ind w:firstLine="480" w:firstLineChars="200"/>
              <w:jc w:val="left"/>
              <w:rPr>
                <w:rFonts w:asciiTheme="minorEastAsia" w:hAnsiTheme="minorEastAsia" w:cstheme="minorEastAsia"/>
                <w:sz w:val="24"/>
                <w:szCs w:val="24"/>
              </w:rPr>
            </w:pPr>
          </w:p>
        </w:tc>
        <w:tc>
          <w:tcPr>
            <w:tcW w:w="3100" w:type="dxa"/>
          </w:tcPr>
          <w:p>
            <w:pPr>
              <w:pStyle w:val="14"/>
              <w:spacing w:line="480" w:lineRule="auto"/>
              <w:ind w:firstLine="480" w:firstLineChars="200"/>
              <w:jc w:val="left"/>
              <w:rPr>
                <w:rFonts w:asciiTheme="minorEastAsia" w:hAnsiTheme="minorEastAsia" w:cstheme="minorEastAsia"/>
                <w:sz w:val="24"/>
                <w:szCs w:val="24"/>
              </w:rPr>
            </w:pPr>
          </w:p>
        </w:tc>
        <w:tc>
          <w:tcPr>
            <w:tcW w:w="2031" w:type="dxa"/>
          </w:tcPr>
          <w:p>
            <w:pPr>
              <w:pStyle w:val="14"/>
              <w:spacing w:line="480" w:lineRule="auto"/>
              <w:ind w:firstLine="480" w:firstLineChars="200"/>
              <w:jc w:val="left"/>
              <w:rPr>
                <w:rFonts w:asciiTheme="minorEastAsia" w:hAnsiTheme="minorEastAsia" w:cstheme="minorEastAsia"/>
                <w:sz w:val="24"/>
                <w:szCs w:val="24"/>
              </w:rPr>
            </w:pPr>
          </w:p>
        </w:tc>
      </w:tr>
    </w:tbl>
    <w:p>
      <w:pPr>
        <w:pStyle w:val="7"/>
        <w:ind w:firstLine="0"/>
        <w:rPr>
          <w:rFonts w:ascii="宋体" w:hAnsi="宋体"/>
          <w:b/>
          <w:bCs/>
          <w:sz w:val="28"/>
          <w:szCs w:val="28"/>
        </w:rPr>
      </w:pPr>
      <w:r>
        <w:rPr>
          <w:rFonts w:hint="eastAsia" w:ascii="宋体" w:hAnsi="宋体"/>
          <w:b/>
          <w:bCs/>
          <w:sz w:val="28"/>
          <w:szCs w:val="28"/>
        </w:rPr>
        <w:t>填写说明：供应商对本项目付款、交货期、</w:t>
      </w:r>
      <w:r>
        <w:rPr>
          <w:rFonts w:hint="eastAsia" w:ascii="宋体" w:hAnsi="宋体"/>
          <w:b/>
          <w:bCs/>
          <w:sz w:val="28"/>
          <w:szCs w:val="28"/>
          <w:lang w:eastAsia="zh-CN"/>
        </w:rPr>
        <w:t>质保期</w:t>
      </w:r>
      <w:r>
        <w:rPr>
          <w:rFonts w:hint="eastAsia" w:ascii="宋体" w:hAnsi="宋体"/>
          <w:b/>
          <w:bCs/>
          <w:sz w:val="28"/>
          <w:szCs w:val="28"/>
        </w:rPr>
        <w:t>、履约验收等商务方面进行响应说明，并保证响应的真实性。</w:t>
      </w:r>
    </w:p>
    <w:p>
      <w:pPr>
        <w:pStyle w:val="7"/>
        <w:ind w:firstLine="0"/>
        <w:rPr>
          <w:rFonts w:ascii="宋体" w:hAnsi="宋体"/>
          <w:b/>
          <w:bCs/>
          <w:sz w:val="28"/>
          <w:szCs w:val="28"/>
        </w:rPr>
      </w:pPr>
      <w:r>
        <w:rPr>
          <w:rFonts w:hint="eastAsia" w:ascii="宋体" w:hAnsi="宋体"/>
          <w:b/>
          <w:bCs/>
          <w:sz w:val="28"/>
          <w:szCs w:val="28"/>
        </w:rPr>
        <w:t>偏差说明填写：正偏离（标明正偏离内容）、符合。</w:t>
      </w:r>
    </w:p>
    <w:p>
      <w:pPr>
        <w:pStyle w:val="7"/>
        <w:ind w:firstLine="0"/>
        <w:rPr>
          <w:rFonts w:ascii="宋体" w:hAnsi="宋体"/>
          <w:sz w:val="28"/>
          <w:szCs w:val="28"/>
        </w:rPr>
      </w:pPr>
      <w:r>
        <w:rPr>
          <w:rFonts w:hint="eastAsia" w:ascii="宋体" w:hAnsi="宋体"/>
          <w:b/>
          <w:bCs/>
          <w:sz w:val="28"/>
          <w:szCs w:val="28"/>
        </w:rPr>
        <w:t>商务条款不允许负偏离；</w:t>
      </w:r>
    </w:p>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日    期：   年   月  日</w:t>
      </w:r>
    </w:p>
    <w:p>
      <w:pPr>
        <w:pStyle w:val="26"/>
        <w:ind w:firstLine="280"/>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u w:val="single"/>
        </w:rPr>
        <w:t xml:space="preserve">                                          </w:t>
      </w:r>
    </w:p>
    <w:tbl>
      <w:tblPr>
        <w:tblStyle w:val="28"/>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626"/>
        <w:gridCol w:w="2796"/>
        <w:gridCol w:w="1506"/>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626"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招标文件技术要求</w:t>
            </w:r>
          </w:p>
        </w:tc>
        <w:tc>
          <w:tcPr>
            <w:tcW w:w="2796"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投标文件响应内容</w:t>
            </w:r>
          </w:p>
        </w:tc>
        <w:tc>
          <w:tcPr>
            <w:tcW w:w="1506"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626" w:type="dxa"/>
            <w:vAlign w:val="center"/>
          </w:tcPr>
          <w:p>
            <w:pPr>
              <w:pStyle w:val="14"/>
              <w:spacing w:line="480" w:lineRule="auto"/>
              <w:ind w:firstLine="480" w:firstLineChars="200"/>
              <w:jc w:val="left"/>
              <w:rPr>
                <w:rFonts w:asciiTheme="minorEastAsia" w:hAnsiTheme="minorEastAsia" w:cstheme="minorEastAsia"/>
                <w:sz w:val="24"/>
                <w:szCs w:val="24"/>
              </w:rPr>
            </w:pPr>
          </w:p>
        </w:tc>
        <w:tc>
          <w:tcPr>
            <w:tcW w:w="2796" w:type="dxa"/>
            <w:vAlign w:val="center"/>
          </w:tcPr>
          <w:p>
            <w:pPr>
              <w:pStyle w:val="14"/>
              <w:spacing w:line="480" w:lineRule="auto"/>
              <w:ind w:firstLine="480" w:firstLineChars="200"/>
              <w:jc w:val="left"/>
              <w:rPr>
                <w:rFonts w:asciiTheme="minorEastAsia" w:hAnsiTheme="minorEastAsia" w:cstheme="minorEastAsia"/>
                <w:sz w:val="24"/>
                <w:szCs w:val="24"/>
              </w:rPr>
            </w:pPr>
          </w:p>
        </w:tc>
        <w:tc>
          <w:tcPr>
            <w:tcW w:w="1506" w:type="dxa"/>
            <w:vAlign w:val="center"/>
          </w:tcPr>
          <w:p>
            <w:pPr>
              <w:pStyle w:val="14"/>
              <w:spacing w:line="480" w:lineRule="auto"/>
              <w:ind w:firstLine="480" w:firstLineChars="200"/>
              <w:jc w:val="left"/>
              <w:rPr>
                <w:rFonts w:asciiTheme="minorEastAsia" w:hAnsiTheme="minorEastAsia" w:cstheme="minorEastAsia"/>
                <w:sz w:val="24"/>
                <w:szCs w:val="24"/>
              </w:rPr>
            </w:pPr>
          </w:p>
        </w:tc>
        <w:tc>
          <w:tcPr>
            <w:tcW w:w="1614" w:type="dxa"/>
            <w:vAlign w:val="center"/>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626" w:type="dxa"/>
          </w:tcPr>
          <w:p>
            <w:pPr>
              <w:pStyle w:val="14"/>
              <w:spacing w:line="480" w:lineRule="auto"/>
              <w:ind w:firstLine="480" w:firstLineChars="200"/>
              <w:jc w:val="left"/>
              <w:rPr>
                <w:rFonts w:asciiTheme="minorEastAsia" w:hAnsiTheme="minorEastAsia" w:cstheme="minorEastAsia"/>
                <w:sz w:val="24"/>
                <w:szCs w:val="24"/>
              </w:rPr>
            </w:pPr>
          </w:p>
        </w:tc>
        <w:tc>
          <w:tcPr>
            <w:tcW w:w="2796"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626" w:type="dxa"/>
          </w:tcPr>
          <w:p>
            <w:pPr>
              <w:pStyle w:val="14"/>
              <w:spacing w:line="480" w:lineRule="auto"/>
              <w:ind w:firstLine="480" w:firstLineChars="200"/>
              <w:jc w:val="left"/>
              <w:rPr>
                <w:rFonts w:asciiTheme="minorEastAsia" w:hAnsiTheme="minorEastAsia" w:cstheme="minorEastAsia"/>
                <w:sz w:val="24"/>
                <w:szCs w:val="24"/>
              </w:rPr>
            </w:pPr>
          </w:p>
        </w:tc>
        <w:tc>
          <w:tcPr>
            <w:tcW w:w="2796"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626" w:type="dxa"/>
          </w:tcPr>
          <w:p>
            <w:pPr>
              <w:pStyle w:val="14"/>
              <w:spacing w:line="480" w:lineRule="auto"/>
              <w:ind w:firstLine="480" w:firstLineChars="200"/>
              <w:jc w:val="left"/>
              <w:rPr>
                <w:rFonts w:asciiTheme="minorEastAsia" w:hAnsiTheme="minorEastAsia" w:cstheme="minorEastAsia"/>
                <w:sz w:val="24"/>
                <w:szCs w:val="24"/>
              </w:rPr>
            </w:pPr>
          </w:p>
        </w:tc>
        <w:tc>
          <w:tcPr>
            <w:tcW w:w="2796"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626" w:type="dxa"/>
          </w:tcPr>
          <w:p>
            <w:pPr>
              <w:pStyle w:val="14"/>
              <w:spacing w:line="480" w:lineRule="auto"/>
              <w:ind w:firstLine="480" w:firstLineChars="200"/>
              <w:jc w:val="left"/>
              <w:rPr>
                <w:rFonts w:asciiTheme="minorEastAsia" w:hAnsiTheme="minorEastAsia" w:cstheme="minorEastAsia"/>
                <w:sz w:val="24"/>
                <w:szCs w:val="24"/>
              </w:rPr>
            </w:pPr>
          </w:p>
        </w:tc>
        <w:tc>
          <w:tcPr>
            <w:tcW w:w="2796"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626" w:type="dxa"/>
          </w:tcPr>
          <w:p>
            <w:pPr>
              <w:pStyle w:val="14"/>
              <w:spacing w:line="480" w:lineRule="auto"/>
              <w:ind w:firstLine="480" w:firstLineChars="200"/>
              <w:jc w:val="left"/>
              <w:rPr>
                <w:rFonts w:asciiTheme="minorEastAsia" w:hAnsiTheme="minorEastAsia" w:cstheme="minorEastAsia"/>
                <w:sz w:val="24"/>
                <w:szCs w:val="24"/>
              </w:rPr>
            </w:pPr>
          </w:p>
        </w:tc>
        <w:tc>
          <w:tcPr>
            <w:tcW w:w="2796"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626" w:type="dxa"/>
          </w:tcPr>
          <w:p>
            <w:pPr>
              <w:pStyle w:val="14"/>
              <w:spacing w:line="480" w:lineRule="auto"/>
              <w:ind w:firstLine="480" w:firstLineChars="200"/>
              <w:jc w:val="left"/>
              <w:rPr>
                <w:rFonts w:asciiTheme="minorEastAsia" w:hAnsiTheme="minorEastAsia" w:cstheme="minorEastAsia"/>
                <w:sz w:val="24"/>
                <w:szCs w:val="24"/>
              </w:rPr>
            </w:pPr>
          </w:p>
        </w:tc>
        <w:tc>
          <w:tcPr>
            <w:tcW w:w="2796"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626" w:type="dxa"/>
          </w:tcPr>
          <w:p>
            <w:pPr>
              <w:pStyle w:val="14"/>
              <w:spacing w:line="480" w:lineRule="auto"/>
              <w:ind w:firstLine="480" w:firstLineChars="200"/>
              <w:jc w:val="left"/>
              <w:rPr>
                <w:rFonts w:asciiTheme="minorEastAsia" w:hAnsiTheme="minorEastAsia" w:cstheme="minorEastAsia"/>
                <w:sz w:val="24"/>
                <w:szCs w:val="24"/>
              </w:rPr>
            </w:pPr>
          </w:p>
        </w:tc>
        <w:tc>
          <w:tcPr>
            <w:tcW w:w="2796"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bl>
    <w:p>
      <w:pPr>
        <w:pStyle w:val="14"/>
        <w:ind w:firstLine="562" w:firstLineChars="200"/>
        <w:jc w:val="left"/>
        <w:rPr>
          <w:rFonts w:asciiTheme="minorEastAsia" w:hAnsiTheme="minorEastAsia" w:cstheme="minorEastAsia"/>
          <w:sz w:val="28"/>
          <w:szCs w:val="28"/>
        </w:rPr>
      </w:pPr>
      <w:r>
        <w:rPr>
          <w:rFonts w:hint="eastAsia" w:asciiTheme="minorEastAsia" w:hAnsiTheme="minorEastAsia" w:cstheme="minorEastAsia"/>
          <w:b/>
          <w:sz w:val="28"/>
          <w:szCs w:val="28"/>
        </w:rPr>
        <w:t>填写说明：</w:t>
      </w:r>
      <w:r>
        <w:rPr>
          <w:rFonts w:hint="eastAsia" w:asciiTheme="minorEastAsia" w:hAnsiTheme="minorEastAsia" w:cstheme="minorEastAsia"/>
          <w:sz w:val="28"/>
          <w:szCs w:val="28"/>
        </w:rPr>
        <w:t>请按招标文件技术要求的内容，逐条对应投标文件的“采购要求”中的技术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rPr>
          <w:rFonts w:asciiTheme="minorEastAsia" w:hAnsiTheme="minorEastAsia" w:cstheme="minorEastAsia"/>
          <w:sz w:val="28"/>
          <w:szCs w:val="28"/>
        </w:rPr>
        <w:sectPr>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bookmarkEnd w:id="103"/>
    <w:p>
      <w:pPr>
        <w:pStyle w:val="4"/>
        <w:spacing w:beforeLines="100" w:afterLines="150" w:line="500" w:lineRule="exact"/>
        <w:rPr>
          <w:rFonts w:asciiTheme="minorEastAsia" w:hAnsiTheme="minorEastAsia" w:eastAsiaTheme="minorEastAsia" w:cstheme="minorEastAsia"/>
          <w:sz w:val="36"/>
          <w:szCs w:val="36"/>
        </w:rPr>
      </w:pPr>
      <w:bookmarkStart w:id="108" w:name="_Toc5319"/>
      <w:r>
        <w:rPr>
          <w:rFonts w:hint="eastAsia" w:asciiTheme="minorEastAsia" w:hAnsiTheme="minorEastAsia" w:eastAsiaTheme="minorEastAsia" w:cstheme="minorEastAsia"/>
          <w:sz w:val="36"/>
          <w:szCs w:val="36"/>
        </w:rPr>
        <w:t xml:space="preserve">第六章  </w:t>
      </w:r>
      <w:bookmarkEnd w:id="104"/>
      <w:r>
        <w:rPr>
          <w:rFonts w:hint="eastAsia" w:asciiTheme="minorEastAsia" w:hAnsiTheme="minorEastAsia" w:eastAsiaTheme="minorEastAsia" w:cstheme="minorEastAsia"/>
          <w:sz w:val="36"/>
          <w:szCs w:val="36"/>
        </w:rPr>
        <w:t>技术支持资料</w:t>
      </w:r>
      <w:bookmarkEnd w:id="108"/>
    </w:p>
    <w:p>
      <w:pPr>
        <w:spacing w:line="480" w:lineRule="auto"/>
        <w:rPr>
          <w:b/>
          <w:bCs/>
          <w:color w:val="FF0000"/>
          <w:sz w:val="36"/>
          <w:szCs w:val="36"/>
        </w:rPr>
      </w:pPr>
      <w:r>
        <w:rPr>
          <w:rFonts w:hint="eastAsia"/>
          <w:b/>
          <w:bCs/>
          <w:color w:val="FF0000"/>
          <w:sz w:val="36"/>
          <w:szCs w:val="36"/>
        </w:rPr>
        <w:t>投标人可根据评审办法自行编写，格式不限：</w:t>
      </w:r>
    </w:p>
    <w:p/>
    <w:p>
      <w:r>
        <w:rPr>
          <w:rFonts w:hint="eastAsia"/>
        </w:rPr>
        <w:br w:type="page"/>
      </w:r>
    </w:p>
    <w:p>
      <w:pPr>
        <w:pStyle w:val="4"/>
      </w:pPr>
      <w:bookmarkStart w:id="109" w:name="_Toc29853"/>
      <w:bookmarkStart w:id="110" w:name="_Toc11540"/>
      <w:bookmarkStart w:id="111" w:name="_Toc30984"/>
      <w:r>
        <w:rPr>
          <w:rFonts w:hint="eastAsia"/>
        </w:rPr>
        <w:t>第七章  投标人业绩一览表</w:t>
      </w:r>
      <w:bookmarkEnd w:id="109"/>
      <w:bookmarkEnd w:id="110"/>
      <w:bookmarkEnd w:id="111"/>
    </w:p>
    <w:p>
      <w:pPr>
        <w:rPr>
          <w:rFonts w:asciiTheme="minorEastAsia" w:hAnsiTheme="minorEastAsia" w:cstheme="minorEastAsia"/>
        </w:rPr>
      </w:pPr>
    </w:p>
    <w:tbl>
      <w:tblPr>
        <w:tblStyle w:val="28"/>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pPr>
              <w:spacing w:line="400" w:lineRule="exact"/>
              <w:ind w:firstLine="105"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szCs w:val="21"/>
              </w:rPr>
            </w:pPr>
          </w:p>
        </w:tc>
        <w:tc>
          <w:tcPr>
            <w:tcW w:w="1508" w:type="dxa"/>
            <w:vAlign w:val="center"/>
          </w:tcPr>
          <w:p>
            <w:pPr>
              <w:spacing w:line="400" w:lineRule="exact"/>
              <w:rPr>
                <w:rFonts w:asciiTheme="minorEastAsia" w:hAnsiTheme="minorEastAsia" w:cstheme="minorEastAsia"/>
                <w:bCs/>
                <w:szCs w:val="21"/>
              </w:rPr>
            </w:pPr>
          </w:p>
        </w:tc>
        <w:tc>
          <w:tcPr>
            <w:tcW w:w="1382" w:type="dxa"/>
            <w:vAlign w:val="center"/>
          </w:tcPr>
          <w:p>
            <w:pPr>
              <w:spacing w:line="400" w:lineRule="exact"/>
              <w:rPr>
                <w:rFonts w:asciiTheme="minorEastAsia" w:hAnsiTheme="minorEastAsia" w:cstheme="minorEastAsia"/>
                <w:bCs/>
                <w:szCs w:val="21"/>
              </w:rPr>
            </w:pPr>
          </w:p>
        </w:tc>
        <w:tc>
          <w:tcPr>
            <w:tcW w:w="1399" w:type="dxa"/>
            <w:vAlign w:val="center"/>
          </w:tcPr>
          <w:p>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w:t>
      </w:r>
      <w:r>
        <w:rPr>
          <w:rFonts w:hint="eastAsia" w:asciiTheme="minorEastAsia" w:hAnsiTheme="minorEastAsia" w:cstheme="minorEastAsia"/>
          <w:sz w:val="24"/>
          <w:szCs w:val="24"/>
          <w:lang w:val="en-US" w:eastAsia="zh-CN"/>
        </w:rPr>
        <w:t>不</w:t>
      </w:r>
      <w:r>
        <w:rPr>
          <w:rFonts w:hint="eastAsia" w:asciiTheme="minorEastAsia" w:hAnsiTheme="minorEastAsia" w:cstheme="minorEastAsia"/>
          <w:sz w:val="24"/>
          <w:szCs w:val="24"/>
        </w:rPr>
        <w:t>限于投标人自己实施的</w:t>
      </w:r>
      <w:r>
        <w:rPr>
          <w:rFonts w:hint="eastAsia" w:asciiTheme="minorEastAsia" w:hAnsiTheme="minorEastAsia" w:cstheme="minorEastAsia"/>
          <w:sz w:val="24"/>
          <w:szCs w:val="24"/>
          <w:lang w:val="en-US" w:eastAsia="zh-CN"/>
        </w:rPr>
        <w:t>2020年1月</w:t>
      </w:r>
      <w:r>
        <w:rPr>
          <w:rFonts w:hint="eastAsia" w:asciiTheme="minorEastAsia" w:hAnsiTheme="minorEastAsia" w:cstheme="minorEastAsia"/>
          <w:sz w:val="24"/>
          <w:szCs w:val="24"/>
        </w:rPr>
        <w:t>至今</w:t>
      </w:r>
      <w:r>
        <w:rPr>
          <w:rFonts w:hint="eastAsia" w:asciiTheme="minorEastAsia" w:hAnsiTheme="minorEastAsia" w:cstheme="minorEastAsia"/>
          <w:sz w:val="24"/>
          <w:szCs w:val="24"/>
          <w:lang w:val="en-US" w:eastAsia="zh-CN"/>
        </w:rPr>
        <w:t>所投核心产品</w:t>
      </w:r>
      <w:r>
        <w:rPr>
          <w:rFonts w:hint="eastAsia" w:asciiTheme="minorEastAsia" w:hAnsiTheme="minorEastAsia" w:cstheme="minorEastAsia"/>
          <w:sz w:val="24"/>
          <w:szCs w:val="24"/>
        </w:rPr>
        <w:t>供货业绩合同</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pPr>
        <w:spacing w:line="360" w:lineRule="auto"/>
        <w:ind w:left="360"/>
        <w:jc w:val="center"/>
        <w:rPr>
          <w:rFonts w:asciiTheme="minorEastAsia" w:hAnsiTheme="minorEastAsia" w:cstheme="minorEastAsia"/>
          <w:sz w:val="24"/>
          <w:szCs w:val="24"/>
        </w:rPr>
      </w:pP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投标人名称：</w:t>
      </w:r>
      <w:r>
        <w:rPr>
          <w:rFonts w:hint="eastAsia" w:asciiTheme="minorEastAsia" w:hAnsiTheme="minorEastAsia" w:cstheme="minorEastAsia"/>
          <w:bCs/>
          <w:sz w:val="24"/>
          <w:szCs w:val="24"/>
          <w:u w:val="single"/>
        </w:rPr>
        <w:t xml:space="preserve">              （全称及公章）</w:t>
      </w: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r>
        <w:rPr>
          <w:rFonts w:hint="eastAsia" w:asciiTheme="minorEastAsia" w:hAnsiTheme="minorEastAsia" w:cstheme="minorEastAsia"/>
          <w:bCs/>
          <w:sz w:val="24"/>
          <w:szCs w:val="24"/>
          <w:u w:val="single"/>
        </w:rPr>
        <w:t xml:space="preserve">               </w:t>
      </w:r>
    </w:p>
    <w:p>
      <w:pPr>
        <w:adjustRightInd w:val="0"/>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pStyle w:val="7"/>
        <w:ind w:firstLine="0"/>
        <w:rPr>
          <w:b/>
          <w:bCs/>
          <w:sz w:val="28"/>
          <w:szCs w:val="28"/>
        </w:rPr>
        <w:sectPr>
          <w:headerReference r:id="rId14" w:type="default"/>
          <w:pgSz w:w="11906" w:h="16838"/>
          <w:pgMar w:top="1440" w:right="1803" w:bottom="1440" w:left="1803" w:header="851" w:footer="992" w:gutter="0"/>
          <w:cols w:space="720" w:num="1"/>
          <w:docGrid w:type="lines" w:linePitch="319" w:charSpace="0"/>
        </w:sectPr>
      </w:pPr>
      <w:bookmarkStart w:id="112" w:name="_Toc25377"/>
      <w:bookmarkStart w:id="113" w:name="_Toc18894"/>
      <w:bookmarkStart w:id="114" w:name="_Toc29034"/>
    </w:p>
    <w:p>
      <w:pPr>
        <w:pStyle w:val="4"/>
      </w:pPr>
      <w:bookmarkStart w:id="115" w:name="_Toc18775"/>
      <w:r>
        <w:rPr>
          <w:rFonts w:hint="eastAsia"/>
        </w:rPr>
        <w:t>第八章  投标人认为有必要说明的其他问题</w:t>
      </w:r>
      <w:bookmarkEnd w:id="112"/>
      <w:bookmarkEnd w:id="113"/>
      <w:bookmarkEnd w:id="114"/>
      <w:bookmarkEnd w:id="115"/>
    </w:p>
    <w:p>
      <w:pPr>
        <w:pStyle w:val="7"/>
      </w:pPr>
    </w:p>
    <w:p>
      <w:pPr>
        <w:bidi w:val="0"/>
        <w:jc w:val="center"/>
        <w:rPr>
          <w:rFonts w:asciiTheme="minorEastAsia" w:hAnsiTheme="minorEastAsia" w:eastAsiaTheme="minorEastAsia" w:cstheme="minorEastAsia"/>
          <w:sz w:val="36"/>
          <w:szCs w:val="36"/>
        </w:rPr>
      </w:pPr>
      <w:bookmarkStart w:id="116" w:name="_Toc15182"/>
      <w:r>
        <w:rPr>
          <w:rFonts w:hint="eastAsia"/>
          <w:sz w:val="28"/>
          <w:szCs w:val="28"/>
          <w:lang w:val="en-US" w:eastAsia="zh-CN"/>
        </w:rPr>
        <w:t>投标人</w:t>
      </w:r>
      <w:r>
        <w:rPr>
          <w:rFonts w:hint="eastAsia"/>
          <w:sz w:val="28"/>
          <w:szCs w:val="28"/>
        </w:rPr>
        <w:t>可在此处附附件二至附件五的证明材料，如没有提供，视为无。</w:t>
      </w:r>
      <w:r>
        <w:rPr>
          <w:rFonts w:hint="eastAsia"/>
          <w:sz w:val="28"/>
          <w:szCs w:val="28"/>
        </w:rPr>
        <w:br w:type="page"/>
      </w:r>
      <w:bookmarkStart w:id="117" w:name="_Toc21392"/>
      <w:r>
        <w:rPr>
          <w:rFonts w:hint="eastAsia" w:asciiTheme="minorEastAsia" w:hAnsiTheme="minorEastAsia" w:eastAsiaTheme="minorEastAsia" w:cstheme="minorEastAsia"/>
          <w:sz w:val="36"/>
          <w:szCs w:val="36"/>
        </w:rPr>
        <w:t>第九章  投标人承诺书</w:t>
      </w:r>
      <w:bookmarkEnd w:id="116"/>
      <w:bookmarkEnd w:id="117"/>
    </w:p>
    <w:p>
      <w:pPr>
        <w:pStyle w:val="14"/>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陕西省政府采购供货商拒绝政府采购领域商业贿赂承诺书Ⅰ</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为响应党中央、国务院关于治理政府采购领域商业贿赂行为的号召，我公司在此庄严承诺：</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1、在参与政府采购活动中遵纪守法、诚信经营、公平竞标。</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2、不向政府采购人、代理机构和政府采购评审专家进行任何形式的商业贿赂以谋取交易机会。</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3、不向政府代理机构和采购人提供虚假资质文件或采用虚假应标方式参与政府采购市场竞争并谋取成交、成交。</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4、不采取“围标、陪标”等商业欺诈手段获得政府采购订单。</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5、不采取不正当手段诋毁、排挤其它供货商。</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6、不在提供商品和服务时“偷梁换柱、以次充好”损害采购人的合法权益。</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7、不与采购人、代理机构政府采购评审专家或其它供货商恶意串通，进行质疑和投诉，维护政府采购市场秩序。</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8、尊重和接受政府采购监督管理部门的监督和政府代理机构招标采购要求，承担因违约行为给采购人造成的损失。</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9、不发生其它有悖于政府采购公开、公平、公正和诚信原则的行为。</w:t>
      </w:r>
    </w:p>
    <w:p>
      <w:pPr>
        <w:adjustRightInd w:val="0"/>
        <w:snapToGrid w:val="0"/>
        <w:spacing w:line="50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邮  编：</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地  址：</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电  话： </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时  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承诺书Ⅱ</w:t>
      </w:r>
    </w:p>
    <w:tbl>
      <w:tblPr>
        <w:tblStyle w:val="28"/>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作为参加贵公司组织的本项目的投标人，本公司承诺：在参加本项目投标之前不存在被依法禁止经营行为、财产被接管或冻结的情况，如有隐瞒实情，愿承担一切责任及后果。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90"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74"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74"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tLeast"/>
        <w:ind w:firstLine="843" w:firstLineChars="200"/>
        <w:jc w:val="left"/>
        <w:rPr>
          <w:rFonts w:asciiTheme="minorEastAsia" w:hAnsiTheme="minorEastAsia" w:cstheme="minorEastAsia"/>
          <w:b/>
          <w:sz w:val="42"/>
          <w:szCs w:val="42"/>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承诺书Ⅲ</w:t>
      </w:r>
    </w:p>
    <w:tbl>
      <w:tblPr>
        <w:tblStyle w:val="2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作为参加贵公司组织的本项目的投标人，本公司郑重申告并承诺：近三年受到有关行政主管部门的行政处理、不良行为记录为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8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87"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88"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87"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承诺书Ⅳ</w:t>
      </w:r>
    </w:p>
    <w:tbl>
      <w:tblPr>
        <w:tblStyle w:val="2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作为参加贵公司组织的本项目的投标人，本公司郑重申告：近三年因产品供货问题（水货、替代品、次品、翻新品等）的不法行为记录为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6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1"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1"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uto"/>
        <w:ind w:firstLine="480" w:firstLineChars="200"/>
        <w:jc w:val="left"/>
        <w:rPr>
          <w:rFonts w:asciiTheme="minorEastAsia" w:hAnsiTheme="minorEastAsia" w:cstheme="minorEastAsia"/>
          <w:sz w:val="24"/>
          <w:szCs w:val="28"/>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w:t>
      </w:r>
      <w:r>
        <w:rPr>
          <w:rFonts w:hint="eastAsia" w:asciiTheme="minorEastAsia" w:hAnsiTheme="minorEastAsia" w:cstheme="minorEastAsia"/>
          <w:b/>
          <w:sz w:val="28"/>
          <w:szCs w:val="28"/>
        </w:rPr>
        <w:fldChar w:fldCharType="begin"/>
      </w:r>
      <w:r>
        <w:rPr>
          <w:rFonts w:hint="eastAsia" w:asciiTheme="minorEastAsia" w:hAnsiTheme="minorEastAsia" w:cstheme="minorEastAsia"/>
          <w:b/>
          <w:sz w:val="28"/>
          <w:szCs w:val="28"/>
        </w:rPr>
        <w:instrText xml:space="preserve"> = 5 \* ROMAN </w:instrText>
      </w:r>
      <w:r>
        <w:rPr>
          <w:rFonts w:hint="eastAsia" w:asciiTheme="minorEastAsia" w:hAnsiTheme="minorEastAsia" w:cstheme="minorEastAsia"/>
          <w:b/>
          <w:sz w:val="28"/>
          <w:szCs w:val="28"/>
        </w:rPr>
        <w:fldChar w:fldCharType="separate"/>
      </w:r>
      <w:r>
        <w:rPr>
          <w:rFonts w:hint="eastAsia" w:asciiTheme="minorEastAsia" w:hAnsiTheme="minorEastAsia" w:cstheme="minorEastAsia"/>
          <w:b/>
          <w:sz w:val="28"/>
          <w:szCs w:val="28"/>
          <w:lang w:val="zh-CN"/>
        </w:rPr>
        <w:t>V</w:t>
      </w:r>
      <w:r>
        <w:rPr>
          <w:rFonts w:hint="eastAsia" w:asciiTheme="minorEastAsia" w:hAnsiTheme="minorEastAsia" w:cstheme="minorEastAsia"/>
          <w:b/>
          <w:sz w:val="28"/>
          <w:szCs w:val="28"/>
        </w:rPr>
        <w:fldChar w:fldCharType="end"/>
      </w:r>
    </w:p>
    <w:tbl>
      <w:tblPr>
        <w:tblStyle w:val="2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作为参加贵公司本项目的投标人，本公司承诺：参加本次投标提交的所有资质证明文件及业绩证明文件是真实的、有效的，如有隐瞒实情，愿承担一切责任及后果。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534"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41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41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adjustRightInd w:val="0"/>
        <w:snapToGrid w:val="0"/>
        <w:ind w:firstLine="720" w:firstLineChars="200"/>
        <w:jc w:val="left"/>
        <w:rPr>
          <w:rFonts w:asciiTheme="minorEastAsia" w:hAnsiTheme="minorEastAsia" w:cstheme="minorEastAsia"/>
          <w:bCs/>
          <w:sz w:val="36"/>
          <w:szCs w:val="36"/>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118" w:name="_Toc11130"/>
      <w:bookmarkStart w:id="119" w:name="_Toc23909"/>
      <w:r>
        <w:rPr>
          <w:rFonts w:hint="eastAsia" w:asciiTheme="minorEastAsia" w:hAnsiTheme="minorEastAsia" w:eastAsiaTheme="minorEastAsia" w:cstheme="minorEastAsia"/>
        </w:rPr>
        <w:t>附件一：封袋正面标识式样</w:t>
      </w:r>
      <w:bookmarkEnd w:id="118"/>
      <w:bookmarkEnd w:id="119"/>
    </w:p>
    <w:p>
      <w:pPr>
        <w:spacing w:line="460" w:lineRule="exact"/>
        <w:ind w:firstLine="562" w:firstLineChars="200"/>
        <w:jc w:val="center"/>
        <w:rPr>
          <w:rFonts w:asciiTheme="minorEastAsia" w:hAnsiTheme="minorEastAsia" w:cstheme="minorEastAsia"/>
          <w:b/>
          <w:sz w:val="24"/>
        </w:rPr>
      </w:pPr>
      <w:r>
        <w:rPr>
          <w:rFonts w:hint="eastAsia" w:asciiTheme="minorEastAsia" w:hAnsiTheme="minorEastAsia" w:cstheme="minorEastAsia"/>
          <w:b/>
          <w:sz w:val="28"/>
          <w:szCs w:val="28"/>
        </w:rPr>
        <w:t>投标文件正本封袋正面标识式样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193675</wp:posOffset>
                </wp:positionV>
                <wp:extent cx="6255385" cy="3514725"/>
                <wp:effectExtent l="4445" t="4445" r="19050" b="16510"/>
                <wp:wrapNone/>
                <wp:docPr id="2" name="Text Box 3"/>
                <wp:cNvGraphicFramePr/>
                <a:graphic xmlns:a="http://schemas.openxmlformats.org/drawingml/2006/main">
                  <a:graphicData uri="http://schemas.microsoft.com/office/word/2010/wordprocessingShape">
                    <wps:wsp>
                      <wps:cNvSpPr txBox="1"/>
                      <wps:spPr>
                        <a:xfrm>
                          <a:off x="0" y="0"/>
                          <a:ext cx="6255385" cy="3514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SXWZ2023ZB-DWYY-193</w:t>
                            </w:r>
                            <w:r>
                              <w:rPr>
                                <w:rFonts w:hint="eastAsia"/>
                                <w:sz w:val="28"/>
                                <w:szCs w:val="28"/>
                              </w:rPr>
                              <w:t>项目名称：</w:t>
                            </w:r>
                            <w:r>
                              <w:rPr>
                                <w:rFonts w:hint="eastAsia"/>
                                <w:sz w:val="28"/>
                                <w:szCs w:val="28"/>
                                <w:lang w:eastAsia="zh-CN"/>
                              </w:rPr>
                              <w:t>西安市第五医院下肢康复运动器等设备一批采购项目</w:t>
                            </w:r>
                          </w:p>
                          <w:p>
                            <w:pPr>
                              <w:jc w:val="center"/>
                              <w:rPr>
                                <w:b/>
                                <w:sz w:val="44"/>
                                <w:szCs w:val="44"/>
                              </w:rPr>
                            </w:pPr>
                            <w:r>
                              <w:rPr>
                                <w:rFonts w:hint="eastAsia"/>
                                <w:b/>
                                <w:bCs/>
                                <w:sz w:val="32"/>
                                <w:szCs w:val="32"/>
                              </w:rPr>
                              <w:t xml:space="preserve"> </w:t>
                            </w: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76.75pt;width:492.55pt;z-index:251663360;mso-width-relative:page;mso-height-relative:page;" fillcolor="#FFFFFF" filled="t" stroked="t" coordsize="21600,21600" o:gfxdata="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vxvP2gAAAAoBAAAPAAAAAAAAAAEAIAAAACIAAABkcnMv&#10;ZG93bnJldi54bWxQSwECFAAUAAAACACHTuJAv9LsmQECAABE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SXWZ2023ZB-DWYY-193</w:t>
                      </w:r>
                      <w:r>
                        <w:rPr>
                          <w:rFonts w:hint="eastAsia"/>
                          <w:sz w:val="28"/>
                          <w:szCs w:val="28"/>
                        </w:rPr>
                        <w:t>项目名称：</w:t>
                      </w:r>
                      <w:r>
                        <w:rPr>
                          <w:rFonts w:hint="eastAsia"/>
                          <w:sz w:val="28"/>
                          <w:szCs w:val="28"/>
                          <w:lang w:eastAsia="zh-CN"/>
                        </w:rPr>
                        <w:t>西安市第五医院下肢康复运动器等设备一批采购项目</w:t>
                      </w:r>
                    </w:p>
                    <w:p>
                      <w:pPr>
                        <w:jc w:val="center"/>
                        <w:rPr>
                          <w:b/>
                          <w:sz w:val="44"/>
                          <w:szCs w:val="44"/>
                        </w:rPr>
                      </w:pPr>
                      <w:r>
                        <w:rPr>
                          <w:rFonts w:hint="eastAsia"/>
                          <w:b/>
                          <w:bCs/>
                          <w:sz w:val="32"/>
                          <w:szCs w:val="32"/>
                        </w:rPr>
                        <w:t xml:space="preserve"> </w:t>
                      </w: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投标文件副本封袋正面标识式样</w: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tabs>
          <w:tab w:val="left" w:pos="8280"/>
        </w:tabs>
        <w:spacing w:line="460" w:lineRule="exact"/>
        <w:ind w:firstLine="482" w:firstLineChars="200"/>
        <w:jc w:val="left"/>
        <w:rPr>
          <w:rFonts w:asciiTheme="minorEastAsia" w:hAnsiTheme="minorEastAsia" w:cstheme="minorEastAsia"/>
          <w:b/>
          <w:sz w:val="24"/>
        </w:rPr>
      </w:pPr>
    </w:p>
    <w:p>
      <w:pPr>
        <w:ind w:firstLine="420" w:firstLineChars="200"/>
        <w:jc w:val="left"/>
        <w:rPr>
          <w:rFonts w:asciiTheme="minorEastAsia" w:hAnsiTheme="minorEastAsia" w:cstheme="minorEastAsia"/>
        </w:rPr>
      </w:pPr>
    </w:p>
    <w:p>
      <w:pPr>
        <w:ind w:firstLine="482"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38100</wp:posOffset>
                </wp:positionV>
                <wp:extent cx="6288405" cy="3509010"/>
                <wp:effectExtent l="4445" t="4445" r="16510" b="6985"/>
                <wp:wrapNone/>
                <wp:docPr id="3" name="Text Box 4"/>
                <wp:cNvGraphicFramePr/>
                <a:graphic xmlns:a="http://schemas.openxmlformats.org/drawingml/2006/main">
                  <a:graphicData uri="http://schemas.microsoft.com/office/word/2010/wordprocessingShape">
                    <wps:wsp>
                      <wps:cNvSpPr txBox="1"/>
                      <wps:spPr>
                        <a:xfrm>
                          <a:off x="0" y="0"/>
                          <a:ext cx="6288405" cy="3509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SXWZ2023ZB-DWYY-193</w:t>
                            </w:r>
                            <w:r>
                              <w:rPr>
                                <w:rFonts w:hint="eastAsia"/>
                                <w:sz w:val="28"/>
                                <w:szCs w:val="28"/>
                              </w:rPr>
                              <w:t>项目名称：</w:t>
                            </w:r>
                            <w:r>
                              <w:rPr>
                                <w:rFonts w:hint="eastAsia"/>
                                <w:sz w:val="28"/>
                                <w:szCs w:val="28"/>
                                <w:lang w:eastAsia="zh-CN"/>
                              </w:rPr>
                              <w:t>西安市第五医院下肢康复运动器等设备一批采购项目</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4" o:spid="_x0000_s1026" o:spt="202" type="#_x0000_t202" style="position:absolute;left:0pt;margin-left:-23.7pt;margin-top:3pt;height:276.3pt;width:495.15pt;z-index:251664384;mso-width-relative:page;mso-height-relative:page;" fillcolor="#FFFFFF" filled="t" stroked="t" coordsize="21600,21600" o:gfxdata="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M3f3/ZAAAACQEAAA8AAAAAAAAAAQAgAAAAIgAAAGRycy9k&#10;b3ducmV2LnhtbFBLAQIUABQAAAAIAIdO4kCDObD4AQIAAEQEAAAOAAAAAAAAAAEAIAAAACgBAABk&#10;cnMvZTJvRG9jLnhtbFBLBQYAAAAABgAGAFkBAACbBQ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SXWZ2023ZB-DWYY-193</w:t>
                      </w:r>
                      <w:r>
                        <w:rPr>
                          <w:rFonts w:hint="eastAsia"/>
                          <w:sz w:val="28"/>
                          <w:szCs w:val="28"/>
                        </w:rPr>
                        <w:t>项目名称：</w:t>
                      </w:r>
                      <w:r>
                        <w:rPr>
                          <w:rFonts w:hint="eastAsia"/>
                          <w:sz w:val="28"/>
                          <w:szCs w:val="28"/>
                          <w:lang w:eastAsia="zh-CN"/>
                        </w:rPr>
                        <w:t>西安市第五医院下肢康复运动器等设备一批采购项目</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spacing w:line="460" w:lineRule="exac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开标一览表封袋正面标识式样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-275590</wp:posOffset>
                </wp:positionH>
                <wp:positionV relativeFrom="paragraph">
                  <wp:posOffset>227965</wp:posOffset>
                </wp:positionV>
                <wp:extent cx="6189345" cy="3479800"/>
                <wp:effectExtent l="5080" t="4445" r="15875" b="20955"/>
                <wp:wrapNone/>
                <wp:docPr id="4" name="Text Box 3"/>
                <wp:cNvGraphicFramePr/>
                <a:graphic xmlns:a="http://schemas.openxmlformats.org/drawingml/2006/main">
                  <a:graphicData uri="http://schemas.microsoft.com/office/word/2010/wordprocessingShape">
                    <wps:wsp>
                      <wps:cNvSpPr txBox="1"/>
                      <wps:spPr>
                        <a:xfrm>
                          <a:off x="0" y="0"/>
                          <a:ext cx="6189345" cy="3479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sz w:val="44"/>
                                <w:szCs w:val="44"/>
                              </w:rPr>
                            </w:pPr>
                            <w:r>
                              <w:rPr>
                                <w:rFonts w:hint="eastAsia"/>
                                <w:sz w:val="28"/>
                                <w:szCs w:val="28"/>
                              </w:rPr>
                              <w:t>致：陕西万泽招标有限公司               项目编号：</w:t>
                            </w:r>
                            <w:r>
                              <w:rPr>
                                <w:rFonts w:hint="eastAsia"/>
                                <w:sz w:val="28"/>
                                <w:szCs w:val="28"/>
                                <w:lang w:eastAsia="zh-CN"/>
                              </w:rPr>
                              <w:t>SXWZ2023ZB-DWYY-193</w:t>
                            </w:r>
                            <w:r>
                              <w:rPr>
                                <w:rFonts w:hint="eastAsia"/>
                                <w:sz w:val="28"/>
                                <w:szCs w:val="28"/>
                              </w:rPr>
                              <w:t>项目名称：</w:t>
                            </w:r>
                            <w:r>
                              <w:rPr>
                                <w:rFonts w:hint="eastAsia"/>
                                <w:sz w:val="28"/>
                                <w:szCs w:val="28"/>
                                <w:lang w:eastAsia="zh-CN"/>
                              </w:rPr>
                              <w:t>西安市第五医院下肢康复运动器等设备一批采购项目</w:t>
                            </w:r>
                            <w:r>
                              <w:rPr>
                                <w:rFonts w:hint="eastAsia"/>
                                <w:b/>
                                <w:sz w:val="44"/>
                                <w:szCs w:val="44"/>
                              </w:rPr>
                              <w:t xml:space="preserve"> </w:t>
                            </w:r>
                          </w:p>
                          <w:p>
                            <w:pPr>
                              <w:jc w:val="center"/>
                              <w:rPr>
                                <w:b/>
                                <w:sz w:val="44"/>
                                <w:szCs w:val="44"/>
                              </w:rPr>
                            </w:pPr>
                            <w:r>
                              <w:rPr>
                                <w:rFonts w:hint="eastAsia"/>
                                <w:b/>
                                <w:sz w:val="44"/>
                                <w:szCs w:val="44"/>
                              </w:rPr>
                              <w:t>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r>
                              <w:rPr>
                                <w:rFonts w:hint="eastAsia"/>
                                <w:sz w:val="28"/>
                                <w:szCs w:val="28"/>
                                <w:u w:val="single"/>
                              </w:rPr>
                              <w:t xml:space="preserve">          </w:t>
                            </w:r>
                          </w:p>
                        </w:txbxContent>
                      </wps:txbx>
                      <wps:bodyPr upright="1"/>
                    </wps:wsp>
                  </a:graphicData>
                </a:graphic>
              </wp:anchor>
            </w:drawing>
          </mc:Choice>
          <mc:Fallback>
            <w:pict>
              <v:shape id="Text Box 3" o:spid="_x0000_s1026" o:spt="202" type="#_x0000_t202" style="position:absolute;left:0pt;margin-left:-21.7pt;margin-top:17.95pt;height:274pt;width:487.35pt;z-index:251665408;mso-width-relative:page;mso-height-relative:page;" fillcolor="#FFFFFF" filled="t" stroked="t" coordsize="21600,21600" o:gfxdata="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&#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3OaFQ2gAAAAoBAAAPAAAAAAAAAAEAIAAAACIAAABk&#10;cnMvZG93bnJldi54bWxQSwECFAAUAAAACACHTuJAb0IJXAQCAABEBAAADgAAAAAAAAABACAAAAAp&#10;AQAAZHJzL2Uyb0RvYy54bWxQSwUGAAAAAAYABgBZAQAAnwUAAAAA&#10;">
                <v:fill on="t" focussize="0,0"/>
                <v:stroke color="#000000" joinstyle="miter"/>
                <v:imagedata o:title=""/>
                <o:lock v:ext="edit" aspectratio="f"/>
                <v:textbox>
                  <w:txbxContent>
                    <w:p>
                      <w:pPr>
                        <w:jc w:val="center"/>
                        <w:rPr>
                          <w:rFonts w:hint="eastAsia"/>
                          <w:b/>
                          <w:sz w:val="44"/>
                          <w:szCs w:val="44"/>
                        </w:rPr>
                      </w:pPr>
                      <w:r>
                        <w:rPr>
                          <w:rFonts w:hint="eastAsia"/>
                          <w:sz w:val="28"/>
                          <w:szCs w:val="28"/>
                        </w:rPr>
                        <w:t>致：陕西万泽招标有限公司               项目编号：</w:t>
                      </w:r>
                      <w:r>
                        <w:rPr>
                          <w:rFonts w:hint="eastAsia"/>
                          <w:sz w:val="28"/>
                          <w:szCs w:val="28"/>
                          <w:lang w:eastAsia="zh-CN"/>
                        </w:rPr>
                        <w:t>SXWZ2023ZB-DWYY-193</w:t>
                      </w:r>
                      <w:r>
                        <w:rPr>
                          <w:rFonts w:hint="eastAsia"/>
                          <w:sz w:val="28"/>
                          <w:szCs w:val="28"/>
                        </w:rPr>
                        <w:t>项目名称：</w:t>
                      </w:r>
                      <w:r>
                        <w:rPr>
                          <w:rFonts w:hint="eastAsia"/>
                          <w:sz w:val="28"/>
                          <w:szCs w:val="28"/>
                          <w:lang w:eastAsia="zh-CN"/>
                        </w:rPr>
                        <w:t>西安市第五医院下肢康复运动器等设备一批采购项目</w:t>
                      </w:r>
                      <w:r>
                        <w:rPr>
                          <w:rFonts w:hint="eastAsia"/>
                          <w:b/>
                          <w:sz w:val="44"/>
                          <w:szCs w:val="44"/>
                        </w:rPr>
                        <w:t xml:space="preserve"> </w:t>
                      </w:r>
                    </w:p>
                    <w:p>
                      <w:pPr>
                        <w:jc w:val="center"/>
                        <w:rPr>
                          <w:b/>
                          <w:sz w:val="44"/>
                          <w:szCs w:val="44"/>
                        </w:rPr>
                      </w:pPr>
                      <w:r>
                        <w:rPr>
                          <w:rFonts w:hint="eastAsia"/>
                          <w:b/>
                          <w:sz w:val="44"/>
                          <w:szCs w:val="44"/>
                        </w:rPr>
                        <w:t>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r>
                        <w:rPr>
                          <w:rFonts w:hint="eastAsia"/>
                          <w:sz w:val="28"/>
                          <w:szCs w:val="28"/>
                          <w:u w:val="single"/>
                        </w:rPr>
                        <w:t xml:space="preserve">          </w:t>
                      </w: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pPr>
        <w:tabs>
          <w:tab w:val="left" w:pos="8280"/>
        </w:tabs>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-360045</wp:posOffset>
                </wp:positionH>
                <wp:positionV relativeFrom="paragraph">
                  <wp:posOffset>150495</wp:posOffset>
                </wp:positionV>
                <wp:extent cx="6455410" cy="3574415"/>
                <wp:effectExtent l="4445" t="4445" r="17145" b="17780"/>
                <wp:wrapNone/>
                <wp:docPr id="6"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SXWZ2023ZB-DWYY-193</w:t>
                            </w:r>
                          </w:p>
                          <w:p>
                            <w:pPr>
                              <w:jc w:val="center"/>
                              <w:rPr>
                                <w:rFonts w:hint="eastAsia"/>
                                <w:sz w:val="28"/>
                                <w:szCs w:val="28"/>
                                <w:lang w:eastAsia="zh-CN"/>
                              </w:rPr>
                            </w:pPr>
                            <w:r>
                              <w:rPr>
                                <w:rFonts w:hint="eastAsia"/>
                                <w:sz w:val="28"/>
                                <w:szCs w:val="28"/>
                              </w:rPr>
                              <w:t>项目名称：</w:t>
                            </w:r>
                            <w:r>
                              <w:rPr>
                                <w:rFonts w:hint="eastAsia"/>
                                <w:sz w:val="28"/>
                                <w:szCs w:val="28"/>
                                <w:lang w:eastAsia="zh-CN"/>
                              </w:rPr>
                              <w:t>西安市第五医院下肢康复运动器等设备一批采购项目</w:t>
                            </w:r>
                          </w:p>
                          <w:p>
                            <w:pPr>
                              <w:pStyle w:val="18"/>
                            </w:pP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66432;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bz/odoAAAAKAQAADwAAAAAAAAABACAAAAAiAAAAZHJz&#10;L2Rvd25yZXYueG1sUEsBAhQAFAAAAAgAh07iQKVldwwCAgAARAQAAA4AAAAAAAAAAQAgAAAAKQEA&#10;AGRycy9lMm9Eb2MueG1sUEsFBgAAAAAGAAYAWQEAAJ0FA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SXWZ2023ZB-DWYY-193</w:t>
                      </w:r>
                    </w:p>
                    <w:p>
                      <w:pPr>
                        <w:jc w:val="center"/>
                        <w:rPr>
                          <w:rFonts w:hint="eastAsia"/>
                          <w:sz w:val="28"/>
                          <w:szCs w:val="28"/>
                          <w:lang w:eastAsia="zh-CN"/>
                        </w:rPr>
                      </w:pPr>
                      <w:r>
                        <w:rPr>
                          <w:rFonts w:hint="eastAsia"/>
                          <w:sz w:val="28"/>
                          <w:szCs w:val="28"/>
                        </w:rPr>
                        <w:t>项目名称：</w:t>
                      </w:r>
                      <w:r>
                        <w:rPr>
                          <w:rFonts w:hint="eastAsia"/>
                          <w:sz w:val="28"/>
                          <w:szCs w:val="28"/>
                          <w:lang w:eastAsia="zh-CN"/>
                        </w:rPr>
                        <w:t>西安市第五医院下肢康复运动器等设备一批采购项目</w:t>
                      </w:r>
                    </w:p>
                    <w:p>
                      <w:pPr>
                        <w:pStyle w:val="18"/>
                      </w:pP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pageBreakBefore/>
        <w:spacing w:line="420" w:lineRule="auto"/>
        <w:rPr>
          <w:rFonts w:asciiTheme="minorEastAsia" w:hAnsiTheme="minorEastAsia" w:cstheme="minorEastAsia"/>
          <w:b/>
          <w:bCs/>
          <w:sz w:val="36"/>
          <w:szCs w:val="36"/>
        </w:rPr>
        <w:sectPr>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120" w:name="_Toc23992"/>
      <w:bookmarkStart w:id="121" w:name="_Toc2914"/>
      <w:r>
        <w:rPr>
          <w:rFonts w:hint="eastAsia" w:asciiTheme="minorEastAsia" w:hAnsiTheme="minorEastAsia" w:eastAsiaTheme="minorEastAsia" w:cstheme="minorEastAsia"/>
        </w:rPr>
        <w:t>附件二、中小企业申明</w:t>
      </w:r>
      <w:bookmarkEnd w:id="120"/>
      <w:bookmarkEnd w:id="121"/>
    </w:p>
    <w:p>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根据《政府采购促进中小企业发展管理办法》（财库[2020]46号）的规定，由供应商自行声明并对真实性负责。如有虚假，将依法承担相应责任。</w:t>
      </w:r>
    </w:p>
    <w:p>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10"/>
        <w:spacing w:before="55" w:line="360" w:lineRule="auto"/>
        <w:ind w:right="415" w:firstLine="640"/>
        <w:rPr>
          <w:rFonts w:ascii="宋体" w:hAnsi="宋体"/>
          <w:color w:val="000000"/>
          <w:spacing w:val="6"/>
          <w:sz w:val="24"/>
        </w:rPr>
      </w:pPr>
      <w:r>
        <w:rPr>
          <w:rFonts w:hint="eastAsia" w:ascii="宋体" w:hAnsi="宋体"/>
          <w:color w:val="000000"/>
          <w:spacing w:val="6"/>
          <w:sz w:val="24"/>
        </w:rPr>
        <w:t>本公司郑重声明，根据《政府采购促进中小企业发展管理办法》（财库﹝2020﹞46号）的规定，本公司参加</w:t>
      </w:r>
      <w:r>
        <w:rPr>
          <w:rFonts w:hint="eastAsia" w:ascii="宋体" w:hAnsi="宋体"/>
          <w:color w:val="000000"/>
          <w:spacing w:val="6"/>
          <w:sz w:val="24"/>
          <w:u w:val="single"/>
        </w:rPr>
        <w:t>（单位名称）</w:t>
      </w:r>
      <w:r>
        <w:rPr>
          <w:rFonts w:hint="eastAsia" w:ascii="宋体" w:hAnsi="宋体"/>
          <w:color w:val="000000"/>
          <w:spacing w:val="6"/>
          <w:sz w:val="24"/>
        </w:rPr>
        <w:t>的</w:t>
      </w:r>
      <w:r>
        <w:rPr>
          <w:rFonts w:hint="eastAsia" w:ascii="宋体" w:hAnsi="宋体"/>
          <w:color w:val="000000"/>
          <w:spacing w:val="6"/>
          <w:sz w:val="24"/>
          <w:u w:val="single"/>
        </w:rPr>
        <w:t xml:space="preserve">                       （项目名称）</w:t>
      </w:r>
      <w:r>
        <w:rPr>
          <w:rFonts w:hint="eastAsia" w:ascii="宋体" w:hAnsi="宋体"/>
          <w:color w:val="000000"/>
          <w:spacing w:val="6"/>
          <w:sz w:val="24"/>
        </w:rPr>
        <w:t>采购活动，提供的货物全部由符合政策要求的中小企业制造。相关企业的具体情况如下：</w:t>
      </w:r>
    </w:p>
    <w:p>
      <w:pPr>
        <w:pStyle w:val="70"/>
        <w:numPr>
          <w:ilvl w:val="0"/>
          <w:numId w:val="22"/>
        </w:numPr>
        <w:tabs>
          <w:tab w:val="left" w:pos="1183"/>
          <w:tab w:val="left" w:pos="1484"/>
          <w:tab w:val="left" w:pos="4662"/>
          <w:tab w:val="left" w:pos="6903"/>
        </w:tabs>
        <w:spacing w:line="360" w:lineRule="auto"/>
        <w:ind w:right="169" w:firstLine="504"/>
        <w:jc w:val="left"/>
        <w:rPr>
          <w:rFonts w:ascii="宋体" w:hAnsi="宋体"/>
          <w:color w:val="000000"/>
          <w:spacing w:val="6"/>
          <w:sz w:val="24"/>
        </w:rPr>
      </w:pP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70"/>
        <w:numPr>
          <w:ilvl w:val="0"/>
          <w:numId w:val="22"/>
        </w:numPr>
        <w:tabs>
          <w:tab w:val="left" w:pos="1165"/>
          <w:tab w:val="left" w:pos="1183"/>
          <w:tab w:val="left" w:pos="4362"/>
          <w:tab w:val="left" w:pos="6577"/>
        </w:tabs>
        <w:spacing w:line="360" w:lineRule="auto"/>
        <w:ind w:right="169" w:firstLine="504"/>
        <w:jc w:val="left"/>
        <w:rPr>
          <w:rFonts w:ascii="宋体" w:hAnsi="宋体"/>
          <w:color w:val="000000"/>
          <w:spacing w:val="6"/>
          <w:sz w:val="24"/>
        </w:rPr>
      </w:pPr>
      <w:r>
        <w:rPr>
          <w:rFonts w:hint="eastAsia" w:ascii="宋体" w:hAnsi="宋体"/>
          <w:color w:val="000000"/>
          <w:spacing w:val="6"/>
          <w:sz w:val="24"/>
        </w:rPr>
        <w:t xml:space="preserve"> </w:t>
      </w: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10"/>
        <w:spacing w:line="360" w:lineRule="auto"/>
        <w:ind w:left="860"/>
        <w:rPr>
          <w:rFonts w:ascii="宋体" w:hAnsi="宋体"/>
          <w:color w:val="000000"/>
          <w:spacing w:val="6"/>
          <w:sz w:val="24"/>
        </w:rPr>
      </w:pPr>
      <w:r>
        <w:rPr>
          <w:rFonts w:hint="eastAsia" w:ascii="宋体" w:hAnsi="宋体"/>
          <w:color w:val="000000"/>
          <w:spacing w:val="6"/>
          <w:sz w:val="24"/>
        </w:rPr>
        <w:t>……</w:t>
      </w:r>
    </w:p>
    <w:p>
      <w:pPr>
        <w:pStyle w:val="10"/>
        <w:spacing w:before="105" w:line="360" w:lineRule="auto"/>
        <w:ind w:right="417" w:firstLine="645"/>
        <w:rPr>
          <w:rFonts w:ascii="宋体" w:hAnsi="宋体"/>
          <w:color w:val="000000"/>
          <w:spacing w:val="6"/>
          <w:sz w:val="24"/>
        </w:rPr>
      </w:pPr>
      <w:r>
        <w:rPr>
          <w:rFonts w:hint="eastAsia" w:ascii="宋体" w:hAnsi="宋体"/>
          <w:color w:val="000000"/>
          <w:spacing w:val="6"/>
          <w:sz w:val="24"/>
        </w:rPr>
        <w:t>以上企业，不属于大企业的分支机构，不存在控股股东为大企业的情形，也不存在与大企业的负责人为同一人的情形。</w:t>
      </w:r>
    </w:p>
    <w:p>
      <w:pPr>
        <w:pStyle w:val="10"/>
        <w:spacing w:line="360" w:lineRule="auto"/>
        <w:ind w:right="372" w:firstLine="645"/>
        <w:rPr>
          <w:rFonts w:ascii="宋体" w:hAnsi="宋体"/>
          <w:color w:val="000000"/>
          <w:spacing w:val="6"/>
          <w:sz w:val="24"/>
        </w:rPr>
      </w:pPr>
      <w:r>
        <w:rPr>
          <w:rFonts w:hint="eastAsia" w:ascii="宋体" w:hAnsi="宋体"/>
          <w:color w:val="000000"/>
          <w:spacing w:val="6"/>
          <w:sz w:val="24"/>
        </w:rPr>
        <w:t>本企业对上述声明内容的真实性负责。如有虚假，将依法承担相应责任。</w:t>
      </w:r>
    </w:p>
    <w:p>
      <w:pPr>
        <w:spacing w:line="360" w:lineRule="auto"/>
        <w:jc w:val="left"/>
        <w:rPr>
          <w:rFonts w:hint="default" w:ascii="宋体" w:hAnsi="宋体" w:eastAsiaTheme="minorEastAsia"/>
          <w:color w:val="000000"/>
          <w:spacing w:val="6"/>
          <w:sz w:val="24"/>
          <w:lang w:val="en-US" w:eastAsia="zh-CN"/>
        </w:rPr>
      </w:pPr>
      <w:r>
        <w:rPr>
          <w:rFonts w:hint="eastAsia" w:ascii="宋体" w:hAnsi="宋体"/>
          <w:b/>
          <w:bCs/>
          <w:color w:val="000000"/>
          <w:spacing w:val="6"/>
          <w:sz w:val="24"/>
          <w:lang w:val="en-US" w:eastAsia="zh-CN"/>
        </w:rPr>
        <w:t>备注：本项目所属行业为：工业</w:t>
      </w:r>
    </w:p>
    <w:p>
      <w:pPr>
        <w:spacing w:line="360" w:lineRule="auto"/>
        <w:jc w:val="left"/>
        <w:rPr>
          <w:rFonts w:ascii="宋体" w:hAnsi="宋体"/>
          <w:color w:val="000000"/>
          <w:spacing w:val="6"/>
          <w:sz w:val="24"/>
        </w:rPr>
      </w:pPr>
    </w:p>
    <w:p>
      <w:pPr>
        <w:spacing w:line="360" w:lineRule="auto"/>
        <w:jc w:val="left"/>
        <w:rPr>
          <w:rFonts w:ascii="宋体" w:hAnsi="宋体" w:eastAsia="宋体" w:cs="Times New Roman"/>
          <w:color w:val="000000"/>
          <w:spacing w:val="6"/>
          <w:sz w:val="24"/>
        </w:rPr>
      </w:pPr>
      <w:r>
        <w:rPr>
          <w:rFonts w:hint="eastAsia" w:ascii="宋体" w:hAnsi="宋体" w:eastAsia="宋体" w:cs="Times New Roman"/>
          <w:color w:val="000000"/>
          <w:spacing w:val="6"/>
          <w:sz w:val="24"/>
        </w:rPr>
        <w:t>企业名称（盖章）：</w:t>
      </w:r>
    </w:p>
    <w:p>
      <w:pPr>
        <w:spacing w:line="588" w:lineRule="exact"/>
        <w:rPr>
          <w:rFonts w:ascii="宋体" w:hAnsi="宋体"/>
          <w:spacing w:val="6"/>
          <w:sz w:val="24"/>
          <w:szCs w:val="24"/>
        </w:rPr>
        <w:sectPr>
          <w:footerReference r:id="rId15" w:type="default"/>
          <w:pgSz w:w="11906" w:h="16838"/>
          <w:pgMar w:top="1440" w:right="1803" w:bottom="1440" w:left="1803" w:header="851" w:footer="992" w:gutter="0"/>
          <w:cols w:space="720" w:num="1"/>
          <w:docGrid w:type="lines" w:linePitch="319" w:charSpace="0"/>
        </w:sectPr>
      </w:pPr>
      <w:r>
        <w:rPr>
          <w:rFonts w:hint="eastAsia" w:ascii="宋体" w:hAnsi="宋体" w:eastAsia="宋体" w:cs="Times New Roman"/>
          <w:color w:val="000000"/>
          <w:spacing w:val="6"/>
          <w:sz w:val="24"/>
        </w:rPr>
        <w:t>日期：</w:t>
      </w:r>
    </w:p>
    <w:p>
      <w:pPr>
        <w:pStyle w:val="4"/>
      </w:pPr>
      <w:bookmarkStart w:id="122" w:name="_Toc28796"/>
      <w:bookmarkStart w:id="123" w:name="_Toc1277"/>
      <w:bookmarkStart w:id="124" w:name="_Toc19600"/>
      <w:bookmarkStart w:id="125" w:name="_Toc14498"/>
      <w:bookmarkStart w:id="126" w:name="_Toc23340"/>
      <w:bookmarkStart w:id="127" w:name="_Toc17921"/>
      <w:bookmarkStart w:id="128" w:name="_Toc32759"/>
      <w:bookmarkStart w:id="129" w:name="_Toc10779"/>
      <w:bookmarkStart w:id="130" w:name="_Toc3042"/>
      <w:bookmarkStart w:id="131" w:name="_Toc8550"/>
      <w:bookmarkStart w:id="132" w:name="_Toc8096"/>
      <w:bookmarkStart w:id="133" w:name="_Toc5968"/>
      <w:bookmarkStart w:id="134" w:name="_Toc21389"/>
      <w:bookmarkStart w:id="135" w:name="_Toc29465"/>
      <w:r>
        <w:rPr>
          <w:rFonts w:hint="eastAsia"/>
        </w:rPr>
        <w:t>附件三、残疾人福利性单位声明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宋体" w:hAnsi="宋体"/>
          <w:b/>
          <w:spacing w:val="6"/>
          <w:sz w:val="24"/>
          <w:szCs w:val="24"/>
        </w:rPr>
      </w:pPr>
      <w:bookmarkStart w:id="136" w:name="OLE_LINK14"/>
      <w:r>
        <w:rPr>
          <w:rFonts w:hint="eastAsia" w:ascii="宋体" w:hAnsi="宋体"/>
          <w:b/>
          <w:spacing w:val="6"/>
          <w:sz w:val="24"/>
          <w:szCs w:val="24"/>
        </w:rPr>
        <w:t>残疾人福利性单位声明函</w:t>
      </w:r>
      <w:bookmarkEnd w:id="136"/>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〔2017〕141</w:t>
      </w:r>
      <w:r>
        <w:rPr>
          <w:rFonts w:hint="eastAsia"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60"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40"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金额（万元）</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60"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60"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宋体" w:hAnsi="宋体"/>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单位名称（盖章）：</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日  期：</w:t>
      </w:r>
    </w:p>
    <w:p>
      <w:pPr>
        <w:pStyle w:val="4"/>
        <w:adjustRightInd w:val="0"/>
        <w:spacing w:line="416" w:lineRule="atLeast"/>
        <w:textAlignment w:val="baseline"/>
        <w:rPr>
          <w:rFonts w:ascii="宋体" w:hAnsi="宋体"/>
        </w:rPr>
      </w:pPr>
      <w:bookmarkStart w:id="137" w:name="_Toc9670"/>
      <w:bookmarkStart w:id="138" w:name="_Toc21493"/>
      <w:bookmarkStart w:id="139" w:name="_Toc10115"/>
      <w:bookmarkStart w:id="140" w:name="_Toc22143"/>
      <w:bookmarkStart w:id="141" w:name="_Toc9973"/>
      <w:bookmarkStart w:id="142" w:name="_Toc21483"/>
      <w:bookmarkStart w:id="143" w:name="_Toc15247"/>
      <w:bookmarkStart w:id="144" w:name="_Toc27652"/>
      <w:bookmarkStart w:id="145" w:name="_Toc2565"/>
      <w:bookmarkStart w:id="146" w:name="_Toc15718"/>
      <w:bookmarkStart w:id="147" w:name="_Toc6406"/>
      <w:bookmarkStart w:id="148" w:name="_Toc26998"/>
      <w:bookmarkStart w:id="149" w:name="_Toc6674"/>
      <w:bookmarkStart w:id="150" w:name="_Toc441"/>
      <w:bookmarkStart w:id="151" w:name="_Toc15467"/>
      <w:bookmarkStart w:id="152" w:name="_Toc14747"/>
      <w:bookmarkStart w:id="153" w:name="_Toc27669"/>
      <w:bookmarkStart w:id="154" w:name="_Toc15184"/>
      <w:r>
        <w:rPr>
          <w:rFonts w:hint="eastAsia" w:ascii="宋体" w:hAnsi="宋体"/>
        </w:rPr>
        <w:t>附件四、监狱企业证明文件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rPr>
          <w:rFonts w:ascii="宋体" w:hAnsi="宋体"/>
        </w:rPr>
      </w:pPr>
    </w:p>
    <w:p>
      <w:pPr>
        <w:snapToGrid w:val="0"/>
        <w:spacing w:line="360" w:lineRule="auto"/>
        <w:ind w:firstLine="504" w:firstLineChars="200"/>
        <w:rPr>
          <w:rFonts w:ascii="宋体" w:hAnsi="宋体"/>
          <w:sz w:val="24"/>
        </w:rPr>
      </w:pPr>
      <w:r>
        <w:rPr>
          <w:rFonts w:hint="eastAsia" w:ascii="宋体" w:hAnsi="宋体"/>
          <w:spacing w:val="6"/>
          <w:sz w:val="24"/>
        </w:rPr>
        <w:t xml:space="preserve"> 说明：根据</w:t>
      </w:r>
      <w:r>
        <w:rPr>
          <w:rFonts w:hint="eastAsia" w:ascii="宋体" w:hAnsi="宋体"/>
          <w:sz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rPr>
      </w:pPr>
      <w:bookmarkStart w:id="155" w:name="_Toc23254"/>
      <w:bookmarkStart w:id="156" w:name="_Toc29358"/>
      <w:bookmarkStart w:id="157" w:name="_Toc12828"/>
      <w:bookmarkStart w:id="158" w:name="_Toc22428"/>
      <w:bookmarkStart w:id="159" w:name="_Toc27326"/>
      <w:bookmarkStart w:id="160" w:name="_Toc24197"/>
      <w:bookmarkStart w:id="161" w:name="_Toc31338"/>
      <w:bookmarkStart w:id="162" w:name="_Toc810"/>
      <w:bookmarkStart w:id="163" w:name="_Toc21679"/>
      <w:bookmarkStart w:id="164" w:name="_Toc4076"/>
      <w:bookmarkStart w:id="165" w:name="_Toc5020"/>
      <w:bookmarkStart w:id="166" w:name="_Toc21834"/>
      <w:bookmarkStart w:id="167" w:name="_Toc14629"/>
      <w:bookmarkStart w:id="168" w:name="_Toc22336"/>
      <w:bookmarkStart w:id="169" w:name="_Toc13303"/>
      <w:bookmarkStart w:id="170" w:name="_Toc24315"/>
      <w:bookmarkStart w:id="171" w:name="_Toc19378"/>
      <w:bookmarkStart w:id="172" w:name="_Toc14693"/>
      <w:r>
        <w:rPr>
          <w:rFonts w:hint="eastAsia" w:ascii="宋体" w:hAnsi="宋体"/>
        </w:rPr>
        <w:t>附件五、“节能产品”，“环境标志产品”证明材料</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23"/>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23"/>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2、未按照上述要求提供的，评审时不予以考虑。 </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sz w:val="24"/>
        </w:rPr>
      </w:pPr>
    </w:p>
    <w:p>
      <w:pPr>
        <w:spacing w:line="588" w:lineRule="exact"/>
        <w:ind w:firstLine="504" w:firstLineChars="200"/>
        <w:rPr>
          <w:rFonts w:ascii="宋体" w:hAnsi="宋体"/>
          <w:spacing w:val="6"/>
          <w:sz w:val="24"/>
        </w:rPr>
      </w:pPr>
    </w:p>
    <w:p>
      <w:pPr>
        <w:pStyle w:val="4"/>
        <w:adjustRightInd w:val="0"/>
        <w:spacing w:line="416" w:lineRule="atLeast"/>
        <w:textAlignment w:val="baseline"/>
        <w:rPr>
          <w:rFonts w:ascii="宋体" w:hAnsi="宋体"/>
        </w:rPr>
        <w:sectPr>
          <w:pgSz w:w="11906" w:h="16838"/>
          <w:pgMar w:top="1440" w:right="1803" w:bottom="1440" w:left="1803" w:header="851" w:footer="992" w:gutter="0"/>
          <w:cols w:space="720" w:num="1"/>
          <w:docGrid w:type="lines" w:linePitch="319" w:charSpace="0"/>
        </w:sectPr>
      </w:pPr>
    </w:p>
    <w:p>
      <w:pPr>
        <w:pStyle w:val="4"/>
        <w:rPr>
          <w:rStyle w:val="38"/>
          <w:b/>
        </w:rPr>
      </w:pPr>
      <w:bookmarkStart w:id="173" w:name="_Toc14581"/>
      <w:bookmarkStart w:id="174" w:name="_Toc32"/>
      <w:bookmarkStart w:id="175" w:name="_Toc25020"/>
      <w:bookmarkStart w:id="176" w:name="_Toc25778"/>
      <w:bookmarkStart w:id="177" w:name="_Toc28968"/>
      <w:bookmarkStart w:id="178" w:name="_Toc3990"/>
      <w:bookmarkStart w:id="179" w:name="_Toc15916"/>
      <w:bookmarkStart w:id="180" w:name="_Toc26104"/>
      <w:bookmarkStart w:id="181" w:name="_Toc11742"/>
      <w:bookmarkStart w:id="182" w:name="_Toc11189"/>
      <w:bookmarkStart w:id="183" w:name="_Toc7368"/>
      <w:bookmarkStart w:id="184" w:name="_Toc6687"/>
      <w:bookmarkStart w:id="185" w:name="_Toc23948"/>
      <w:bookmarkStart w:id="186" w:name="_Toc30719"/>
      <w:bookmarkStart w:id="187" w:name="_Toc19371"/>
      <w:r>
        <w:rPr>
          <w:rStyle w:val="38"/>
          <w:rFonts w:hint="eastAsia"/>
          <w:b/>
        </w:rPr>
        <w:t>附件六、质疑函范本</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widowControl/>
        <w:spacing w:line="360" w:lineRule="auto"/>
        <w:jc w:val="left"/>
        <w:rPr>
          <w:rFonts w:ascii="宋体" w:hAnsi="宋体"/>
          <w:spacing w:val="6"/>
          <w:sz w:val="24"/>
        </w:rPr>
      </w:pPr>
      <w:r>
        <w:rPr>
          <w:rFonts w:hint="eastAsia" w:ascii="宋体" w:hAnsi="宋体"/>
          <w:spacing w:val="6"/>
          <w:sz w:val="24"/>
        </w:rPr>
        <w:t>质疑供应商基本信息</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质疑供应商：           </w:t>
      </w:r>
    </w:p>
    <w:p>
      <w:pPr>
        <w:widowControl/>
        <w:spacing w:line="360" w:lineRule="auto"/>
        <w:jc w:val="left"/>
      </w:pPr>
      <w:r>
        <w:rPr>
          <w:rFonts w:hint="eastAsia" w:ascii="宋体" w:hAnsi="宋体"/>
          <w:spacing w:val="6"/>
          <w:sz w:val="24"/>
        </w:rPr>
        <w:t xml:space="preserve">地   址：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邮编：          </w:t>
      </w:r>
    </w:p>
    <w:p>
      <w:pPr>
        <w:widowControl/>
        <w:spacing w:line="360" w:lineRule="auto"/>
        <w:jc w:val="left"/>
        <w:rPr>
          <w:rFonts w:ascii="宋体" w:hAnsi="宋体"/>
          <w:spacing w:val="6"/>
          <w:sz w:val="24"/>
        </w:rPr>
      </w:pPr>
      <w:r>
        <w:rPr>
          <w:rFonts w:hint="eastAsia" w:ascii="宋体" w:hAnsi="宋体"/>
          <w:spacing w:val="6"/>
          <w:sz w:val="24"/>
        </w:rPr>
        <w:t>联系人：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联系电话：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授权代表：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联系电话：                   </w:t>
      </w:r>
    </w:p>
    <w:p>
      <w:pPr>
        <w:widowControl/>
        <w:spacing w:line="360" w:lineRule="auto"/>
        <w:jc w:val="left"/>
        <w:rPr>
          <w:rFonts w:ascii="宋体" w:hAnsi="宋体"/>
          <w:spacing w:val="6"/>
          <w:sz w:val="24"/>
        </w:rPr>
      </w:pPr>
      <w:r>
        <w:rPr>
          <w:rFonts w:hint="eastAsia" w:ascii="宋体" w:hAnsi="宋体"/>
          <w:spacing w:val="6"/>
          <w:sz w:val="24"/>
        </w:rPr>
        <w:t>地址：   </w:t>
      </w:r>
    </w:p>
    <w:p>
      <w:pPr>
        <w:widowControl/>
        <w:spacing w:line="360" w:lineRule="auto"/>
        <w:jc w:val="left"/>
        <w:rPr>
          <w:rFonts w:ascii="宋体" w:hAnsi="宋体"/>
          <w:spacing w:val="6"/>
          <w:sz w:val="24"/>
        </w:rPr>
      </w:pPr>
      <w:r>
        <w:rPr>
          <w:rFonts w:hint="eastAsia" w:ascii="宋体" w:hAnsi="宋体"/>
          <w:spacing w:val="6"/>
          <w:sz w:val="24"/>
        </w:rPr>
        <w:t>邮编：  </w:t>
      </w:r>
    </w:p>
    <w:p>
      <w:pPr>
        <w:widowControl/>
        <w:numPr>
          <w:ilvl w:val="0"/>
          <w:numId w:val="24"/>
        </w:numPr>
        <w:spacing w:line="360" w:lineRule="auto"/>
        <w:jc w:val="left"/>
        <w:rPr>
          <w:rFonts w:ascii="宋体" w:hAnsi="宋体"/>
          <w:spacing w:val="6"/>
          <w:sz w:val="24"/>
        </w:rPr>
      </w:pPr>
      <w:r>
        <w:rPr>
          <w:rFonts w:hint="eastAsia" w:ascii="宋体" w:hAnsi="宋体"/>
          <w:spacing w:val="6"/>
          <w:sz w:val="24"/>
        </w:rPr>
        <w:t>质疑项目基本情况</w:t>
      </w:r>
    </w:p>
    <w:p>
      <w:pPr>
        <w:widowControl/>
        <w:numPr>
          <w:ilvl w:val="0"/>
          <w:numId w:val="24"/>
        </w:numPr>
        <w:spacing w:line="360" w:lineRule="auto"/>
        <w:jc w:val="left"/>
        <w:rPr>
          <w:rFonts w:ascii="宋体" w:hAnsi="宋体"/>
          <w:spacing w:val="6"/>
          <w:sz w:val="24"/>
        </w:rPr>
      </w:pPr>
      <w:r>
        <w:rPr>
          <w:rFonts w:hint="eastAsia" w:ascii="宋体" w:hAnsi="宋体"/>
          <w:spacing w:val="6"/>
          <w:sz w:val="24"/>
        </w:rPr>
        <w:t>质疑项目的名称：               </w:t>
      </w:r>
    </w:p>
    <w:p>
      <w:pPr>
        <w:widowControl/>
        <w:numPr>
          <w:ilvl w:val="0"/>
          <w:numId w:val="24"/>
        </w:numPr>
        <w:spacing w:line="360" w:lineRule="auto"/>
        <w:jc w:val="left"/>
        <w:rPr>
          <w:rFonts w:ascii="宋体" w:hAnsi="宋体"/>
          <w:spacing w:val="6"/>
          <w:sz w:val="24"/>
        </w:rPr>
      </w:pPr>
      <w:r>
        <w:rPr>
          <w:rFonts w:hint="eastAsia" w:ascii="宋体" w:hAnsi="宋体"/>
          <w:spacing w:val="6"/>
          <w:sz w:val="24"/>
        </w:rPr>
        <w:t>质疑项目的编号：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采购人名称：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采购文件获取日期：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三、质疑事项具体内容</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质疑事项1：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事实依据：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法律依据：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质疑事项2</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四、与质疑事项相关的质疑请求</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请求：                </w:t>
      </w:r>
    </w:p>
    <w:p>
      <w:pPr>
        <w:widowControl/>
        <w:spacing w:line="360" w:lineRule="auto"/>
        <w:jc w:val="left"/>
        <w:rPr>
          <w:rFonts w:ascii="宋体" w:hAnsi="宋体"/>
          <w:spacing w:val="6"/>
          <w:sz w:val="24"/>
        </w:rPr>
      </w:pPr>
      <w:r>
        <w:rPr>
          <w:rFonts w:hint="eastAsia" w:ascii="宋体" w:hAnsi="宋体"/>
          <w:spacing w:val="6"/>
          <w:sz w:val="24"/>
        </w:rPr>
        <w:t>签字(签章)：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公章：日期：  </w:t>
      </w:r>
    </w:p>
    <w:p>
      <w:pPr>
        <w:pStyle w:val="2"/>
        <w:rPr>
          <w:rFonts w:hint="eastAsia"/>
          <w:lang w:eastAsia="zh-CN"/>
        </w:rPr>
      </w:pPr>
    </w:p>
    <w:p>
      <w:pPr>
        <w:pStyle w:val="2"/>
        <w:rPr>
          <w:rFonts w:hint="eastAsia"/>
          <w:lang w:eastAsia="zh-CN"/>
        </w:rPr>
        <w:sectPr>
          <w:footerReference r:id="rId16" w:type="default"/>
          <w:pgSz w:w="11906" w:h="16838"/>
          <w:pgMar w:top="1440" w:right="1304" w:bottom="1440" w:left="1304" w:header="851" w:footer="992" w:gutter="0"/>
          <w:cols w:space="0" w:num="1"/>
          <w:docGrid w:type="lines" w:linePitch="325" w:charSpace="0"/>
        </w:sectPr>
      </w:pP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质疑函制作说明：</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1.供应商提出质疑时，应提交质疑函和必要的证明材料。</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3.质疑供应商若对项目的进行质疑，质疑函中应列明具体项目编号。</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4.质疑函的质疑事项应具体、明确，并有必要的事实依据和法律依据。</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5.质疑函的质疑请求应与质疑事项相关。</w:t>
      </w:r>
    </w:p>
    <w:p>
      <w:pPr>
        <w:widowControl/>
        <w:spacing w:line="360" w:lineRule="auto"/>
        <w:jc w:val="left"/>
        <w:rPr>
          <w:rFonts w:ascii="宋体" w:hAnsi="宋体"/>
          <w:color w:val="000000"/>
          <w:sz w:val="24"/>
        </w:rPr>
      </w:pPr>
      <w:r>
        <w:rPr>
          <w:rFonts w:hint="eastAsia" w:ascii="宋体" w:hAnsi="宋体"/>
          <w:spacing w:val="6"/>
          <w:sz w:val="24"/>
        </w:rPr>
        <w:t>6.质疑供应商为自然人的，质疑函应由本人签字；质疑供应商为法人或者其他组织的，质疑函应由法定代表人、主要负责人，或者其授权代表签字或者盖章，并加盖公章。</w:t>
      </w:r>
    </w:p>
    <w:p>
      <w:pPr>
        <w:pStyle w:val="4"/>
        <w:adjustRightInd w:val="0"/>
        <w:spacing w:line="416" w:lineRule="atLeast"/>
        <w:textAlignment w:val="baseline"/>
        <w:rPr>
          <w:rFonts w:ascii="仿宋_GB2312" w:hAnsi="仿宋_GB2312" w:eastAsia="仿宋_GB2312" w:cs="仿宋_GB2312"/>
        </w:rPr>
        <w:sectPr>
          <w:pgSz w:w="11906" w:h="16838"/>
          <w:pgMar w:top="1440" w:right="1304" w:bottom="1440" w:left="1304" w:header="851" w:footer="992" w:gutter="0"/>
          <w:cols w:space="0" w:num="1"/>
          <w:docGrid w:type="lines" w:linePitch="325" w:charSpace="0"/>
        </w:sectPr>
      </w:pPr>
    </w:p>
    <w:p>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pPr>
        <w:jc w:val="left"/>
        <w:rPr>
          <w:rFonts w:ascii="华文隶书" w:hAnsi="华文隶书" w:eastAsia="华文隶书" w:cs="华文隶书"/>
          <w:sz w:val="72"/>
          <w:szCs w:val="72"/>
        </w:rPr>
      </w:pPr>
    </w:p>
    <w:p>
      <w:pPr>
        <w:jc w:val="left"/>
        <w:rPr>
          <w:rFonts w:ascii="华文隶书" w:hAnsi="华文隶书" w:eastAsia="华文隶书" w:cs="华文隶书"/>
          <w:sz w:val="72"/>
          <w:szCs w:val="72"/>
        </w:rPr>
      </w:pPr>
    </w:p>
    <w:p>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b/>
          <w:spacing w:val="48"/>
          <w:sz w:val="72"/>
          <w:szCs w:val="72"/>
        </w:rPr>
      </w:pPr>
    </w:p>
    <w:p>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pPr>
        <w:ind w:firstLine="1063"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pPr>
        <w:ind w:firstLine="1063" w:firstLineChars="353"/>
        <w:rPr>
          <w:rFonts w:ascii="宋体" w:hAnsi="宋体" w:cs="宋体"/>
          <w:b/>
          <w:sz w:val="30"/>
          <w:szCs w:val="30"/>
        </w:rPr>
      </w:pPr>
      <w:r>
        <w:rPr>
          <w:rFonts w:hint="eastAsia" w:ascii="宋体" w:hAnsi="宋体" w:cs="宋体"/>
          <w:b/>
          <w:sz w:val="30"/>
          <w:szCs w:val="30"/>
        </w:rPr>
        <w:t>地    址：西安市西</w:t>
      </w:r>
      <w:r>
        <w:rPr>
          <w:rFonts w:ascii="宋体" w:hAnsi="宋体" w:cs="宋体"/>
          <w:b/>
          <w:sz w:val="30"/>
          <w:szCs w:val="30"/>
        </w:rPr>
        <w:t>关</w:t>
      </w:r>
      <w:r>
        <w:rPr>
          <w:rFonts w:hint="eastAsia" w:ascii="宋体" w:hAnsi="宋体" w:cs="宋体"/>
          <w:b/>
          <w:sz w:val="30"/>
          <w:szCs w:val="30"/>
        </w:rPr>
        <w:t>正街英</w:t>
      </w:r>
      <w:r>
        <w:rPr>
          <w:rFonts w:ascii="宋体" w:hAnsi="宋体" w:cs="宋体"/>
          <w:b/>
          <w:sz w:val="30"/>
          <w:szCs w:val="30"/>
        </w:rPr>
        <w:t>达</w:t>
      </w:r>
      <w:r>
        <w:rPr>
          <w:rFonts w:hint="eastAsia" w:ascii="宋体" w:hAnsi="宋体" w:cs="宋体"/>
          <w:b/>
          <w:sz w:val="30"/>
          <w:szCs w:val="30"/>
        </w:rPr>
        <w:t>大</w:t>
      </w:r>
      <w:r>
        <w:rPr>
          <w:rFonts w:ascii="宋体" w:hAnsi="宋体" w:cs="宋体"/>
          <w:b/>
          <w:sz w:val="30"/>
          <w:szCs w:val="30"/>
        </w:rPr>
        <w:t>厦</w:t>
      </w:r>
      <w:r>
        <w:rPr>
          <w:rFonts w:hint="eastAsia" w:ascii="宋体" w:hAnsi="宋体" w:cs="宋体"/>
          <w:b/>
          <w:sz w:val="30"/>
          <w:szCs w:val="30"/>
        </w:rPr>
        <w:t>1507室</w:t>
      </w:r>
    </w:p>
    <w:p>
      <w:pPr>
        <w:ind w:firstLine="1063" w:firstLineChars="353"/>
        <w:rPr>
          <w:rFonts w:ascii="宋体" w:hAnsi="宋体" w:cs="宋体"/>
          <w:b/>
          <w:sz w:val="30"/>
          <w:szCs w:val="30"/>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710082</w:t>
      </w:r>
    </w:p>
    <w:p>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pPr>
        <w:ind w:firstLine="1060"/>
        <w:rPr>
          <w:rFonts w:asciiTheme="minorEastAsia" w:hAnsiTheme="minorEastAsia" w:cstheme="minorEastAsia"/>
        </w:rPr>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w:t>
      </w:r>
      <w:bookmarkEnd w:id="0"/>
      <w:bookmarkEnd w:id="11"/>
      <w:r>
        <w:rPr>
          <w:rFonts w:ascii="宋体" w:hAnsi="宋体" w:cs="宋体"/>
          <w:b/>
          <w:sz w:val="30"/>
          <w:szCs w:val="30"/>
        </w:rPr>
        <w:t>88319689</w:t>
      </w:r>
    </w:p>
    <w:sectPr>
      <w:headerReference r:id="rId17" w:type="default"/>
      <w:footerReference r:id="rId18" w:type="default"/>
      <w:pgSz w:w="11906" w:h="16838"/>
      <w:pgMar w:top="1440" w:right="1304" w:bottom="1440" w:left="1304"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ingFang SC Regular">
    <w:altName w:val="Cambria"/>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426"/>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51NI4AgAAcA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znU0jgCAABwBAAADgAAAAAAAAABACAAAAAfAQAAZHJzL2Uyb0RvYy54&#10;bWxQSwUGAAAAAAYABgBZAQAAyQU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26</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26</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0"/>
        <w:tab w:val="right" w:pos="8420"/>
        <w:tab w:val="clear" w:pos="4153"/>
      </w:tabs>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87</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87</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89</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89</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ascii="宋体" w:hAnsi="宋体" w:eastAsia="宋体" w:cs="宋体"/>
        <w:sz w:val="18"/>
        <w:szCs w:val="18"/>
        <w:u w:val="single"/>
      </w:rPr>
    </w:pPr>
    <w:r>
      <w:rPr>
        <w:rFonts w:hint="eastAsia" w:ascii="宋体" w:hAnsi="宋体" w:eastAsia="宋体" w:cs="宋体"/>
        <w:sz w:val="15"/>
        <w:szCs w:val="15"/>
        <w:u w:val="single"/>
        <w:lang w:val="en-US" w:eastAsia="zh-CN"/>
      </w:rPr>
      <w:t xml:space="preserve">西安市第五医院下肢康复运动器等设备一批采购项目                                                </w:t>
    </w:r>
    <w:r>
      <w:rPr>
        <w:rFonts w:hint="eastAsia" w:ascii="宋体" w:hAnsi="宋体" w:eastAsia="宋体" w:cs="宋体"/>
        <w:sz w:val="15"/>
        <w:szCs w:val="15"/>
        <w:u w:val="single"/>
        <w:lang w:eastAsia="zh-CN"/>
      </w:rPr>
      <w:t>SXWZ2023ZB-DWYY-193</w:t>
    </w:r>
    <w:r>
      <w:rPr>
        <w:rFonts w:hint="eastAsia" w:ascii="宋体" w:hAnsi="宋体" w:eastAsia="宋体" w:cs="宋体"/>
        <w:sz w:val="15"/>
        <w:szCs w:val="15"/>
        <w:u w:val="single"/>
      </w:rPr>
      <w:t xml:space="preserve"> </w:t>
    </w:r>
    <w:r>
      <w:rPr>
        <w:rFonts w:hint="eastAsia" w:ascii="宋体" w:hAnsi="宋体" w:eastAsia="宋体" w:cs="宋体"/>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Theme="minorEastAsia"/>
        <w:lang w:eastAsia="zh-CN"/>
      </w:rPr>
    </w:pPr>
    <w:r>
      <w:rPr>
        <w:rFonts w:hint="eastAsia" w:ascii="宋体" w:hAnsi="宋体" w:cs="宋体"/>
        <w:sz w:val="15"/>
        <w:szCs w:val="15"/>
        <w:u w:val="single"/>
      </w:rPr>
      <w:t xml:space="preserve">西安市长安区医院 GE MR 1.5T BRIVO MR355、GE CT OPTIMA680保修项目                                                       </w:t>
    </w:r>
    <w:r>
      <w:rPr>
        <w:rFonts w:hint="eastAsia" w:ascii="宋体" w:hAnsi="宋体" w:cs="宋体"/>
        <w:sz w:val="15"/>
        <w:szCs w:val="15"/>
        <w:u w:val="single"/>
        <w:lang w:eastAsia="zh-CN"/>
      </w:rPr>
      <w:t>SXWZ2021ZB-XAWY-280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pPr>
    <w:r>
      <w:rPr>
        <w:rFonts w:hint="eastAsia" w:ascii="宋体" w:hAnsi="宋体" w:eastAsia="宋体" w:cs="宋体"/>
        <w:sz w:val="15"/>
        <w:szCs w:val="15"/>
        <w:u w:val="single"/>
        <w:lang w:eastAsia="zh-CN"/>
      </w:rPr>
      <w:t>西安市第五医院下肢康复运动器等设备一批采购项目</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SXWZ2023ZB-DWYY-193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pPr>
    <w:r>
      <w:rPr>
        <w:rFonts w:hint="eastAsia" w:ascii="宋体" w:hAnsi="宋体" w:eastAsia="宋体" w:cs="宋体"/>
        <w:sz w:val="15"/>
        <w:szCs w:val="15"/>
        <w:u w:val="single"/>
        <w:lang w:eastAsia="zh-CN"/>
      </w:rPr>
      <w:t>西安市第五医院下肢康复运动器等设备一批采购项目</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SXWZ2023ZB-DWYY-193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sz w:val="18"/>
        <w:szCs w:val="18"/>
      </w:rPr>
    </w:pPr>
    <w:r>
      <w:rPr>
        <w:rFonts w:hint="eastAsia" w:ascii="宋体" w:hAnsi="宋体" w:eastAsia="宋体" w:cs="宋体"/>
        <w:sz w:val="15"/>
        <w:szCs w:val="15"/>
        <w:u w:val="single"/>
        <w:lang w:eastAsia="zh-CN"/>
      </w:rPr>
      <w:t>西安市第五医院下肢康复运动器等设备一批采购项目采购项目</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SXWZ2023ZB-DWYY-193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8100" w:hanging="8100" w:hangingChars="5400"/>
      <w:jc w:val="left"/>
    </w:pPr>
    <w:r>
      <w:rPr>
        <w:rFonts w:hint="eastAsia" w:ascii="宋体" w:hAnsi="宋体" w:eastAsia="宋体" w:cs="宋体"/>
        <w:sz w:val="15"/>
        <w:szCs w:val="15"/>
        <w:u w:val="single"/>
        <w:lang w:eastAsia="zh-CN"/>
      </w:rPr>
      <w:t>西安市第五医院下肢康复运动器等设备一批采购项目</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SXWZ2023ZB-DWYY-193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pPr>
    <w:r>
      <w:rPr>
        <w:rFonts w:hint="eastAsia" w:ascii="宋体" w:hAnsi="宋体" w:eastAsia="宋体" w:cs="宋体"/>
        <w:sz w:val="15"/>
        <w:szCs w:val="15"/>
        <w:u w:val="single"/>
        <w:lang w:eastAsia="zh-CN"/>
      </w:rPr>
      <w:t>西安市第五医院下肢康复运动器等设备一批采购项目</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SXWZ2023ZB-DWYY-193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DCF52"/>
    <w:multiLevelType w:val="singleLevel"/>
    <w:tmpl w:val="8B9DCF52"/>
    <w:lvl w:ilvl="0" w:tentative="0">
      <w:start w:val="3"/>
      <w:numFmt w:val="chineseCounting"/>
      <w:suff w:val="nothing"/>
      <w:lvlText w:val="%1、"/>
      <w:lvlJc w:val="left"/>
      <w:rPr>
        <w:rFonts w:hint="eastAsia"/>
      </w:rPr>
    </w:lvl>
  </w:abstractNum>
  <w:abstractNum w:abstractNumId="1">
    <w:nsid w:val="CAD76889"/>
    <w:multiLevelType w:val="singleLevel"/>
    <w:tmpl w:val="CAD76889"/>
    <w:lvl w:ilvl="0" w:tentative="0">
      <w:start w:val="8"/>
      <w:numFmt w:val="chineseCounting"/>
      <w:suff w:val="nothing"/>
      <w:lvlText w:val="%1、"/>
      <w:lvlJc w:val="left"/>
      <w:rPr>
        <w:rFonts w:hint="eastAsia"/>
      </w:rPr>
    </w:lvl>
  </w:abstractNum>
  <w:abstractNum w:abstractNumId="2">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0000000D"/>
    <w:multiLevelType w:val="multilevel"/>
    <w:tmpl w:val="0000000D"/>
    <w:lvl w:ilvl="0" w:tentative="0">
      <w:start w:val="1"/>
      <w:numFmt w:val="decimal"/>
      <w:suff w:val="nothing"/>
      <w:lvlText w:val="（%1）"/>
      <w:lvlJc w:val="left"/>
      <w:pPr>
        <w:ind w:left="-636"/>
      </w:pPr>
    </w:lvl>
    <w:lvl w:ilvl="1" w:tentative="0">
      <w:start w:val="1"/>
      <w:numFmt w:val="lowerLetter"/>
      <w:lvlText w:val="%2)"/>
      <w:lvlJc w:val="left"/>
      <w:pPr>
        <w:ind w:left="-216" w:hanging="420"/>
      </w:pPr>
    </w:lvl>
    <w:lvl w:ilvl="2" w:tentative="0">
      <w:start w:val="1"/>
      <w:numFmt w:val="lowerRoman"/>
      <w:lvlText w:val="%3."/>
      <w:lvlJc w:val="right"/>
      <w:pPr>
        <w:ind w:left="204" w:hanging="420"/>
      </w:pPr>
    </w:lvl>
    <w:lvl w:ilvl="3" w:tentative="0">
      <w:start w:val="1"/>
      <w:numFmt w:val="decimal"/>
      <w:lvlText w:val="%4."/>
      <w:lvlJc w:val="left"/>
      <w:pPr>
        <w:ind w:left="624" w:hanging="420"/>
      </w:pPr>
    </w:lvl>
    <w:lvl w:ilvl="4" w:tentative="0">
      <w:start w:val="1"/>
      <w:numFmt w:val="lowerLetter"/>
      <w:lvlText w:val="%5)"/>
      <w:lvlJc w:val="left"/>
      <w:pPr>
        <w:ind w:left="1044" w:hanging="420"/>
      </w:pPr>
    </w:lvl>
    <w:lvl w:ilvl="5" w:tentative="0">
      <w:start w:val="1"/>
      <w:numFmt w:val="lowerRoman"/>
      <w:lvlText w:val="%6."/>
      <w:lvlJc w:val="right"/>
      <w:pPr>
        <w:ind w:left="1464" w:hanging="420"/>
      </w:pPr>
    </w:lvl>
    <w:lvl w:ilvl="6" w:tentative="0">
      <w:start w:val="1"/>
      <w:numFmt w:val="decimal"/>
      <w:lvlText w:val="%7."/>
      <w:lvlJc w:val="left"/>
      <w:pPr>
        <w:ind w:left="1884" w:hanging="420"/>
      </w:pPr>
    </w:lvl>
    <w:lvl w:ilvl="7" w:tentative="0">
      <w:start w:val="1"/>
      <w:numFmt w:val="lowerLetter"/>
      <w:lvlText w:val="%8)"/>
      <w:lvlJc w:val="left"/>
      <w:pPr>
        <w:ind w:left="2304" w:hanging="420"/>
      </w:pPr>
    </w:lvl>
    <w:lvl w:ilvl="8" w:tentative="0">
      <w:start w:val="1"/>
      <w:numFmt w:val="lowerRoman"/>
      <w:lvlText w:val="%9."/>
      <w:lvlJc w:val="right"/>
      <w:pPr>
        <w:ind w:left="2724" w:hanging="420"/>
      </w:pPr>
    </w:lvl>
  </w:abstractNum>
  <w:abstractNum w:abstractNumId="5">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6">
    <w:nsid w:val="5530B97F"/>
    <w:multiLevelType w:val="singleLevel"/>
    <w:tmpl w:val="5530B97F"/>
    <w:lvl w:ilvl="0" w:tentative="0">
      <w:start w:val="1"/>
      <w:numFmt w:val="chineseCounting"/>
      <w:suff w:val="nothing"/>
      <w:lvlText w:val="%1、"/>
      <w:lvlJc w:val="left"/>
    </w:lvl>
  </w:abstractNum>
  <w:abstractNum w:abstractNumId="7">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8">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9">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0">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1">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2">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3">
    <w:nsid w:val="58BFC3B3"/>
    <w:multiLevelType w:val="singleLevel"/>
    <w:tmpl w:val="58BFC3B3"/>
    <w:lvl w:ilvl="0" w:tentative="0">
      <w:start w:val="1"/>
      <w:numFmt w:val="decimal"/>
      <w:suff w:val="nothing"/>
      <w:lvlText w:val="（%1）"/>
      <w:lvlJc w:val="left"/>
      <w:pPr>
        <w:ind w:left="0" w:firstLine="420"/>
      </w:pPr>
      <w:rPr>
        <w:rFonts w:hint="default"/>
      </w:rPr>
    </w:lvl>
  </w:abstractNum>
  <w:abstractNum w:abstractNumId="14">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15">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6">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17">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18">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19">
    <w:nsid w:val="58E5EC48"/>
    <w:multiLevelType w:val="singleLevel"/>
    <w:tmpl w:val="58E5EC48"/>
    <w:lvl w:ilvl="0" w:tentative="0">
      <w:start w:val="1"/>
      <w:numFmt w:val="decimal"/>
      <w:suff w:val="nothing"/>
      <w:lvlText w:val="（%1）"/>
      <w:lvlJc w:val="left"/>
    </w:lvl>
  </w:abstractNum>
  <w:abstractNum w:abstractNumId="20">
    <w:nsid w:val="5902B6A7"/>
    <w:multiLevelType w:val="singleLevel"/>
    <w:tmpl w:val="5902B6A7"/>
    <w:lvl w:ilvl="0" w:tentative="0">
      <w:start w:val="1"/>
      <w:numFmt w:val="decimal"/>
      <w:pStyle w:val="6"/>
      <w:lvlText w:val="%1."/>
      <w:lvlJc w:val="left"/>
      <w:pPr>
        <w:tabs>
          <w:tab w:val="left" w:pos="360"/>
        </w:tabs>
        <w:ind w:left="360" w:hanging="360"/>
      </w:pPr>
    </w:lvl>
  </w:abstractNum>
  <w:abstractNum w:abstractNumId="21">
    <w:nsid w:val="590C841F"/>
    <w:multiLevelType w:val="singleLevel"/>
    <w:tmpl w:val="590C841F"/>
    <w:lvl w:ilvl="0" w:tentative="0">
      <w:start w:val="6"/>
      <w:numFmt w:val="chineseCounting"/>
      <w:suff w:val="nothing"/>
      <w:lvlText w:val="（%1）"/>
      <w:lvlJc w:val="left"/>
      <w:rPr>
        <w:rFonts w:hint="eastAsia"/>
      </w:rPr>
    </w:lvl>
  </w:abstractNum>
  <w:abstractNum w:abstractNumId="22">
    <w:nsid w:val="5A9C9D9A"/>
    <w:multiLevelType w:val="singleLevel"/>
    <w:tmpl w:val="5A9C9D9A"/>
    <w:lvl w:ilvl="0" w:tentative="0">
      <w:start w:val="2"/>
      <w:numFmt w:val="chineseCounting"/>
      <w:suff w:val="nothing"/>
      <w:lvlText w:val="%1、"/>
      <w:lvlJc w:val="left"/>
    </w:lvl>
  </w:abstractNum>
  <w:abstractNum w:abstractNumId="23">
    <w:nsid w:val="76180125"/>
    <w:multiLevelType w:val="singleLevel"/>
    <w:tmpl w:val="76180125"/>
    <w:lvl w:ilvl="0" w:tentative="0">
      <w:start w:val="3"/>
      <w:numFmt w:val="chineseCounting"/>
      <w:suff w:val="nothing"/>
      <w:lvlText w:val="（%1）"/>
      <w:lvlJc w:val="left"/>
      <w:rPr>
        <w:rFonts w:hint="eastAsia"/>
      </w:rPr>
    </w:lvl>
  </w:abstractNum>
  <w:num w:numId="1">
    <w:abstractNumId w:val="20"/>
  </w:num>
  <w:num w:numId="2">
    <w:abstractNumId w:val="6"/>
  </w:num>
  <w:num w:numId="3">
    <w:abstractNumId w:val="14"/>
  </w:num>
  <w:num w:numId="4">
    <w:abstractNumId w:val="8"/>
  </w:num>
  <w:num w:numId="5">
    <w:abstractNumId w:val="3"/>
  </w:num>
  <w:num w:numId="6">
    <w:abstractNumId w:val="7"/>
  </w:num>
  <w:num w:numId="7">
    <w:abstractNumId w:val="12"/>
  </w:num>
  <w:num w:numId="8">
    <w:abstractNumId w:val="15"/>
  </w:num>
  <w:num w:numId="9">
    <w:abstractNumId w:val="9"/>
  </w:num>
  <w:num w:numId="10">
    <w:abstractNumId w:val="13"/>
  </w:num>
  <w:num w:numId="11">
    <w:abstractNumId w:val="16"/>
  </w:num>
  <w:num w:numId="12">
    <w:abstractNumId w:val="10"/>
  </w:num>
  <w:num w:numId="13">
    <w:abstractNumId w:val="11"/>
  </w:num>
  <w:num w:numId="14">
    <w:abstractNumId w:val="2"/>
  </w:num>
  <w:num w:numId="15">
    <w:abstractNumId w:val="17"/>
  </w:num>
  <w:num w:numId="16">
    <w:abstractNumId w:val="18"/>
  </w:num>
  <w:num w:numId="17">
    <w:abstractNumId w:val="1"/>
  </w:num>
  <w:num w:numId="18">
    <w:abstractNumId w:val="0"/>
  </w:num>
  <w:num w:numId="19">
    <w:abstractNumId w:val="23"/>
  </w:num>
  <w:num w:numId="20">
    <w:abstractNumId w:val="4"/>
  </w:num>
  <w:num w:numId="21">
    <w:abstractNumId w:val="21"/>
  </w:num>
  <w:num w:numId="22">
    <w:abstractNumId w:val="5"/>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WIwYjUyYWRkZDIxNzRkYTcwZTc4ODlkMDBhNmUifQ=="/>
  </w:docVars>
  <w:rsids>
    <w:rsidRoot w:val="00172A27"/>
    <w:rsid w:val="000026EA"/>
    <w:rsid w:val="000B3DD4"/>
    <w:rsid w:val="000C0356"/>
    <w:rsid w:val="000C0895"/>
    <w:rsid w:val="000C23E8"/>
    <w:rsid w:val="000C673D"/>
    <w:rsid w:val="000F628F"/>
    <w:rsid w:val="000F7A72"/>
    <w:rsid w:val="0011607E"/>
    <w:rsid w:val="0012121E"/>
    <w:rsid w:val="001315D9"/>
    <w:rsid w:val="001563E1"/>
    <w:rsid w:val="0016416B"/>
    <w:rsid w:val="00165711"/>
    <w:rsid w:val="0016737F"/>
    <w:rsid w:val="00167A28"/>
    <w:rsid w:val="00171FE9"/>
    <w:rsid w:val="001A439C"/>
    <w:rsid w:val="001B3A0C"/>
    <w:rsid w:val="001D76B9"/>
    <w:rsid w:val="001E1F71"/>
    <w:rsid w:val="001E7E49"/>
    <w:rsid w:val="00205EEF"/>
    <w:rsid w:val="0025657F"/>
    <w:rsid w:val="002647A7"/>
    <w:rsid w:val="00264F9A"/>
    <w:rsid w:val="00295F6C"/>
    <w:rsid w:val="002A0C6D"/>
    <w:rsid w:val="002A2D06"/>
    <w:rsid w:val="002B1E22"/>
    <w:rsid w:val="002C54CF"/>
    <w:rsid w:val="002C6AB6"/>
    <w:rsid w:val="002D5DC2"/>
    <w:rsid w:val="002D7A6D"/>
    <w:rsid w:val="002E07BF"/>
    <w:rsid w:val="002F6F54"/>
    <w:rsid w:val="002F6FCA"/>
    <w:rsid w:val="00314A57"/>
    <w:rsid w:val="00337601"/>
    <w:rsid w:val="00360C09"/>
    <w:rsid w:val="003A3201"/>
    <w:rsid w:val="003B32B0"/>
    <w:rsid w:val="003C2DEE"/>
    <w:rsid w:val="003C67F2"/>
    <w:rsid w:val="003D37C1"/>
    <w:rsid w:val="003E1DDF"/>
    <w:rsid w:val="003E65D8"/>
    <w:rsid w:val="003E7B81"/>
    <w:rsid w:val="003F04B9"/>
    <w:rsid w:val="003F3D18"/>
    <w:rsid w:val="003F5518"/>
    <w:rsid w:val="003F64A7"/>
    <w:rsid w:val="004057C8"/>
    <w:rsid w:val="004456E2"/>
    <w:rsid w:val="00482B14"/>
    <w:rsid w:val="004C0B0D"/>
    <w:rsid w:val="004C2AF8"/>
    <w:rsid w:val="004D086B"/>
    <w:rsid w:val="004D70C5"/>
    <w:rsid w:val="004E4CF5"/>
    <w:rsid w:val="0050491F"/>
    <w:rsid w:val="00520C66"/>
    <w:rsid w:val="005217F8"/>
    <w:rsid w:val="00522064"/>
    <w:rsid w:val="00530399"/>
    <w:rsid w:val="00536870"/>
    <w:rsid w:val="005439A7"/>
    <w:rsid w:val="00565DF4"/>
    <w:rsid w:val="00571D17"/>
    <w:rsid w:val="00576A5F"/>
    <w:rsid w:val="005914C3"/>
    <w:rsid w:val="005B3960"/>
    <w:rsid w:val="005D7A12"/>
    <w:rsid w:val="00613B65"/>
    <w:rsid w:val="00617F3F"/>
    <w:rsid w:val="006657C9"/>
    <w:rsid w:val="0069223C"/>
    <w:rsid w:val="00696FBA"/>
    <w:rsid w:val="006A22B8"/>
    <w:rsid w:val="006B0FA3"/>
    <w:rsid w:val="006E169C"/>
    <w:rsid w:val="006E46DF"/>
    <w:rsid w:val="006F1FD6"/>
    <w:rsid w:val="00707832"/>
    <w:rsid w:val="00712EC1"/>
    <w:rsid w:val="00715940"/>
    <w:rsid w:val="00736BCC"/>
    <w:rsid w:val="0074281E"/>
    <w:rsid w:val="007447C1"/>
    <w:rsid w:val="00770871"/>
    <w:rsid w:val="0077254B"/>
    <w:rsid w:val="00792269"/>
    <w:rsid w:val="00792491"/>
    <w:rsid w:val="007A1277"/>
    <w:rsid w:val="007A4E4B"/>
    <w:rsid w:val="007A5023"/>
    <w:rsid w:val="007A6C1E"/>
    <w:rsid w:val="007C4A71"/>
    <w:rsid w:val="007D1286"/>
    <w:rsid w:val="007D15F9"/>
    <w:rsid w:val="007E29BC"/>
    <w:rsid w:val="00811783"/>
    <w:rsid w:val="008234E9"/>
    <w:rsid w:val="008259FA"/>
    <w:rsid w:val="0083050D"/>
    <w:rsid w:val="008656FD"/>
    <w:rsid w:val="00875FAC"/>
    <w:rsid w:val="008866C0"/>
    <w:rsid w:val="00895737"/>
    <w:rsid w:val="008962A7"/>
    <w:rsid w:val="008A112A"/>
    <w:rsid w:val="008A367A"/>
    <w:rsid w:val="008D7D4E"/>
    <w:rsid w:val="008E5052"/>
    <w:rsid w:val="008E7C81"/>
    <w:rsid w:val="008F6EFE"/>
    <w:rsid w:val="00903E65"/>
    <w:rsid w:val="0091020D"/>
    <w:rsid w:val="00954CF1"/>
    <w:rsid w:val="009754C8"/>
    <w:rsid w:val="00997D30"/>
    <w:rsid w:val="009E354A"/>
    <w:rsid w:val="009E3BD2"/>
    <w:rsid w:val="009E7878"/>
    <w:rsid w:val="009F29DA"/>
    <w:rsid w:val="00A00C3E"/>
    <w:rsid w:val="00A02D64"/>
    <w:rsid w:val="00A248F4"/>
    <w:rsid w:val="00A50E8F"/>
    <w:rsid w:val="00A51FDF"/>
    <w:rsid w:val="00A55ABC"/>
    <w:rsid w:val="00A62024"/>
    <w:rsid w:val="00A63494"/>
    <w:rsid w:val="00A65890"/>
    <w:rsid w:val="00A8343C"/>
    <w:rsid w:val="00A91A0D"/>
    <w:rsid w:val="00A921BA"/>
    <w:rsid w:val="00AB0730"/>
    <w:rsid w:val="00AB0C4F"/>
    <w:rsid w:val="00AC7625"/>
    <w:rsid w:val="00AD590B"/>
    <w:rsid w:val="00AE4684"/>
    <w:rsid w:val="00AF40F8"/>
    <w:rsid w:val="00B03686"/>
    <w:rsid w:val="00B176CA"/>
    <w:rsid w:val="00B27ACE"/>
    <w:rsid w:val="00B32079"/>
    <w:rsid w:val="00B3227C"/>
    <w:rsid w:val="00B73E01"/>
    <w:rsid w:val="00B76303"/>
    <w:rsid w:val="00B76DB3"/>
    <w:rsid w:val="00B76DD8"/>
    <w:rsid w:val="00B8690D"/>
    <w:rsid w:val="00BC1AB3"/>
    <w:rsid w:val="00BC1B63"/>
    <w:rsid w:val="00BC3A2D"/>
    <w:rsid w:val="00BD2757"/>
    <w:rsid w:val="00BD2877"/>
    <w:rsid w:val="00BD4D2B"/>
    <w:rsid w:val="00BD7D7A"/>
    <w:rsid w:val="00BD7E58"/>
    <w:rsid w:val="00BE77C0"/>
    <w:rsid w:val="00C12CCF"/>
    <w:rsid w:val="00C41E46"/>
    <w:rsid w:val="00CB13A4"/>
    <w:rsid w:val="00CC7FC8"/>
    <w:rsid w:val="00CE11E8"/>
    <w:rsid w:val="00CE65B1"/>
    <w:rsid w:val="00CF60E5"/>
    <w:rsid w:val="00D01247"/>
    <w:rsid w:val="00D070EB"/>
    <w:rsid w:val="00D257E8"/>
    <w:rsid w:val="00D46072"/>
    <w:rsid w:val="00D574E4"/>
    <w:rsid w:val="00D576EF"/>
    <w:rsid w:val="00DA4229"/>
    <w:rsid w:val="00DA68F2"/>
    <w:rsid w:val="00DC1986"/>
    <w:rsid w:val="00DC7FB0"/>
    <w:rsid w:val="00DE51F9"/>
    <w:rsid w:val="00DE76A5"/>
    <w:rsid w:val="00E04145"/>
    <w:rsid w:val="00E13657"/>
    <w:rsid w:val="00E20E24"/>
    <w:rsid w:val="00E2372B"/>
    <w:rsid w:val="00E24AFE"/>
    <w:rsid w:val="00E31486"/>
    <w:rsid w:val="00E60AAE"/>
    <w:rsid w:val="00E65904"/>
    <w:rsid w:val="00E8168F"/>
    <w:rsid w:val="00E9724B"/>
    <w:rsid w:val="00EA1ECE"/>
    <w:rsid w:val="00EA233A"/>
    <w:rsid w:val="00EA24E7"/>
    <w:rsid w:val="00EC6E7A"/>
    <w:rsid w:val="00EE3BBD"/>
    <w:rsid w:val="00F15049"/>
    <w:rsid w:val="00F20B01"/>
    <w:rsid w:val="00F234ED"/>
    <w:rsid w:val="00F31030"/>
    <w:rsid w:val="00F47500"/>
    <w:rsid w:val="00F569A7"/>
    <w:rsid w:val="00F66005"/>
    <w:rsid w:val="00F75245"/>
    <w:rsid w:val="00F839A7"/>
    <w:rsid w:val="00F94DCB"/>
    <w:rsid w:val="00FD12F0"/>
    <w:rsid w:val="00FD4469"/>
    <w:rsid w:val="00FE167F"/>
    <w:rsid w:val="00FE5F46"/>
    <w:rsid w:val="010C1913"/>
    <w:rsid w:val="012B7E09"/>
    <w:rsid w:val="013A223F"/>
    <w:rsid w:val="015B6AE9"/>
    <w:rsid w:val="01682991"/>
    <w:rsid w:val="01711768"/>
    <w:rsid w:val="01746552"/>
    <w:rsid w:val="01920D21"/>
    <w:rsid w:val="01D424A6"/>
    <w:rsid w:val="01F57ACD"/>
    <w:rsid w:val="01F90F7C"/>
    <w:rsid w:val="02064B47"/>
    <w:rsid w:val="02132B87"/>
    <w:rsid w:val="021D448D"/>
    <w:rsid w:val="023163A7"/>
    <w:rsid w:val="024B32D4"/>
    <w:rsid w:val="02572E23"/>
    <w:rsid w:val="025D32D6"/>
    <w:rsid w:val="026B0E1D"/>
    <w:rsid w:val="02701597"/>
    <w:rsid w:val="0277484A"/>
    <w:rsid w:val="02832C13"/>
    <w:rsid w:val="02854F8C"/>
    <w:rsid w:val="02874CA0"/>
    <w:rsid w:val="02A1111E"/>
    <w:rsid w:val="02B06745"/>
    <w:rsid w:val="02BF17AD"/>
    <w:rsid w:val="02C33472"/>
    <w:rsid w:val="02D26084"/>
    <w:rsid w:val="02DB4DF7"/>
    <w:rsid w:val="02E713EA"/>
    <w:rsid w:val="02F65097"/>
    <w:rsid w:val="02F8646C"/>
    <w:rsid w:val="030A0C9E"/>
    <w:rsid w:val="030A706D"/>
    <w:rsid w:val="030C435C"/>
    <w:rsid w:val="030F0FF1"/>
    <w:rsid w:val="03125B78"/>
    <w:rsid w:val="031B5574"/>
    <w:rsid w:val="03205381"/>
    <w:rsid w:val="032F6CFC"/>
    <w:rsid w:val="033B4F54"/>
    <w:rsid w:val="03401113"/>
    <w:rsid w:val="03403CC4"/>
    <w:rsid w:val="034900A4"/>
    <w:rsid w:val="035D1454"/>
    <w:rsid w:val="036F1D46"/>
    <w:rsid w:val="038037F7"/>
    <w:rsid w:val="03922815"/>
    <w:rsid w:val="03A2514E"/>
    <w:rsid w:val="03AB66F3"/>
    <w:rsid w:val="03B51025"/>
    <w:rsid w:val="03C25B44"/>
    <w:rsid w:val="03C858AA"/>
    <w:rsid w:val="03D6575A"/>
    <w:rsid w:val="03F20E3D"/>
    <w:rsid w:val="03F27BE8"/>
    <w:rsid w:val="041378F5"/>
    <w:rsid w:val="041E690A"/>
    <w:rsid w:val="04602913"/>
    <w:rsid w:val="046267BD"/>
    <w:rsid w:val="046844A5"/>
    <w:rsid w:val="04777A48"/>
    <w:rsid w:val="04887663"/>
    <w:rsid w:val="048D0575"/>
    <w:rsid w:val="04964F06"/>
    <w:rsid w:val="04CB09D5"/>
    <w:rsid w:val="04D70E21"/>
    <w:rsid w:val="04D72CF1"/>
    <w:rsid w:val="04F55E74"/>
    <w:rsid w:val="04FB532D"/>
    <w:rsid w:val="05112128"/>
    <w:rsid w:val="05402991"/>
    <w:rsid w:val="054575F8"/>
    <w:rsid w:val="054A0F95"/>
    <w:rsid w:val="054E1CE0"/>
    <w:rsid w:val="05725950"/>
    <w:rsid w:val="057A7F6E"/>
    <w:rsid w:val="05876B35"/>
    <w:rsid w:val="05AD42ED"/>
    <w:rsid w:val="05BA2969"/>
    <w:rsid w:val="05BE2F0D"/>
    <w:rsid w:val="05C515A4"/>
    <w:rsid w:val="05D62AE5"/>
    <w:rsid w:val="05F3420B"/>
    <w:rsid w:val="05F72E03"/>
    <w:rsid w:val="05FC494C"/>
    <w:rsid w:val="060454DB"/>
    <w:rsid w:val="060504D2"/>
    <w:rsid w:val="062260D2"/>
    <w:rsid w:val="06561F23"/>
    <w:rsid w:val="066D1D57"/>
    <w:rsid w:val="069779A6"/>
    <w:rsid w:val="069A01B7"/>
    <w:rsid w:val="06BE30D0"/>
    <w:rsid w:val="06EF35C6"/>
    <w:rsid w:val="07162781"/>
    <w:rsid w:val="07181283"/>
    <w:rsid w:val="075D544B"/>
    <w:rsid w:val="0770705C"/>
    <w:rsid w:val="079428F4"/>
    <w:rsid w:val="079539D2"/>
    <w:rsid w:val="079C7ECA"/>
    <w:rsid w:val="079D0BE2"/>
    <w:rsid w:val="07C51D41"/>
    <w:rsid w:val="07C7559B"/>
    <w:rsid w:val="07EA2C20"/>
    <w:rsid w:val="07ED4DC3"/>
    <w:rsid w:val="07F02678"/>
    <w:rsid w:val="07F51E0C"/>
    <w:rsid w:val="08065580"/>
    <w:rsid w:val="08114CDB"/>
    <w:rsid w:val="08186ED9"/>
    <w:rsid w:val="081B102B"/>
    <w:rsid w:val="08290F6A"/>
    <w:rsid w:val="084407B0"/>
    <w:rsid w:val="08554235"/>
    <w:rsid w:val="08586500"/>
    <w:rsid w:val="085B6064"/>
    <w:rsid w:val="08667849"/>
    <w:rsid w:val="087521AC"/>
    <w:rsid w:val="087A0FE3"/>
    <w:rsid w:val="087B77E0"/>
    <w:rsid w:val="08A64936"/>
    <w:rsid w:val="08A70553"/>
    <w:rsid w:val="08B432AC"/>
    <w:rsid w:val="08CE787B"/>
    <w:rsid w:val="08F74AF5"/>
    <w:rsid w:val="08FD0E39"/>
    <w:rsid w:val="090A42F6"/>
    <w:rsid w:val="091E7FD5"/>
    <w:rsid w:val="091F0FEF"/>
    <w:rsid w:val="091F7003"/>
    <w:rsid w:val="0929501C"/>
    <w:rsid w:val="092C1016"/>
    <w:rsid w:val="092C43E3"/>
    <w:rsid w:val="09304FAA"/>
    <w:rsid w:val="09407FA2"/>
    <w:rsid w:val="09494229"/>
    <w:rsid w:val="0950470A"/>
    <w:rsid w:val="09762AEE"/>
    <w:rsid w:val="097B02EA"/>
    <w:rsid w:val="09A80FE4"/>
    <w:rsid w:val="09BF7F75"/>
    <w:rsid w:val="09E35A8F"/>
    <w:rsid w:val="09EA213D"/>
    <w:rsid w:val="0A057883"/>
    <w:rsid w:val="0A081923"/>
    <w:rsid w:val="0A08744C"/>
    <w:rsid w:val="0A0976BB"/>
    <w:rsid w:val="0A1845A6"/>
    <w:rsid w:val="0A382368"/>
    <w:rsid w:val="0A3E3F88"/>
    <w:rsid w:val="0A5B13F8"/>
    <w:rsid w:val="0A672A35"/>
    <w:rsid w:val="0A7A2C8F"/>
    <w:rsid w:val="0AA479FE"/>
    <w:rsid w:val="0AAF13F1"/>
    <w:rsid w:val="0AC83335"/>
    <w:rsid w:val="0AE3476A"/>
    <w:rsid w:val="0AE70327"/>
    <w:rsid w:val="0AE95C7C"/>
    <w:rsid w:val="0AF7097C"/>
    <w:rsid w:val="0B0267FA"/>
    <w:rsid w:val="0B0A5FB6"/>
    <w:rsid w:val="0B166CF5"/>
    <w:rsid w:val="0B167DBC"/>
    <w:rsid w:val="0B1F3949"/>
    <w:rsid w:val="0B25432A"/>
    <w:rsid w:val="0B394B77"/>
    <w:rsid w:val="0B5D1A85"/>
    <w:rsid w:val="0B666DB6"/>
    <w:rsid w:val="0B986F9F"/>
    <w:rsid w:val="0BA650B0"/>
    <w:rsid w:val="0BCA0BB7"/>
    <w:rsid w:val="0BE92434"/>
    <w:rsid w:val="0BF71769"/>
    <w:rsid w:val="0C010536"/>
    <w:rsid w:val="0C2302BE"/>
    <w:rsid w:val="0C2F779B"/>
    <w:rsid w:val="0C484020"/>
    <w:rsid w:val="0C4B1E57"/>
    <w:rsid w:val="0C53414C"/>
    <w:rsid w:val="0C581602"/>
    <w:rsid w:val="0C6279A9"/>
    <w:rsid w:val="0C7F3BFC"/>
    <w:rsid w:val="0C876847"/>
    <w:rsid w:val="0C880C59"/>
    <w:rsid w:val="0C8F6E94"/>
    <w:rsid w:val="0CB6728F"/>
    <w:rsid w:val="0CD1395F"/>
    <w:rsid w:val="0CD53839"/>
    <w:rsid w:val="0CD97C86"/>
    <w:rsid w:val="0CDF45C6"/>
    <w:rsid w:val="0CF14B0E"/>
    <w:rsid w:val="0CF172AB"/>
    <w:rsid w:val="0CFD25BD"/>
    <w:rsid w:val="0D166EA2"/>
    <w:rsid w:val="0D183FD9"/>
    <w:rsid w:val="0D18735D"/>
    <w:rsid w:val="0D2D31D6"/>
    <w:rsid w:val="0D316917"/>
    <w:rsid w:val="0D3A39B1"/>
    <w:rsid w:val="0D4972F8"/>
    <w:rsid w:val="0D4A02A6"/>
    <w:rsid w:val="0D6D4DC3"/>
    <w:rsid w:val="0D8D32AC"/>
    <w:rsid w:val="0D933F5C"/>
    <w:rsid w:val="0DA51964"/>
    <w:rsid w:val="0DAB1B73"/>
    <w:rsid w:val="0DCB645D"/>
    <w:rsid w:val="0DE570E8"/>
    <w:rsid w:val="0E024AB5"/>
    <w:rsid w:val="0E063787"/>
    <w:rsid w:val="0E0C42FA"/>
    <w:rsid w:val="0E2240AB"/>
    <w:rsid w:val="0E8B4F0A"/>
    <w:rsid w:val="0EA12D17"/>
    <w:rsid w:val="0EA74B5C"/>
    <w:rsid w:val="0EC16B10"/>
    <w:rsid w:val="0ECA1E1A"/>
    <w:rsid w:val="0EF55F6C"/>
    <w:rsid w:val="0F134293"/>
    <w:rsid w:val="0F16254C"/>
    <w:rsid w:val="0F2C766A"/>
    <w:rsid w:val="0F38239C"/>
    <w:rsid w:val="0F3F2330"/>
    <w:rsid w:val="0F5F0920"/>
    <w:rsid w:val="0F65017C"/>
    <w:rsid w:val="0F6E16FE"/>
    <w:rsid w:val="0F826CDC"/>
    <w:rsid w:val="0F862A78"/>
    <w:rsid w:val="0FA20284"/>
    <w:rsid w:val="0FA93EA0"/>
    <w:rsid w:val="0FB963AC"/>
    <w:rsid w:val="0FC00610"/>
    <w:rsid w:val="0FC0631E"/>
    <w:rsid w:val="0FCD563C"/>
    <w:rsid w:val="100C00DC"/>
    <w:rsid w:val="101A55C8"/>
    <w:rsid w:val="101F3682"/>
    <w:rsid w:val="10216824"/>
    <w:rsid w:val="104269FB"/>
    <w:rsid w:val="104B4EC7"/>
    <w:rsid w:val="10643784"/>
    <w:rsid w:val="106E4FA7"/>
    <w:rsid w:val="10702699"/>
    <w:rsid w:val="108B0D18"/>
    <w:rsid w:val="108E6DDE"/>
    <w:rsid w:val="10A25F5C"/>
    <w:rsid w:val="10A875C4"/>
    <w:rsid w:val="10B85B7F"/>
    <w:rsid w:val="10BE25A9"/>
    <w:rsid w:val="10D20FA3"/>
    <w:rsid w:val="10D44F6A"/>
    <w:rsid w:val="11061223"/>
    <w:rsid w:val="110A191D"/>
    <w:rsid w:val="11274EE5"/>
    <w:rsid w:val="11296DDC"/>
    <w:rsid w:val="112E57B4"/>
    <w:rsid w:val="112F26C0"/>
    <w:rsid w:val="114215F5"/>
    <w:rsid w:val="114542EA"/>
    <w:rsid w:val="1149117E"/>
    <w:rsid w:val="11541D52"/>
    <w:rsid w:val="116F3BFD"/>
    <w:rsid w:val="119B5E65"/>
    <w:rsid w:val="11A25028"/>
    <w:rsid w:val="11AF7799"/>
    <w:rsid w:val="11B361D3"/>
    <w:rsid w:val="11B37C5F"/>
    <w:rsid w:val="11CB4B76"/>
    <w:rsid w:val="11E70C0A"/>
    <w:rsid w:val="12122C9D"/>
    <w:rsid w:val="121A5D1F"/>
    <w:rsid w:val="12271E01"/>
    <w:rsid w:val="122C01F1"/>
    <w:rsid w:val="123770AC"/>
    <w:rsid w:val="123E030B"/>
    <w:rsid w:val="12415950"/>
    <w:rsid w:val="124E2945"/>
    <w:rsid w:val="126260E1"/>
    <w:rsid w:val="126E66D8"/>
    <w:rsid w:val="12766F68"/>
    <w:rsid w:val="12784E55"/>
    <w:rsid w:val="128112F2"/>
    <w:rsid w:val="128327DE"/>
    <w:rsid w:val="128A78E8"/>
    <w:rsid w:val="128C33F4"/>
    <w:rsid w:val="12971C87"/>
    <w:rsid w:val="12B54EB6"/>
    <w:rsid w:val="12BE6160"/>
    <w:rsid w:val="12D72F5E"/>
    <w:rsid w:val="12E82DFE"/>
    <w:rsid w:val="12FB01C6"/>
    <w:rsid w:val="1314791D"/>
    <w:rsid w:val="132E1775"/>
    <w:rsid w:val="133501B8"/>
    <w:rsid w:val="13487675"/>
    <w:rsid w:val="13533F6A"/>
    <w:rsid w:val="1356560D"/>
    <w:rsid w:val="138D11BC"/>
    <w:rsid w:val="139D2FCC"/>
    <w:rsid w:val="13AB6434"/>
    <w:rsid w:val="13D84C83"/>
    <w:rsid w:val="13DD5DC6"/>
    <w:rsid w:val="13E408D2"/>
    <w:rsid w:val="13EA41B4"/>
    <w:rsid w:val="141334FE"/>
    <w:rsid w:val="142D37E0"/>
    <w:rsid w:val="1441058C"/>
    <w:rsid w:val="146441B0"/>
    <w:rsid w:val="14733F9D"/>
    <w:rsid w:val="14805189"/>
    <w:rsid w:val="14B71ED0"/>
    <w:rsid w:val="14D63AF8"/>
    <w:rsid w:val="14F0226B"/>
    <w:rsid w:val="151F79C5"/>
    <w:rsid w:val="15285578"/>
    <w:rsid w:val="15490388"/>
    <w:rsid w:val="15550B09"/>
    <w:rsid w:val="155550C1"/>
    <w:rsid w:val="155B4F19"/>
    <w:rsid w:val="1565517A"/>
    <w:rsid w:val="156E26BA"/>
    <w:rsid w:val="15881888"/>
    <w:rsid w:val="15954683"/>
    <w:rsid w:val="15A506F2"/>
    <w:rsid w:val="15B411BA"/>
    <w:rsid w:val="15C56451"/>
    <w:rsid w:val="15C8772A"/>
    <w:rsid w:val="15CC68D1"/>
    <w:rsid w:val="15D675AD"/>
    <w:rsid w:val="15D750FC"/>
    <w:rsid w:val="15DE594F"/>
    <w:rsid w:val="15E7494C"/>
    <w:rsid w:val="15F335E7"/>
    <w:rsid w:val="160F6DD5"/>
    <w:rsid w:val="16162C58"/>
    <w:rsid w:val="1630298D"/>
    <w:rsid w:val="163E79E9"/>
    <w:rsid w:val="165170DE"/>
    <w:rsid w:val="16577237"/>
    <w:rsid w:val="166B3507"/>
    <w:rsid w:val="169B5F81"/>
    <w:rsid w:val="16A94769"/>
    <w:rsid w:val="16AE7F98"/>
    <w:rsid w:val="16BF6BE7"/>
    <w:rsid w:val="17045380"/>
    <w:rsid w:val="172072CE"/>
    <w:rsid w:val="174A6993"/>
    <w:rsid w:val="1752258F"/>
    <w:rsid w:val="17750095"/>
    <w:rsid w:val="17821F33"/>
    <w:rsid w:val="17901C3F"/>
    <w:rsid w:val="17907B2D"/>
    <w:rsid w:val="17A17CDE"/>
    <w:rsid w:val="17BE1AA7"/>
    <w:rsid w:val="17C4420E"/>
    <w:rsid w:val="17ED19B9"/>
    <w:rsid w:val="1804579C"/>
    <w:rsid w:val="18217691"/>
    <w:rsid w:val="182600F1"/>
    <w:rsid w:val="18373E61"/>
    <w:rsid w:val="18416030"/>
    <w:rsid w:val="1854683E"/>
    <w:rsid w:val="18625EBF"/>
    <w:rsid w:val="18656CB7"/>
    <w:rsid w:val="186F0D28"/>
    <w:rsid w:val="1871356A"/>
    <w:rsid w:val="18726F19"/>
    <w:rsid w:val="188B1530"/>
    <w:rsid w:val="18921717"/>
    <w:rsid w:val="18950986"/>
    <w:rsid w:val="18982D2A"/>
    <w:rsid w:val="18997F37"/>
    <w:rsid w:val="18B37C79"/>
    <w:rsid w:val="18CB084B"/>
    <w:rsid w:val="18D25C2F"/>
    <w:rsid w:val="18E02502"/>
    <w:rsid w:val="18E51BE1"/>
    <w:rsid w:val="18F15529"/>
    <w:rsid w:val="18F64206"/>
    <w:rsid w:val="18FA490E"/>
    <w:rsid w:val="190135C0"/>
    <w:rsid w:val="19122ACA"/>
    <w:rsid w:val="19191C44"/>
    <w:rsid w:val="192F1690"/>
    <w:rsid w:val="192F739D"/>
    <w:rsid w:val="194B4581"/>
    <w:rsid w:val="19555360"/>
    <w:rsid w:val="19616ABA"/>
    <w:rsid w:val="19773655"/>
    <w:rsid w:val="19805D37"/>
    <w:rsid w:val="19836A30"/>
    <w:rsid w:val="198A1296"/>
    <w:rsid w:val="19901BD6"/>
    <w:rsid w:val="19A03A86"/>
    <w:rsid w:val="19A97DC4"/>
    <w:rsid w:val="19BC1F42"/>
    <w:rsid w:val="19C82216"/>
    <w:rsid w:val="1A0907E8"/>
    <w:rsid w:val="1A1306D6"/>
    <w:rsid w:val="1A324F2D"/>
    <w:rsid w:val="1A462475"/>
    <w:rsid w:val="1A491938"/>
    <w:rsid w:val="1A606171"/>
    <w:rsid w:val="1A746A64"/>
    <w:rsid w:val="1A8567D8"/>
    <w:rsid w:val="1A887EA1"/>
    <w:rsid w:val="1A8B27AB"/>
    <w:rsid w:val="1A903574"/>
    <w:rsid w:val="1A92272B"/>
    <w:rsid w:val="1A997EE2"/>
    <w:rsid w:val="1AAE25CF"/>
    <w:rsid w:val="1AFC4A21"/>
    <w:rsid w:val="1B115D3C"/>
    <w:rsid w:val="1B1E0896"/>
    <w:rsid w:val="1B4342E1"/>
    <w:rsid w:val="1B4F12C0"/>
    <w:rsid w:val="1B67636B"/>
    <w:rsid w:val="1B6A11E1"/>
    <w:rsid w:val="1B7156DA"/>
    <w:rsid w:val="1B807337"/>
    <w:rsid w:val="1B8E66DD"/>
    <w:rsid w:val="1B960270"/>
    <w:rsid w:val="1B99695D"/>
    <w:rsid w:val="1BA47C58"/>
    <w:rsid w:val="1BA55045"/>
    <w:rsid w:val="1BB80F43"/>
    <w:rsid w:val="1BC170B5"/>
    <w:rsid w:val="1BC85289"/>
    <w:rsid w:val="1BCB5F23"/>
    <w:rsid w:val="1BE64759"/>
    <w:rsid w:val="1BF0529D"/>
    <w:rsid w:val="1C143B1C"/>
    <w:rsid w:val="1C261200"/>
    <w:rsid w:val="1C3A3664"/>
    <w:rsid w:val="1C550846"/>
    <w:rsid w:val="1C6C08F4"/>
    <w:rsid w:val="1C7279BA"/>
    <w:rsid w:val="1C854200"/>
    <w:rsid w:val="1C8B6F5F"/>
    <w:rsid w:val="1C996C5A"/>
    <w:rsid w:val="1C9B7F2C"/>
    <w:rsid w:val="1CA5647B"/>
    <w:rsid w:val="1CC27DD7"/>
    <w:rsid w:val="1CC525CA"/>
    <w:rsid w:val="1CCE7EB1"/>
    <w:rsid w:val="1CEB2835"/>
    <w:rsid w:val="1CEF4C58"/>
    <w:rsid w:val="1CF923C8"/>
    <w:rsid w:val="1D14074C"/>
    <w:rsid w:val="1D155103"/>
    <w:rsid w:val="1D271DC8"/>
    <w:rsid w:val="1D35483F"/>
    <w:rsid w:val="1D385997"/>
    <w:rsid w:val="1D4C378E"/>
    <w:rsid w:val="1D6867AA"/>
    <w:rsid w:val="1D6B0D1C"/>
    <w:rsid w:val="1D6B553A"/>
    <w:rsid w:val="1D796AC8"/>
    <w:rsid w:val="1D9A028D"/>
    <w:rsid w:val="1DAC0C4B"/>
    <w:rsid w:val="1DB17C84"/>
    <w:rsid w:val="1DB74394"/>
    <w:rsid w:val="1DC01001"/>
    <w:rsid w:val="1DC204E2"/>
    <w:rsid w:val="1DEF3BFA"/>
    <w:rsid w:val="1DF97E9A"/>
    <w:rsid w:val="1E0638E4"/>
    <w:rsid w:val="1E28165B"/>
    <w:rsid w:val="1E3F13E8"/>
    <w:rsid w:val="1E591E92"/>
    <w:rsid w:val="1E5A177B"/>
    <w:rsid w:val="1E6D42C6"/>
    <w:rsid w:val="1E8B6E16"/>
    <w:rsid w:val="1E8F542F"/>
    <w:rsid w:val="1E920373"/>
    <w:rsid w:val="1EC2624D"/>
    <w:rsid w:val="1EEE382D"/>
    <w:rsid w:val="1EF51209"/>
    <w:rsid w:val="1F0A0970"/>
    <w:rsid w:val="1F0A1CF0"/>
    <w:rsid w:val="1F122256"/>
    <w:rsid w:val="1F1A307E"/>
    <w:rsid w:val="1F1C17FB"/>
    <w:rsid w:val="1F2A6718"/>
    <w:rsid w:val="1F675304"/>
    <w:rsid w:val="1F6F0A9A"/>
    <w:rsid w:val="1F766018"/>
    <w:rsid w:val="1F932092"/>
    <w:rsid w:val="1FB25319"/>
    <w:rsid w:val="1FC4124F"/>
    <w:rsid w:val="1FD2221E"/>
    <w:rsid w:val="1FDF119E"/>
    <w:rsid w:val="1FE00127"/>
    <w:rsid w:val="20844362"/>
    <w:rsid w:val="20CB2F2E"/>
    <w:rsid w:val="20CC4AE9"/>
    <w:rsid w:val="20CF3E0A"/>
    <w:rsid w:val="211427F1"/>
    <w:rsid w:val="211D3F48"/>
    <w:rsid w:val="21296C66"/>
    <w:rsid w:val="21306063"/>
    <w:rsid w:val="21446639"/>
    <w:rsid w:val="214D7F75"/>
    <w:rsid w:val="21692402"/>
    <w:rsid w:val="21782D76"/>
    <w:rsid w:val="21871A82"/>
    <w:rsid w:val="219A6E87"/>
    <w:rsid w:val="21AC1370"/>
    <w:rsid w:val="21AC6C50"/>
    <w:rsid w:val="21B53414"/>
    <w:rsid w:val="21CD7397"/>
    <w:rsid w:val="21FE0428"/>
    <w:rsid w:val="2217649A"/>
    <w:rsid w:val="22292C54"/>
    <w:rsid w:val="222E7163"/>
    <w:rsid w:val="223E6B17"/>
    <w:rsid w:val="226814A4"/>
    <w:rsid w:val="22866B81"/>
    <w:rsid w:val="22B14F20"/>
    <w:rsid w:val="22C2681B"/>
    <w:rsid w:val="22CE0CE0"/>
    <w:rsid w:val="22D26DD6"/>
    <w:rsid w:val="23103DC5"/>
    <w:rsid w:val="23196DCB"/>
    <w:rsid w:val="232B5DC1"/>
    <w:rsid w:val="23367B85"/>
    <w:rsid w:val="23400FE6"/>
    <w:rsid w:val="23507C9A"/>
    <w:rsid w:val="23601877"/>
    <w:rsid w:val="2379063C"/>
    <w:rsid w:val="2385142A"/>
    <w:rsid w:val="23965D35"/>
    <w:rsid w:val="23A841AA"/>
    <w:rsid w:val="23B03EC3"/>
    <w:rsid w:val="23C748F0"/>
    <w:rsid w:val="23D116CA"/>
    <w:rsid w:val="23E303FA"/>
    <w:rsid w:val="240D15B4"/>
    <w:rsid w:val="240D7F6A"/>
    <w:rsid w:val="241430A6"/>
    <w:rsid w:val="24292561"/>
    <w:rsid w:val="24575A93"/>
    <w:rsid w:val="245D650D"/>
    <w:rsid w:val="24651576"/>
    <w:rsid w:val="249F2143"/>
    <w:rsid w:val="24BC4775"/>
    <w:rsid w:val="24BE2F37"/>
    <w:rsid w:val="24C904D9"/>
    <w:rsid w:val="24D779BE"/>
    <w:rsid w:val="252E1698"/>
    <w:rsid w:val="25305FAE"/>
    <w:rsid w:val="25326A1A"/>
    <w:rsid w:val="25441CD4"/>
    <w:rsid w:val="255F7AD2"/>
    <w:rsid w:val="256D4FBD"/>
    <w:rsid w:val="257706D1"/>
    <w:rsid w:val="25800D6B"/>
    <w:rsid w:val="25842F03"/>
    <w:rsid w:val="259D3142"/>
    <w:rsid w:val="25A22420"/>
    <w:rsid w:val="25C10A2A"/>
    <w:rsid w:val="25E16A1E"/>
    <w:rsid w:val="25E30DED"/>
    <w:rsid w:val="25F36E5D"/>
    <w:rsid w:val="25FD5DBC"/>
    <w:rsid w:val="261B21F9"/>
    <w:rsid w:val="26263565"/>
    <w:rsid w:val="2627224F"/>
    <w:rsid w:val="262A3428"/>
    <w:rsid w:val="26381B56"/>
    <w:rsid w:val="26485166"/>
    <w:rsid w:val="26507C71"/>
    <w:rsid w:val="268F0627"/>
    <w:rsid w:val="26A2016B"/>
    <w:rsid w:val="26AA088B"/>
    <w:rsid w:val="26B8793C"/>
    <w:rsid w:val="26E2523D"/>
    <w:rsid w:val="26F110EE"/>
    <w:rsid w:val="26F35B53"/>
    <w:rsid w:val="270C7E7B"/>
    <w:rsid w:val="27130BCF"/>
    <w:rsid w:val="27180E6A"/>
    <w:rsid w:val="271E393C"/>
    <w:rsid w:val="27210BF0"/>
    <w:rsid w:val="27256821"/>
    <w:rsid w:val="27422847"/>
    <w:rsid w:val="2748204C"/>
    <w:rsid w:val="274E3F04"/>
    <w:rsid w:val="27581696"/>
    <w:rsid w:val="27664E96"/>
    <w:rsid w:val="278F4995"/>
    <w:rsid w:val="27C72359"/>
    <w:rsid w:val="27D10E9E"/>
    <w:rsid w:val="27DB5B88"/>
    <w:rsid w:val="27DC4C9A"/>
    <w:rsid w:val="27E22780"/>
    <w:rsid w:val="27E33239"/>
    <w:rsid w:val="27F22F16"/>
    <w:rsid w:val="28123DA1"/>
    <w:rsid w:val="281B3B44"/>
    <w:rsid w:val="28214CFF"/>
    <w:rsid w:val="282E3D83"/>
    <w:rsid w:val="28307B03"/>
    <w:rsid w:val="28330349"/>
    <w:rsid w:val="28335AC5"/>
    <w:rsid w:val="284B7D71"/>
    <w:rsid w:val="286813CA"/>
    <w:rsid w:val="286D3712"/>
    <w:rsid w:val="287C56BE"/>
    <w:rsid w:val="28877B07"/>
    <w:rsid w:val="28A9643C"/>
    <w:rsid w:val="28B34564"/>
    <w:rsid w:val="28E404B6"/>
    <w:rsid w:val="291474C8"/>
    <w:rsid w:val="29304A14"/>
    <w:rsid w:val="294409BC"/>
    <w:rsid w:val="29542149"/>
    <w:rsid w:val="29690D96"/>
    <w:rsid w:val="297306E7"/>
    <w:rsid w:val="299C5EA6"/>
    <w:rsid w:val="29A82408"/>
    <w:rsid w:val="29B46D85"/>
    <w:rsid w:val="29B80983"/>
    <w:rsid w:val="29BC04F7"/>
    <w:rsid w:val="29DB5624"/>
    <w:rsid w:val="29EC16EE"/>
    <w:rsid w:val="29F551F9"/>
    <w:rsid w:val="29FA2986"/>
    <w:rsid w:val="29FC5621"/>
    <w:rsid w:val="2A337FFE"/>
    <w:rsid w:val="2A4A0382"/>
    <w:rsid w:val="2A581BB7"/>
    <w:rsid w:val="2A604683"/>
    <w:rsid w:val="2A641987"/>
    <w:rsid w:val="2A7439CC"/>
    <w:rsid w:val="2A9E1584"/>
    <w:rsid w:val="2AA02867"/>
    <w:rsid w:val="2AAF32C7"/>
    <w:rsid w:val="2AB2663D"/>
    <w:rsid w:val="2AB357E7"/>
    <w:rsid w:val="2ABC3EF1"/>
    <w:rsid w:val="2ACE6D9F"/>
    <w:rsid w:val="2AF439C2"/>
    <w:rsid w:val="2AF76423"/>
    <w:rsid w:val="2AFC6512"/>
    <w:rsid w:val="2B127165"/>
    <w:rsid w:val="2B1D2437"/>
    <w:rsid w:val="2B1D4B24"/>
    <w:rsid w:val="2B395A62"/>
    <w:rsid w:val="2B3D1D94"/>
    <w:rsid w:val="2B467033"/>
    <w:rsid w:val="2B562E8F"/>
    <w:rsid w:val="2B63494F"/>
    <w:rsid w:val="2B850876"/>
    <w:rsid w:val="2B977A24"/>
    <w:rsid w:val="2BB23B01"/>
    <w:rsid w:val="2BC22732"/>
    <w:rsid w:val="2BD945D0"/>
    <w:rsid w:val="2BE43FF8"/>
    <w:rsid w:val="2BE500BB"/>
    <w:rsid w:val="2C023E6C"/>
    <w:rsid w:val="2C05511C"/>
    <w:rsid w:val="2C0A2998"/>
    <w:rsid w:val="2C3A7B0C"/>
    <w:rsid w:val="2C662F70"/>
    <w:rsid w:val="2C665384"/>
    <w:rsid w:val="2C702887"/>
    <w:rsid w:val="2C792EE7"/>
    <w:rsid w:val="2C8459F5"/>
    <w:rsid w:val="2C8F2FAE"/>
    <w:rsid w:val="2CAC46BC"/>
    <w:rsid w:val="2CBE21D0"/>
    <w:rsid w:val="2CC9536F"/>
    <w:rsid w:val="2CF617E0"/>
    <w:rsid w:val="2CF918A8"/>
    <w:rsid w:val="2D044742"/>
    <w:rsid w:val="2D095047"/>
    <w:rsid w:val="2D163A5B"/>
    <w:rsid w:val="2D164FB2"/>
    <w:rsid w:val="2D57217D"/>
    <w:rsid w:val="2D63372F"/>
    <w:rsid w:val="2D673581"/>
    <w:rsid w:val="2D8C334E"/>
    <w:rsid w:val="2DAA58FD"/>
    <w:rsid w:val="2DBB723B"/>
    <w:rsid w:val="2DC37DF1"/>
    <w:rsid w:val="2DC7118A"/>
    <w:rsid w:val="2DC94D0E"/>
    <w:rsid w:val="2DDD4AFC"/>
    <w:rsid w:val="2DF33822"/>
    <w:rsid w:val="2DFE3B11"/>
    <w:rsid w:val="2E0D173F"/>
    <w:rsid w:val="2E107BBE"/>
    <w:rsid w:val="2E154BCE"/>
    <w:rsid w:val="2E650202"/>
    <w:rsid w:val="2E825B76"/>
    <w:rsid w:val="2E9F4D4B"/>
    <w:rsid w:val="2EBA7E09"/>
    <w:rsid w:val="2EC61441"/>
    <w:rsid w:val="2ED33DA4"/>
    <w:rsid w:val="2ED8069F"/>
    <w:rsid w:val="2ED97577"/>
    <w:rsid w:val="2EF67F2A"/>
    <w:rsid w:val="2F054C2F"/>
    <w:rsid w:val="2F0B25ED"/>
    <w:rsid w:val="2F202982"/>
    <w:rsid w:val="2F42550A"/>
    <w:rsid w:val="2F427F66"/>
    <w:rsid w:val="2F4607D4"/>
    <w:rsid w:val="2F4A1FBC"/>
    <w:rsid w:val="2F4E6783"/>
    <w:rsid w:val="2F54225E"/>
    <w:rsid w:val="2F554D7F"/>
    <w:rsid w:val="2F5E2620"/>
    <w:rsid w:val="2F611ABC"/>
    <w:rsid w:val="2F730CA2"/>
    <w:rsid w:val="2F7B1439"/>
    <w:rsid w:val="2F8512FC"/>
    <w:rsid w:val="2F8651FC"/>
    <w:rsid w:val="2F9360ED"/>
    <w:rsid w:val="2F984ABB"/>
    <w:rsid w:val="2F9D27F2"/>
    <w:rsid w:val="2FAE4570"/>
    <w:rsid w:val="2FB2060B"/>
    <w:rsid w:val="2FB72194"/>
    <w:rsid w:val="2FB80910"/>
    <w:rsid w:val="2FC84604"/>
    <w:rsid w:val="2FCA31B3"/>
    <w:rsid w:val="2FD03E7A"/>
    <w:rsid w:val="2FD858D0"/>
    <w:rsid w:val="2FDD4C94"/>
    <w:rsid w:val="2FE06433"/>
    <w:rsid w:val="2FE32412"/>
    <w:rsid w:val="2FF977F8"/>
    <w:rsid w:val="30346EAA"/>
    <w:rsid w:val="30347F65"/>
    <w:rsid w:val="304004EE"/>
    <w:rsid w:val="30444CE2"/>
    <w:rsid w:val="304A7540"/>
    <w:rsid w:val="3050298E"/>
    <w:rsid w:val="30561692"/>
    <w:rsid w:val="30746ED4"/>
    <w:rsid w:val="3093532E"/>
    <w:rsid w:val="30AA13BF"/>
    <w:rsid w:val="30AC409C"/>
    <w:rsid w:val="30CE0C2B"/>
    <w:rsid w:val="30E06330"/>
    <w:rsid w:val="30E32AD8"/>
    <w:rsid w:val="310C4A4C"/>
    <w:rsid w:val="31195802"/>
    <w:rsid w:val="31203B61"/>
    <w:rsid w:val="312B5ED3"/>
    <w:rsid w:val="313C46B1"/>
    <w:rsid w:val="31496359"/>
    <w:rsid w:val="31636135"/>
    <w:rsid w:val="316B49E7"/>
    <w:rsid w:val="317A456E"/>
    <w:rsid w:val="31926D16"/>
    <w:rsid w:val="31A1306B"/>
    <w:rsid w:val="31AD68E8"/>
    <w:rsid w:val="31D4278E"/>
    <w:rsid w:val="31E00DBC"/>
    <w:rsid w:val="31E050E3"/>
    <w:rsid w:val="31FE6D95"/>
    <w:rsid w:val="3229052E"/>
    <w:rsid w:val="324E226E"/>
    <w:rsid w:val="32906188"/>
    <w:rsid w:val="32AC2784"/>
    <w:rsid w:val="32B15F25"/>
    <w:rsid w:val="32B37816"/>
    <w:rsid w:val="32D13A97"/>
    <w:rsid w:val="32D4454C"/>
    <w:rsid w:val="32F13CB0"/>
    <w:rsid w:val="32F341BB"/>
    <w:rsid w:val="32FF588D"/>
    <w:rsid w:val="33023583"/>
    <w:rsid w:val="331761A9"/>
    <w:rsid w:val="33370B5F"/>
    <w:rsid w:val="3341058C"/>
    <w:rsid w:val="334119DE"/>
    <w:rsid w:val="33434A04"/>
    <w:rsid w:val="33437504"/>
    <w:rsid w:val="335C0F0C"/>
    <w:rsid w:val="336819F9"/>
    <w:rsid w:val="336C6DA8"/>
    <w:rsid w:val="336E39CC"/>
    <w:rsid w:val="338167C8"/>
    <w:rsid w:val="33897CA5"/>
    <w:rsid w:val="33AF5265"/>
    <w:rsid w:val="33C95B41"/>
    <w:rsid w:val="33D36D85"/>
    <w:rsid w:val="33D4590D"/>
    <w:rsid w:val="33DC601A"/>
    <w:rsid w:val="33F43289"/>
    <w:rsid w:val="344A3B15"/>
    <w:rsid w:val="344A5CAF"/>
    <w:rsid w:val="34627E84"/>
    <w:rsid w:val="346678FC"/>
    <w:rsid w:val="34751FF9"/>
    <w:rsid w:val="34761B3D"/>
    <w:rsid w:val="3493296C"/>
    <w:rsid w:val="349E727F"/>
    <w:rsid w:val="34A270A1"/>
    <w:rsid w:val="34AF02AF"/>
    <w:rsid w:val="34B1740A"/>
    <w:rsid w:val="34B2000D"/>
    <w:rsid w:val="34C10A99"/>
    <w:rsid w:val="34C35095"/>
    <w:rsid w:val="34CF2A53"/>
    <w:rsid w:val="34ED2EF3"/>
    <w:rsid w:val="34F26246"/>
    <w:rsid w:val="34FB6280"/>
    <w:rsid w:val="35191C89"/>
    <w:rsid w:val="351D0F8A"/>
    <w:rsid w:val="353D7E93"/>
    <w:rsid w:val="35530B97"/>
    <w:rsid w:val="35534D2B"/>
    <w:rsid w:val="35884C5D"/>
    <w:rsid w:val="359663C1"/>
    <w:rsid w:val="35CB32CD"/>
    <w:rsid w:val="35D15E83"/>
    <w:rsid w:val="35D74205"/>
    <w:rsid w:val="35DD3A09"/>
    <w:rsid w:val="35E335ED"/>
    <w:rsid w:val="35EB2480"/>
    <w:rsid w:val="35F82C40"/>
    <w:rsid w:val="360E3D96"/>
    <w:rsid w:val="361851AE"/>
    <w:rsid w:val="36462C93"/>
    <w:rsid w:val="364F1CC8"/>
    <w:rsid w:val="36504388"/>
    <w:rsid w:val="36745C27"/>
    <w:rsid w:val="3683080E"/>
    <w:rsid w:val="36860188"/>
    <w:rsid w:val="36860419"/>
    <w:rsid w:val="368D0A96"/>
    <w:rsid w:val="369F5F8F"/>
    <w:rsid w:val="36CC15BF"/>
    <w:rsid w:val="36D01BBB"/>
    <w:rsid w:val="36D72354"/>
    <w:rsid w:val="36D954F0"/>
    <w:rsid w:val="36FC05EC"/>
    <w:rsid w:val="370666E5"/>
    <w:rsid w:val="372431A9"/>
    <w:rsid w:val="37297C22"/>
    <w:rsid w:val="37342434"/>
    <w:rsid w:val="373F5FFA"/>
    <w:rsid w:val="374250EA"/>
    <w:rsid w:val="37533183"/>
    <w:rsid w:val="37623CD1"/>
    <w:rsid w:val="376B6B46"/>
    <w:rsid w:val="377834F5"/>
    <w:rsid w:val="37812ADE"/>
    <w:rsid w:val="3782361C"/>
    <w:rsid w:val="37AE5168"/>
    <w:rsid w:val="37B0148C"/>
    <w:rsid w:val="37BC77EB"/>
    <w:rsid w:val="37C76A54"/>
    <w:rsid w:val="37E43D94"/>
    <w:rsid w:val="381C46E4"/>
    <w:rsid w:val="382660E9"/>
    <w:rsid w:val="3838588B"/>
    <w:rsid w:val="383A131B"/>
    <w:rsid w:val="3857135C"/>
    <w:rsid w:val="38584D39"/>
    <w:rsid w:val="385F1A9D"/>
    <w:rsid w:val="38662DB9"/>
    <w:rsid w:val="3884005D"/>
    <w:rsid w:val="38887E1E"/>
    <w:rsid w:val="388A03D1"/>
    <w:rsid w:val="388E5A7C"/>
    <w:rsid w:val="389712F2"/>
    <w:rsid w:val="38BC5D6B"/>
    <w:rsid w:val="38EA224E"/>
    <w:rsid w:val="39010974"/>
    <w:rsid w:val="392F37D6"/>
    <w:rsid w:val="39324885"/>
    <w:rsid w:val="3935437F"/>
    <w:rsid w:val="394153A0"/>
    <w:rsid w:val="39496D47"/>
    <w:rsid w:val="39541F4B"/>
    <w:rsid w:val="395A5ED6"/>
    <w:rsid w:val="395C5C3C"/>
    <w:rsid w:val="39624BFA"/>
    <w:rsid w:val="398630C2"/>
    <w:rsid w:val="39872601"/>
    <w:rsid w:val="39917E8F"/>
    <w:rsid w:val="399B7C4C"/>
    <w:rsid w:val="39A03524"/>
    <w:rsid w:val="39AA1BD5"/>
    <w:rsid w:val="39B431AE"/>
    <w:rsid w:val="39C90037"/>
    <w:rsid w:val="39DA3426"/>
    <w:rsid w:val="39DC7D6B"/>
    <w:rsid w:val="39E901AB"/>
    <w:rsid w:val="39E91C6F"/>
    <w:rsid w:val="39E972D2"/>
    <w:rsid w:val="39F63F04"/>
    <w:rsid w:val="3A0B39E8"/>
    <w:rsid w:val="3A1060D4"/>
    <w:rsid w:val="3A172483"/>
    <w:rsid w:val="3A371577"/>
    <w:rsid w:val="3A3E0552"/>
    <w:rsid w:val="3A4349CF"/>
    <w:rsid w:val="3A5F03E5"/>
    <w:rsid w:val="3A8D3267"/>
    <w:rsid w:val="3A920D71"/>
    <w:rsid w:val="3AAC17D9"/>
    <w:rsid w:val="3AC24B1F"/>
    <w:rsid w:val="3AD30754"/>
    <w:rsid w:val="3B1074A7"/>
    <w:rsid w:val="3B434A56"/>
    <w:rsid w:val="3B44266C"/>
    <w:rsid w:val="3B465D26"/>
    <w:rsid w:val="3B4F12B2"/>
    <w:rsid w:val="3B514955"/>
    <w:rsid w:val="3B522C74"/>
    <w:rsid w:val="3B6A4BE7"/>
    <w:rsid w:val="3B730A2C"/>
    <w:rsid w:val="3B8D15A9"/>
    <w:rsid w:val="3B9F138E"/>
    <w:rsid w:val="3BC52D7F"/>
    <w:rsid w:val="3BC85587"/>
    <w:rsid w:val="3BE572AB"/>
    <w:rsid w:val="3BF24A4D"/>
    <w:rsid w:val="3BFB4679"/>
    <w:rsid w:val="3C0161AE"/>
    <w:rsid w:val="3C0173CA"/>
    <w:rsid w:val="3C0A04BB"/>
    <w:rsid w:val="3C29300F"/>
    <w:rsid w:val="3C6875A8"/>
    <w:rsid w:val="3C7057AE"/>
    <w:rsid w:val="3C7C54C0"/>
    <w:rsid w:val="3C925D30"/>
    <w:rsid w:val="3CA561BC"/>
    <w:rsid w:val="3CA8627B"/>
    <w:rsid w:val="3CA97F92"/>
    <w:rsid w:val="3CAA2A83"/>
    <w:rsid w:val="3CAB10FF"/>
    <w:rsid w:val="3CB04AB6"/>
    <w:rsid w:val="3CCE0013"/>
    <w:rsid w:val="3CD25D00"/>
    <w:rsid w:val="3D0A6FE1"/>
    <w:rsid w:val="3D1A798A"/>
    <w:rsid w:val="3D2E2FD3"/>
    <w:rsid w:val="3D3712B0"/>
    <w:rsid w:val="3D4B442E"/>
    <w:rsid w:val="3D641AB8"/>
    <w:rsid w:val="3D6F0419"/>
    <w:rsid w:val="3D7D48B2"/>
    <w:rsid w:val="3D853AE2"/>
    <w:rsid w:val="3DB312DB"/>
    <w:rsid w:val="3DB724DE"/>
    <w:rsid w:val="3DC70F93"/>
    <w:rsid w:val="3DF95BC0"/>
    <w:rsid w:val="3E0408A1"/>
    <w:rsid w:val="3E2E431B"/>
    <w:rsid w:val="3E523A8B"/>
    <w:rsid w:val="3E622809"/>
    <w:rsid w:val="3E74486F"/>
    <w:rsid w:val="3E996386"/>
    <w:rsid w:val="3EAA2F9C"/>
    <w:rsid w:val="3EC62D9D"/>
    <w:rsid w:val="3EC7628C"/>
    <w:rsid w:val="3EDC2981"/>
    <w:rsid w:val="3F0C2C0C"/>
    <w:rsid w:val="3F3B102C"/>
    <w:rsid w:val="3F4B7E80"/>
    <w:rsid w:val="3F564F3B"/>
    <w:rsid w:val="3F5A50A4"/>
    <w:rsid w:val="3F8844F1"/>
    <w:rsid w:val="3FA25C8D"/>
    <w:rsid w:val="3FA46EF8"/>
    <w:rsid w:val="3FAA0D21"/>
    <w:rsid w:val="3FAF25B4"/>
    <w:rsid w:val="3FC035F5"/>
    <w:rsid w:val="3FC62186"/>
    <w:rsid w:val="3FD802C3"/>
    <w:rsid w:val="3FDA0AC6"/>
    <w:rsid w:val="3FE03F00"/>
    <w:rsid w:val="3FF53461"/>
    <w:rsid w:val="40271AC2"/>
    <w:rsid w:val="40420551"/>
    <w:rsid w:val="40596BBF"/>
    <w:rsid w:val="409E0693"/>
    <w:rsid w:val="40DA4C13"/>
    <w:rsid w:val="40E82081"/>
    <w:rsid w:val="40FA66A1"/>
    <w:rsid w:val="410207FD"/>
    <w:rsid w:val="41181D29"/>
    <w:rsid w:val="412579B8"/>
    <w:rsid w:val="41303C39"/>
    <w:rsid w:val="41344F72"/>
    <w:rsid w:val="414B2E3E"/>
    <w:rsid w:val="414C69F9"/>
    <w:rsid w:val="414F74CB"/>
    <w:rsid w:val="415B6654"/>
    <w:rsid w:val="415F184A"/>
    <w:rsid w:val="417C22B1"/>
    <w:rsid w:val="417C2EE6"/>
    <w:rsid w:val="41830FF6"/>
    <w:rsid w:val="41A0365E"/>
    <w:rsid w:val="41B423A3"/>
    <w:rsid w:val="41C92B51"/>
    <w:rsid w:val="41D301C3"/>
    <w:rsid w:val="41D623AF"/>
    <w:rsid w:val="41D75A49"/>
    <w:rsid w:val="41E270E0"/>
    <w:rsid w:val="41E618AB"/>
    <w:rsid w:val="41EE3316"/>
    <w:rsid w:val="41F94D31"/>
    <w:rsid w:val="42071D2B"/>
    <w:rsid w:val="421F37EB"/>
    <w:rsid w:val="422F49B3"/>
    <w:rsid w:val="423E48AF"/>
    <w:rsid w:val="425B6E5D"/>
    <w:rsid w:val="425E7507"/>
    <w:rsid w:val="42651F6F"/>
    <w:rsid w:val="42782BB3"/>
    <w:rsid w:val="42802614"/>
    <w:rsid w:val="4288071B"/>
    <w:rsid w:val="42B01704"/>
    <w:rsid w:val="42B21F0C"/>
    <w:rsid w:val="42B47A47"/>
    <w:rsid w:val="42BA26F6"/>
    <w:rsid w:val="42CA32DA"/>
    <w:rsid w:val="42CC4106"/>
    <w:rsid w:val="42E068CB"/>
    <w:rsid w:val="42F1123A"/>
    <w:rsid w:val="43062143"/>
    <w:rsid w:val="430E5815"/>
    <w:rsid w:val="433858A5"/>
    <w:rsid w:val="43395A3D"/>
    <w:rsid w:val="433E126A"/>
    <w:rsid w:val="434B168B"/>
    <w:rsid w:val="43916E7D"/>
    <w:rsid w:val="43920E07"/>
    <w:rsid w:val="43951B04"/>
    <w:rsid w:val="43BD670A"/>
    <w:rsid w:val="43CC185B"/>
    <w:rsid w:val="43F839F3"/>
    <w:rsid w:val="440650A9"/>
    <w:rsid w:val="441D7748"/>
    <w:rsid w:val="442F3C65"/>
    <w:rsid w:val="4445263B"/>
    <w:rsid w:val="44495CCC"/>
    <w:rsid w:val="446073A9"/>
    <w:rsid w:val="447C0BC3"/>
    <w:rsid w:val="44817707"/>
    <w:rsid w:val="44893B14"/>
    <w:rsid w:val="4492209A"/>
    <w:rsid w:val="449550E8"/>
    <w:rsid w:val="44984355"/>
    <w:rsid w:val="44A31A4E"/>
    <w:rsid w:val="44A8226D"/>
    <w:rsid w:val="44A94CD1"/>
    <w:rsid w:val="44B20E8F"/>
    <w:rsid w:val="44CC2C4F"/>
    <w:rsid w:val="44D2447D"/>
    <w:rsid w:val="44EB1CFA"/>
    <w:rsid w:val="450D015E"/>
    <w:rsid w:val="451066F7"/>
    <w:rsid w:val="4524498B"/>
    <w:rsid w:val="45441EC4"/>
    <w:rsid w:val="455238D0"/>
    <w:rsid w:val="45614FDD"/>
    <w:rsid w:val="4591352D"/>
    <w:rsid w:val="45923E02"/>
    <w:rsid w:val="45B4375E"/>
    <w:rsid w:val="45EA1A61"/>
    <w:rsid w:val="45FB5A7C"/>
    <w:rsid w:val="4601483F"/>
    <w:rsid w:val="46167051"/>
    <w:rsid w:val="461C425A"/>
    <w:rsid w:val="462970E0"/>
    <w:rsid w:val="464E3334"/>
    <w:rsid w:val="465A276D"/>
    <w:rsid w:val="465C410E"/>
    <w:rsid w:val="4673420D"/>
    <w:rsid w:val="46760020"/>
    <w:rsid w:val="467E17E7"/>
    <w:rsid w:val="468613F2"/>
    <w:rsid w:val="46A26AC9"/>
    <w:rsid w:val="46A60219"/>
    <w:rsid w:val="46A666BA"/>
    <w:rsid w:val="46A7659A"/>
    <w:rsid w:val="46B12139"/>
    <w:rsid w:val="46B60D0E"/>
    <w:rsid w:val="46C853F2"/>
    <w:rsid w:val="46CD6BE6"/>
    <w:rsid w:val="46DF4035"/>
    <w:rsid w:val="46F722E3"/>
    <w:rsid w:val="47061262"/>
    <w:rsid w:val="470F24AF"/>
    <w:rsid w:val="4734684B"/>
    <w:rsid w:val="473B542C"/>
    <w:rsid w:val="476963A2"/>
    <w:rsid w:val="476A5FE9"/>
    <w:rsid w:val="4780564D"/>
    <w:rsid w:val="47A34C1F"/>
    <w:rsid w:val="47AC789F"/>
    <w:rsid w:val="47B61331"/>
    <w:rsid w:val="47C22C96"/>
    <w:rsid w:val="47CC1367"/>
    <w:rsid w:val="47DB5304"/>
    <w:rsid w:val="480D1A37"/>
    <w:rsid w:val="4822572A"/>
    <w:rsid w:val="482570D8"/>
    <w:rsid w:val="48416E7A"/>
    <w:rsid w:val="485B2019"/>
    <w:rsid w:val="485D5571"/>
    <w:rsid w:val="4893623C"/>
    <w:rsid w:val="489E3DB8"/>
    <w:rsid w:val="48A37977"/>
    <w:rsid w:val="48DB7360"/>
    <w:rsid w:val="48EE4583"/>
    <w:rsid w:val="48FF5525"/>
    <w:rsid w:val="49001E86"/>
    <w:rsid w:val="490B4C39"/>
    <w:rsid w:val="49105464"/>
    <w:rsid w:val="491E3E6B"/>
    <w:rsid w:val="4920485E"/>
    <w:rsid w:val="494E4182"/>
    <w:rsid w:val="4958796C"/>
    <w:rsid w:val="49634005"/>
    <w:rsid w:val="497C5BD0"/>
    <w:rsid w:val="499E328F"/>
    <w:rsid w:val="499E5E25"/>
    <w:rsid w:val="49BF27C0"/>
    <w:rsid w:val="49DF5FC6"/>
    <w:rsid w:val="49F639AF"/>
    <w:rsid w:val="49F64E88"/>
    <w:rsid w:val="49F926F8"/>
    <w:rsid w:val="49F93112"/>
    <w:rsid w:val="4A234FEC"/>
    <w:rsid w:val="4A2A4C4A"/>
    <w:rsid w:val="4A2B1CEF"/>
    <w:rsid w:val="4A3B288C"/>
    <w:rsid w:val="4A527BD5"/>
    <w:rsid w:val="4A8C5C10"/>
    <w:rsid w:val="4A92633D"/>
    <w:rsid w:val="4AB30EDE"/>
    <w:rsid w:val="4ADB63A1"/>
    <w:rsid w:val="4ADE1E17"/>
    <w:rsid w:val="4AF34F66"/>
    <w:rsid w:val="4B2C5AC5"/>
    <w:rsid w:val="4B307434"/>
    <w:rsid w:val="4B341F77"/>
    <w:rsid w:val="4B403894"/>
    <w:rsid w:val="4B410EDA"/>
    <w:rsid w:val="4B537A20"/>
    <w:rsid w:val="4B643D38"/>
    <w:rsid w:val="4B6442B0"/>
    <w:rsid w:val="4B6C6D63"/>
    <w:rsid w:val="4B7D207A"/>
    <w:rsid w:val="4B842010"/>
    <w:rsid w:val="4B875EB6"/>
    <w:rsid w:val="4BA47B75"/>
    <w:rsid w:val="4BAD1EF1"/>
    <w:rsid w:val="4BB2318A"/>
    <w:rsid w:val="4BBA6469"/>
    <w:rsid w:val="4BBC1E06"/>
    <w:rsid w:val="4BBE0B8F"/>
    <w:rsid w:val="4BD73847"/>
    <w:rsid w:val="4BE315C6"/>
    <w:rsid w:val="4BF700F5"/>
    <w:rsid w:val="4BFE381D"/>
    <w:rsid w:val="4C273CBA"/>
    <w:rsid w:val="4C2F62F0"/>
    <w:rsid w:val="4C374D55"/>
    <w:rsid w:val="4C6514B0"/>
    <w:rsid w:val="4C6C0D90"/>
    <w:rsid w:val="4C7D1FFD"/>
    <w:rsid w:val="4C7F7653"/>
    <w:rsid w:val="4CA606B1"/>
    <w:rsid w:val="4CBE35C9"/>
    <w:rsid w:val="4CDF633C"/>
    <w:rsid w:val="4CEC183C"/>
    <w:rsid w:val="4CF208FC"/>
    <w:rsid w:val="4CF5763E"/>
    <w:rsid w:val="4D2E01D8"/>
    <w:rsid w:val="4D3F0EA5"/>
    <w:rsid w:val="4D3F7CBF"/>
    <w:rsid w:val="4D4C3A0B"/>
    <w:rsid w:val="4D62389D"/>
    <w:rsid w:val="4D8C30FC"/>
    <w:rsid w:val="4D950505"/>
    <w:rsid w:val="4DC46301"/>
    <w:rsid w:val="4DDC11A7"/>
    <w:rsid w:val="4DF26A63"/>
    <w:rsid w:val="4DF60896"/>
    <w:rsid w:val="4DFE3CC8"/>
    <w:rsid w:val="4E0B0F23"/>
    <w:rsid w:val="4E2F2707"/>
    <w:rsid w:val="4E4E418E"/>
    <w:rsid w:val="4E763E41"/>
    <w:rsid w:val="4E7B1501"/>
    <w:rsid w:val="4E9764FE"/>
    <w:rsid w:val="4E9B6179"/>
    <w:rsid w:val="4EB32A50"/>
    <w:rsid w:val="4EB9175E"/>
    <w:rsid w:val="4ED718CA"/>
    <w:rsid w:val="4EE90884"/>
    <w:rsid w:val="4F007553"/>
    <w:rsid w:val="4F025B95"/>
    <w:rsid w:val="4F0911AA"/>
    <w:rsid w:val="4F0A7123"/>
    <w:rsid w:val="4F1C1A77"/>
    <w:rsid w:val="4F2A3762"/>
    <w:rsid w:val="4F2E0DB1"/>
    <w:rsid w:val="4F584317"/>
    <w:rsid w:val="4F7A5394"/>
    <w:rsid w:val="4F9B67B6"/>
    <w:rsid w:val="4FAA50FC"/>
    <w:rsid w:val="4FAD422B"/>
    <w:rsid w:val="4FB55561"/>
    <w:rsid w:val="4FD41C1D"/>
    <w:rsid w:val="4FD54DAA"/>
    <w:rsid w:val="4FD7316C"/>
    <w:rsid w:val="4FED2322"/>
    <w:rsid w:val="4FF74011"/>
    <w:rsid w:val="4FFD53C6"/>
    <w:rsid w:val="50162A99"/>
    <w:rsid w:val="503D1B16"/>
    <w:rsid w:val="506610A6"/>
    <w:rsid w:val="5074268E"/>
    <w:rsid w:val="507D060C"/>
    <w:rsid w:val="50837A2E"/>
    <w:rsid w:val="50864D02"/>
    <w:rsid w:val="508D060E"/>
    <w:rsid w:val="508E47DC"/>
    <w:rsid w:val="50A15458"/>
    <w:rsid w:val="50A940E7"/>
    <w:rsid w:val="50AE3F83"/>
    <w:rsid w:val="50CF7A4B"/>
    <w:rsid w:val="50D31A47"/>
    <w:rsid w:val="50DE238B"/>
    <w:rsid w:val="50DF40CB"/>
    <w:rsid w:val="51022777"/>
    <w:rsid w:val="51257A38"/>
    <w:rsid w:val="512B3DE9"/>
    <w:rsid w:val="5137564E"/>
    <w:rsid w:val="514C5DF3"/>
    <w:rsid w:val="515B0FAE"/>
    <w:rsid w:val="515C0CB9"/>
    <w:rsid w:val="516C1A4D"/>
    <w:rsid w:val="516E18FA"/>
    <w:rsid w:val="51713B4F"/>
    <w:rsid w:val="51786173"/>
    <w:rsid w:val="517D08DC"/>
    <w:rsid w:val="51895E13"/>
    <w:rsid w:val="51A846EE"/>
    <w:rsid w:val="51AD0C30"/>
    <w:rsid w:val="51B53B84"/>
    <w:rsid w:val="51BA4D6F"/>
    <w:rsid w:val="51BC6BCD"/>
    <w:rsid w:val="51BE6E5B"/>
    <w:rsid w:val="51BF3D2D"/>
    <w:rsid w:val="51C25640"/>
    <w:rsid w:val="51F10280"/>
    <w:rsid w:val="51FE6EA9"/>
    <w:rsid w:val="520923F4"/>
    <w:rsid w:val="5211020B"/>
    <w:rsid w:val="52281530"/>
    <w:rsid w:val="523D7810"/>
    <w:rsid w:val="5244201F"/>
    <w:rsid w:val="524467AD"/>
    <w:rsid w:val="52644F06"/>
    <w:rsid w:val="526E4228"/>
    <w:rsid w:val="527D207D"/>
    <w:rsid w:val="52911BE2"/>
    <w:rsid w:val="529C7037"/>
    <w:rsid w:val="529E7DC9"/>
    <w:rsid w:val="52A1157D"/>
    <w:rsid w:val="52A35376"/>
    <w:rsid w:val="52C276E1"/>
    <w:rsid w:val="52D80AEE"/>
    <w:rsid w:val="52D868E5"/>
    <w:rsid w:val="52D92843"/>
    <w:rsid w:val="52ED7778"/>
    <w:rsid w:val="52F30525"/>
    <w:rsid w:val="530C6776"/>
    <w:rsid w:val="530F2663"/>
    <w:rsid w:val="53204CE7"/>
    <w:rsid w:val="53225A6F"/>
    <w:rsid w:val="532452B2"/>
    <w:rsid w:val="53317BC7"/>
    <w:rsid w:val="533D3764"/>
    <w:rsid w:val="53586CF1"/>
    <w:rsid w:val="535B4CF0"/>
    <w:rsid w:val="53776B58"/>
    <w:rsid w:val="538C5F06"/>
    <w:rsid w:val="53AD0304"/>
    <w:rsid w:val="53AF1055"/>
    <w:rsid w:val="53C2401E"/>
    <w:rsid w:val="53D35F33"/>
    <w:rsid w:val="53E06252"/>
    <w:rsid w:val="53F01C28"/>
    <w:rsid w:val="53F31DE7"/>
    <w:rsid w:val="5400093A"/>
    <w:rsid w:val="543E150A"/>
    <w:rsid w:val="54466D9E"/>
    <w:rsid w:val="5455131C"/>
    <w:rsid w:val="54913D11"/>
    <w:rsid w:val="54B80024"/>
    <w:rsid w:val="54C6778A"/>
    <w:rsid w:val="54EE0270"/>
    <w:rsid w:val="54FE5CA1"/>
    <w:rsid w:val="550942FD"/>
    <w:rsid w:val="55122D05"/>
    <w:rsid w:val="551C10A5"/>
    <w:rsid w:val="551E0533"/>
    <w:rsid w:val="5527238A"/>
    <w:rsid w:val="5528524E"/>
    <w:rsid w:val="55411377"/>
    <w:rsid w:val="55503493"/>
    <w:rsid w:val="55546EF7"/>
    <w:rsid w:val="55647559"/>
    <w:rsid w:val="5569348D"/>
    <w:rsid w:val="557A7CA1"/>
    <w:rsid w:val="557E653F"/>
    <w:rsid w:val="55992746"/>
    <w:rsid w:val="559C5E17"/>
    <w:rsid w:val="55AB528C"/>
    <w:rsid w:val="55C745C5"/>
    <w:rsid w:val="55F06C20"/>
    <w:rsid w:val="55F96F40"/>
    <w:rsid w:val="56093CBE"/>
    <w:rsid w:val="56412CDB"/>
    <w:rsid w:val="565446FB"/>
    <w:rsid w:val="565845A0"/>
    <w:rsid w:val="565B36AE"/>
    <w:rsid w:val="5662156B"/>
    <w:rsid w:val="56682BF6"/>
    <w:rsid w:val="566C6AAD"/>
    <w:rsid w:val="568A2261"/>
    <w:rsid w:val="56946323"/>
    <w:rsid w:val="569549B7"/>
    <w:rsid w:val="569B59A6"/>
    <w:rsid w:val="56A006CA"/>
    <w:rsid w:val="56AF501B"/>
    <w:rsid w:val="56C23B83"/>
    <w:rsid w:val="56D814C0"/>
    <w:rsid w:val="56DA438A"/>
    <w:rsid w:val="56E16CE0"/>
    <w:rsid w:val="56F00AC2"/>
    <w:rsid w:val="57132F95"/>
    <w:rsid w:val="572B3577"/>
    <w:rsid w:val="572D56F6"/>
    <w:rsid w:val="5746016C"/>
    <w:rsid w:val="57474393"/>
    <w:rsid w:val="5752162C"/>
    <w:rsid w:val="5764383E"/>
    <w:rsid w:val="57817915"/>
    <w:rsid w:val="578A403F"/>
    <w:rsid w:val="57D707BF"/>
    <w:rsid w:val="58160494"/>
    <w:rsid w:val="5816186C"/>
    <w:rsid w:val="582146B4"/>
    <w:rsid w:val="5827740E"/>
    <w:rsid w:val="58365D87"/>
    <w:rsid w:val="583D3C73"/>
    <w:rsid w:val="58430210"/>
    <w:rsid w:val="585A29C9"/>
    <w:rsid w:val="5863214C"/>
    <w:rsid w:val="58655DA3"/>
    <w:rsid w:val="58717162"/>
    <w:rsid w:val="58757401"/>
    <w:rsid w:val="589A70FA"/>
    <w:rsid w:val="589C31E2"/>
    <w:rsid w:val="58B8618D"/>
    <w:rsid w:val="58C10FA2"/>
    <w:rsid w:val="58D42E4B"/>
    <w:rsid w:val="58E94B0D"/>
    <w:rsid w:val="58F36659"/>
    <w:rsid w:val="591755F3"/>
    <w:rsid w:val="594357A3"/>
    <w:rsid w:val="594C3BD5"/>
    <w:rsid w:val="594D3CCF"/>
    <w:rsid w:val="596766CE"/>
    <w:rsid w:val="5979459A"/>
    <w:rsid w:val="59815DB7"/>
    <w:rsid w:val="598C33BF"/>
    <w:rsid w:val="59902BA1"/>
    <w:rsid w:val="59D63C79"/>
    <w:rsid w:val="59E5144B"/>
    <w:rsid w:val="5A001A12"/>
    <w:rsid w:val="5A05110B"/>
    <w:rsid w:val="5A167370"/>
    <w:rsid w:val="5A2B6E82"/>
    <w:rsid w:val="5A3571BF"/>
    <w:rsid w:val="5A400973"/>
    <w:rsid w:val="5A44572C"/>
    <w:rsid w:val="5A543CE0"/>
    <w:rsid w:val="5A76796C"/>
    <w:rsid w:val="5A8A6ADB"/>
    <w:rsid w:val="5A8C7937"/>
    <w:rsid w:val="5AA549B2"/>
    <w:rsid w:val="5AA97D30"/>
    <w:rsid w:val="5AEF428F"/>
    <w:rsid w:val="5AF73BD7"/>
    <w:rsid w:val="5B102583"/>
    <w:rsid w:val="5B4218B9"/>
    <w:rsid w:val="5B461090"/>
    <w:rsid w:val="5B5104F9"/>
    <w:rsid w:val="5B583585"/>
    <w:rsid w:val="5B6A7A00"/>
    <w:rsid w:val="5B7342C6"/>
    <w:rsid w:val="5B8D4F11"/>
    <w:rsid w:val="5BAC4E3A"/>
    <w:rsid w:val="5BB50F73"/>
    <w:rsid w:val="5BBC39C1"/>
    <w:rsid w:val="5BBE1F38"/>
    <w:rsid w:val="5BE0723B"/>
    <w:rsid w:val="5BE83801"/>
    <w:rsid w:val="5BF32F12"/>
    <w:rsid w:val="5C1879AB"/>
    <w:rsid w:val="5C2A0DB7"/>
    <w:rsid w:val="5C2F421A"/>
    <w:rsid w:val="5C362AF4"/>
    <w:rsid w:val="5C3A3FEF"/>
    <w:rsid w:val="5C3E4720"/>
    <w:rsid w:val="5C4864EE"/>
    <w:rsid w:val="5C526BB4"/>
    <w:rsid w:val="5C54742E"/>
    <w:rsid w:val="5C5B6DBD"/>
    <w:rsid w:val="5C623451"/>
    <w:rsid w:val="5C6A12A8"/>
    <w:rsid w:val="5C7E7028"/>
    <w:rsid w:val="5C802FB3"/>
    <w:rsid w:val="5C887779"/>
    <w:rsid w:val="5C931B49"/>
    <w:rsid w:val="5CA9700D"/>
    <w:rsid w:val="5CB611D0"/>
    <w:rsid w:val="5CB85FBE"/>
    <w:rsid w:val="5CC34110"/>
    <w:rsid w:val="5CCB7A9F"/>
    <w:rsid w:val="5CD00967"/>
    <w:rsid w:val="5D0403EA"/>
    <w:rsid w:val="5D0C69B6"/>
    <w:rsid w:val="5D1C0A4E"/>
    <w:rsid w:val="5D6F5E13"/>
    <w:rsid w:val="5D997B9D"/>
    <w:rsid w:val="5DA57059"/>
    <w:rsid w:val="5DAA6293"/>
    <w:rsid w:val="5DB22A59"/>
    <w:rsid w:val="5DBA3A03"/>
    <w:rsid w:val="5DBF1CEA"/>
    <w:rsid w:val="5DD07349"/>
    <w:rsid w:val="5DDE05F2"/>
    <w:rsid w:val="5DE4324F"/>
    <w:rsid w:val="5DE47AE6"/>
    <w:rsid w:val="5DF559F9"/>
    <w:rsid w:val="5E005E6E"/>
    <w:rsid w:val="5E074110"/>
    <w:rsid w:val="5E0B2F03"/>
    <w:rsid w:val="5E166031"/>
    <w:rsid w:val="5E177DBB"/>
    <w:rsid w:val="5E401FD5"/>
    <w:rsid w:val="5E535C74"/>
    <w:rsid w:val="5E58634F"/>
    <w:rsid w:val="5E5F7D32"/>
    <w:rsid w:val="5E8D58D4"/>
    <w:rsid w:val="5E8F7E92"/>
    <w:rsid w:val="5EAB4A6A"/>
    <w:rsid w:val="5EC52109"/>
    <w:rsid w:val="5ECC6D77"/>
    <w:rsid w:val="5EDC6635"/>
    <w:rsid w:val="5EDF242A"/>
    <w:rsid w:val="5EEC4CC9"/>
    <w:rsid w:val="5EF22D7B"/>
    <w:rsid w:val="5EF251DB"/>
    <w:rsid w:val="5F070C87"/>
    <w:rsid w:val="5F0E1170"/>
    <w:rsid w:val="5F2074EC"/>
    <w:rsid w:val="5F387DD8"/>
    <w:rsid w:val="5F4F5E04"/>
    <w:rsid w:val="5F610F9A"/>
    <w:rsid w:val="5F8D54E0"/>
    <w:rsid w:val="5F9C30A3"/>
    <w:rsid w:val="5F9C5723"/>
    <w:rsid w:val="5F9C78C7"/>
    <w:rsid w:val="5FA221C5"/>
    <w:rsid w:val="5FA5129E"/>
    <w:rsid w:val="5FE77368"/>
    <w:rsid w:val="60052A33"/>
    <w:rsid w:val="600F713A"/>
    <w:rsid w:val="601E0C67"/>
    <w:rsid w:val="602335D3"/>
    <w:rsid w:val="602B5CAC"/>
    <w:rsid w:val="603102E5"/>
    <w:rsid w:val="60442474"/>
    <w:rsid w:val="604C0EF7"/>
    <w:rsid w:val="604C589F"/>
    <w:rsid w:val="605006B0"/>
    <w:rsid w:val="60724C7A"/>
    <w:rsid w:val="607A2E69"/>
    <w:rsid w:val="60A93096"/>
    <w:rsid w:val="60C812CA"/>
    <w:rsid w:val="60CB4925"/>
    <w:rsid w:val="60CC5D68"/>
    <w:rsid w:val="60EA5183"/>
    <w:rsid w:val="6107141F"/>
    <w:rsid w:val="610F145C"/>
    <w:rsid w:val="612400C6"/>
    <w:rsid w:val="6129607F"/>
    <w:rsid w:val="613E3123"/>
    <w:rsid w:val="6156415E"/>
    <w:rsid w:val="615A42F6"/>
    <w:rsid w:val="61654D68"/>
    <w:rsid w:val="618268A6"/>
    <w:rsid w:val="6193427D"/>
    <w:rsid w:val="61B42655"/>
    <w:rsid w:val="61B64AE6"/>
    <w:rsid w:val="61BF1B71"/>
    <w:rsid w:val="61C65E09"/>
    <w:rsid w:val="61DA006A"/>
    <w:rsid w:val="61EB04E9"/>
    <w:rsid w:val="622F4266"/>
    <w:rsid w:val="62462A72"/>
    <w:rsid w:val="624727FE"/>
    <w:rsid w:val="626A7D5A"/>
    <w:rsid w:val="626B0025"/>
    <w:rsid w:val="62B10E77"/>
    <w:rsid w:val="62D85D1E"/>
    <w:rsid w:val="62F6309B"/>
    <w:rsid w:val="62FF095A"/>
    <w:rsid w:val="63030F14"/>
    <w:rsid w:val="631261A4"/>
    <w:rsid w:val="6318590B"/>
    <w:rsid w:val="63195134"/>
    <w:rsid w:val="63267317"/>
    <w:rsid w:val="6359259A"/>
    <w:rsid w:val="636173F7"/>
    <w:rsid w:val="63624D8C"/>
    <w:rsid w:val="6376430E"/>
    <w:rsid w:val="639076DF"/>
    <w:rsid w:val="639F1C85"/>
    <w:rsid w:val="63C04360"/>
    <w:rsid w:val="63D2090D"/>
    <w:rsid w:val="63F84A8B"/>
    <w:rsid w:val="640C3504"/>
    <w:rsid w:val="64104975"/>
    <w:rsid w:val="64231189"/>
    <w:rsid w:val="643338C2"/>
    <w:rsid w:val="6443545D"/>
    <w:rsid w:val="64586DE3"/>
    <w:rsid w:val="645B5B40"/>
    <w:rsid w:val="645C5805"/>
    <w:rsid w:val="64664DDB"/>
    <w:rsid w:val="647B5C70"/>
    <w:rsid w:val="647F4D58"/>
    <w:rsid w:val="649322B1"/>
    <w:rsid w:val="64A036C7"/>
    <w:rsid w:val="64AF4262"/>
    <w:rsid w:val="64B9531D"/>
    <w:rsid w:val="64CD6B74"/>
    <w:rsid w:val="64D771FD"/>
    <w:rsid w:val="64E70C00"/>
    <w:rsid w:val="64EC5F80"/>
    <w:rsid w:val="64F46001"/>
    <w:rsid w:val="651014B1"/>
    <w:rsid w:val="6521049E"/>
    <w:rsid w:val="65372C66"/>
    <w:rsid w:val="654235AD"/>
    <w:rsid w:val="65675E82"/>
    <w:rsid w:val="656B6764"/>
    <w:rsid w:val="65711400"/>
    <w:rsid w:val="657E7BD0"/>
    <w:rsid w:val="65847385"/>
    <w:rsid w:val="65A12770"/>
    <w:rsid w:val="65A215B9"/>
    <w:rsid w:val="65A25CA2"/>
    <w:rsid w:val="65B01E66"/>
    <w:rsid w:val="65C34C7B"/>
    <w:rsid w:val="65C92FEA"/>
    <w:rsid w:val="65CE0A1E"/>
    <w:rsid w:val="65D748AC"/>
    <w:rsid w:val="65DA619B"/>
    <w:rsid w:val="660863BF"/>
    <w:rsid w:val="660D064B"/>
    <w:rsid w:val="660E02DC"/>
    <w:rsid w:val="661462F7"/>
    <w:rsid w:val="66196F4A"/>
    <w:rsid w:val="661A3964"/>
    <w:rsid w:val="661E097F"/>
    <w:rsid w:val="66201BF5"/>
    <w:rsid w:val="6624447E"/>
    <w:rsid w:val="662B0D24"/>
    <w:rsid w:val="662D21FD"/>
    <w:rsid w:val="66705FC2"/>
    <w:rsid w:val="66980C3B"/>
    <w:rsid w:val="66A85798"/>
    <w:rsid w:val="66C166C7"/>
    <w:rsid w:val="66E30E48"/>
    <w:rsid w:val="66FD14FF"/>
    <w:rsid w:val="67010AE3"/>
    <w:rsid w:val="67053791"/>
    <w:rsid w:val="672112E1"/>
    <w:rsid w:val="67282409"/>
    <w:rsid w:val="67420EC9"/>
    <w:rsid w:val="6743642C"/>
    <w:rsid w:val="67657CC6"/>
    <w:rsid w:val="67685576"/>
    <w:rsid w:val="67740C3E"/>
    <w:rsid w:val="679F31CB"/>
    <w:rsid w:val="67B75E1C"/>
    <w:rsid w:val="67C119C7"/>
    <w:rsid w:val="67C373D8"/>
    <w:rsid w:val="67DE1402"/>
    <w:rsid w:val="68002120"/>
    <w:rsid w:val="680512AA"/>
    <w:rsid w:val="680D1350"/>
    <w:rsid w:val="681174D1"/>
    <w:rsid w:val="68197ED2"/>
    <w:rsid w:val="68226D67"/>
    <w:rsid w:val="6837640A"/>
    <w:rsid w:val="684E77D6"/>
    <w:rsid w:val="685017A0"/>
    <w:rsid w:val="687E3964"/>
    <w:rsid w:val="689210E2"/>
    <w:rsid w:val="68A42834"/>
    <w:rsid w:val="68A4768F"/>
    <w:rsid w:val="68B22A92"/>
    <w:rsid w:val="68B4126F"/>
    <w:rsid w:val="68B755B1"/>
    <w:rsid w:val="68CC2F3A"/>
    <w:rsid w:val="68D2751A"/>
    <w:rsid w:val="68D54844"/>
    <w:rsid w:val="68E814B4"/>
    <w:rsid w:val="68F91EAB"/>
    <w:rsid w:val="69067BB3"/>
    <w:rsid w:val="69081622"/>
    <w:rsid w:val="690C2CDB"/>
    <w:rsid w:val="690E0C84"/>
    <w:rsid w:val="69142EFB"/>
    <w:rsid w:val="69154D60"/>
    <w:rsid w:val="692A4E9F"/>
    <w:rsid w:val="6936224C"/>
    <w:rsid w:val="694962A8"/>
    <w:rsid w:val="694A6DBA"/>
    <w:rsid w:val="695225F5"/>
    <w:rsid w:val="6990454A"/>
    <w:rsid w:val="69951D6A"/>
    <w:rsid w:val="699C0468"/>
    <w:rsid w:val="69BB7B12"/>
    <w:rsid w:val="69CD7FDE"/>
    <w:rsid w:val="69D23E98"/>
    <w:rsid w:val="69E93C5A"/>
    <w:rsid w:val="6A154664"/>
    <w:rsid w:val="6A3828E1"/>
    <w:rsid w:val="6A3E49CA"/>
    <w:rsid w:val="6A40180B"/>
    <w:rsid w:val="6A561CE6"/>
    <w:rsid w:val="6A5D2FD8"/>
    <w:rsid w:val="6A6613C5"/>
    <w:rsid w:val="6A6E6B07"/>
    <w:rsid w:val="6A931BB0"/>
    <w:rsid w:val="6A935278"/>
    <w:rsid w:val="6A993951"/>
    <w:rsid w:val="6A9B792A"/>
    <w:rsid w:val="6AA61212"/>
    <w:rsid w:val="6AAD2EDA"/>
    <w:rsid w:val="6ABC05B5"/>
    <w:rsid w:val="6AC9111D"/>
    <w:rsid w:val="6ACD16BE"/>
    <w:rsid w:val="6ADB5BEC"/>
    <w:rsid w:val="6ADB73E0"/>
    <w:rsid w:val="6ADC3F1A"/>
    <w:rsid w:val="6AE2354A"/>
    <w:rsid w:val="6AE71F9E"/>
    <w:rsid w:val="6AEE685F"/>
    <w:rsid w:val="6B0F3217"/>
    <w:rsid w:val="6B1D2613"/>
    <w:rsid w:val="6B1D33CF"/>
    <w:rsid w:val="6B22477C"/>
    <w:rsid w:val="6B28641C"/>
    <w:rsid w:val="6B320A31"/>
    <w:rsid w:val="6B39420B"/>
    <w:rsid w:val="6B48730C"/>
    <w:rsid w:val="6B491DA4"/>
    <w:rsid w:val="6B4C6095"/>
    <w:rsid w:val="6B5634B2"/>
    <w:rsid w:val="6B5D28FD"/>
    <w:rsid w:val="6B5E4D2E"/>
    <w:rsid w:val="6B6E65C5"/>
    <w:rsid w:val="6BA17447"/>
    <w:rsid w:val="6BE116D3"/>
    <w:rsid w:val="6BE40B7D"/>
    <w:rsid w:val="6BEA5301"/>
    <w:rsid w:val="6BF579C9"/>
    <w:rsid w:val="6C001136"/>
    <w:rsid w:val="6C095B4E"/>
    <w:rsid w:val="6C16364D"/>
    <w:rsid w:val="6C213A10"/>
    <w:rsid w:val="6C240D6B"/>
    <w:rsid w:val="6C2A7865"/>
    <w:rsid w:val="6C2D715B"/>
    <w:rsid w:val="6C4B6506"/>
    <w:rsid w:val="6C5207BE"/>
    <w:rsid w:val="6C6A54FD"/>
    <w:rsid w:val="6C82426E"/>
    <w:rsid w:val="6CAF28FB"/>
    <w:rsid w:val="6CBE6BB7"/>
    <w:rsid w:val="6CFC154F"/>
    <w:rsid w:val="6D2356D5"/>
    <w:rsid w:val="6D257859"/>
    <w:rsid w:val="6D282002"/>
    <w:rsid w:val="6D3254A9"/>
    <w:rsid w:val="6D3966C4"/>
    <w:rsid w:val="6D3D3AB3"/>
    <w:rsid w:val="6D4E38A7"/>
    <w:rsid w:val="6D515FCA"/>
    <w:rsid w:val="6D572015"/>
    <w:rsid w:val="6D7D4DE5"/>
    <w:rsid w:val="6DA2061A"/>
    <w:rsid w:val="6DB166DC"/>
    <w:rsid w:val="6DB44057"/>
    <w:rsid w:val="6DB70CB4"/>
    <w:rsid w:val="6DB734BF"/>
    <w:rsid w:val="6DB95FEF"/>
    <w:rsid w:val="6DCF63B3"/>
    <w:rsid w:val="6E094352"/>
    <w:rsid w:val="6E1658A1"/>
    <w:rsid w:val="6E3132BB"/>
    <w:rsid w:val="6E331BC4"/>
    <w:rsid w:val="6E337525"/>
    <w:rsid w:val="6E424BD5"/>
    <w:rsid w:val="6E443B55"/>
    <w:rsid w:val="6E4C3940"/>
    <w:rsid w:val="6E6E722A"/>
    <w:rsid w:val="6E7B7F4C"/>
    <w:rsid w:val="6E910222"/>
    <w:rsid w:val="6EAE69E5"/>
    <w:rsid w:val="6EBA61CC"/>
    <w:rsid w:val="6EC933B2"/>
    <w:rsid w:val="6ED50368"/>
    <w:rsid w:val="6EF37C4F"/>
    <w:rsid w:val="6F182E47"/>
    <w:rsid w:val="6F1C574B"/>
    <w:rsid w:val="6F2811E8"/>
    <w:rsid w:val="6F4F76FF"/>
    <w:rsid w:val="6F6B5F2F"/>
    <w:rsid w:val="6F815117"/>
    <w:rsid w:val="6F8A5608"/>
    <w:rsid w:val="6F8B55A6"/>
    <w:rsid w:val="6FB65B98"/>
    <w:rsid w:val="6FC16E73"/>
    <w:rsid w:val="6FC56A54"/>
    <w:rsid w:val="6FC75C08"/>
    <w:rsid w:val="6FF84BF7"/>
    <w:rsid w:val="70091B7D"/>
    <w:rsid w:val="702A2DF0"/>
    <w:rsid w:val="70340437"/>
    <w:rsid w:val="703B0F88"/>
    <w:rsid w:val="70620FCD"/>
    <w:rsid w:val="706749C0"/>
    <w:rsid w:val="7071229B"/>
    <w:rsid w:val="70836E20"/>
    <w:rsid w:val="708F3F4F"/>
    <w:rsid w:val="709A4F8D"/>
    <w:rsid w:val="70C52EAE"/>
    <w:rsid w:val="70DF2055"/>
    <w:rsid w:val="70EC1752"/>
    <w:rsid w:val="71011C11"/>
    <w:rsid w:val="71084517"/>
    <w:rsid w:val="710F044A"/>
    <w:rsid w:val="710F59DC"/>
    <w:rsid w:val="7137018B"/>
    <w:rsid w:val="715E3EF7"/>
    <w:rsid w:val="71605BFA"/>
    <w:rsid w:val="716D47D4"/>
    <w:rsid w:val="71735392"/>
    <w:rsid w:val="718827C6"/>
    <w:rsid w:val="718D186A"/>
    <w:rsid w:val="71935883"/>
    <w:rsid w:val="71972521"/>
    <w:rsid w:val="719A15EC"/>
    <w:rsid w:val="719A27C9"/>
    <w:rsid w:val="719E503F"/>
    <w:rsid w:val="71AC3D91"/>
    <w:rsid w:val="71BE777B"/>
    <w:rsid w:val="71FF0740"/>
    <w:rsid w:val="71FF0BB1"/>
    <w:rsid w:val="72053D92"/>
    <w:rsid w:val="7205522D"/>
    <w:rsid w:val="722367E4"/>
    <w:rsid w:val="723B4C6C"/>
    <w:rsid w:val="72597F12"/>
    <w:rsid w:val="728733AE"/>
    <w:rsid w:val="72885057"/>
    <w:rsid w:val="72891B74"/>
    <w:rsid w:val="728A466C"/>
    <w:rsid w:val="729231C5"/>
    <w:rsid w:val="72A739E6"/>
    <w:rsid w:val="72B1108D"/>
    <w:rsid w:val="72B42082"/>
    <w:rsid w:val="72BF73FF"/>
    <w:rsid w:val="72D3059A"/>
    <w:rsid w:val="72D64092"/>
    <w:rsid w:val="72E61D32"/>
    <w:rsid w:val="72F21DD2"/>
    <w:rsid w:val="73013FCC"/>
    <w:rsid w:val="730B40D5"/>
    <w:rsid w:val="73306085"/>
    <w:rsid w:val="73444D77"/>
    <w:rsid w:val="73547991"/>
    <w:rsid w:val="735A70AD"/>
    <w:rsid w:val="736938A6"/>
    <w:rsid w:val="736B7CB7"/>
    <w:rsid w:val="739169F9"/>
    <w:rsid w:val="73B03DD9"/>
    <w:rsid w:val="73E4649C"/>
    <w:rsid w:val="73E51D11"/>
    <w:rsid w:val="73F328B4"/>
    <w:rsid w:val="73FC2213"/>
    <w:rsid w:val="73FE04A3"/>
    <w:rsid w:val="740E561C"/>
    <w:rsid w:val="74170F18"/>
    <w:rsid w:val="74317A66"/>
    <w:rsid w:val="744F2279"/>
    <w:rsid w:val="745B0499"/>
    <w:rsid w:val="747569AB"/>
    <w:rsid w:val="749C1CEB"/>
    <w:rsid w:val="749D0891"/>
    <w:rsid w:val="749E119A"/>
    <w:rsid w:val="74A92964"/>
    <w:rsid w:val="74C36F32"/>
    <w:rsid w:val="74C75E1F"/>
    <w:rsid w:val="74D07A67"/>
    <w:rsid w:val="74D33EF6"/>
    <w:rsid w:val="74DB4C39"/>
    <w:rsid w:val="74E4574A"/>
    <w:rsid w:val="74E63657"/>
    <w:rsid w:val="74FD1691"/>
    <w:rsid w:val="751704A6"/>
    <w:rsid w:val="751E6DE0"/>
    <w:rsid w:val="753438E2"/>
    <w:rsid w:val="75363B41"/>
    <w:rsid w:val="754100BE"/>
    <w:rsid w:val="75486B9B"/>
    <w:rsid w:val="75992D53"/>
    <w:rsid w:val="75A314AB"/>
    <w:rsid w:val="75A97B71"/>
    <w:rsid w:val="75BE41ED"/>
    <w:rsid w:val="75C4705E"/>
    <w:rsid w:val="75CA1ADD"/>
    <w:rsid w:val="75CF7779"/>
    <w:rsid w:val="75D94171"/>
    <w:rsid w:val="75E52D7A"/>
    <w:rsid w:val="75FB22F9"/>
    <w:rsid w:val="761733FE"/>
    <w:rsid w:val="76174F9E"/>
    <w:rsid w:val="761A6A1B"/>
    <w:rsid w:val="76320737"/>
    <w:rsid w:val="767A50C2"/>
    <w:rsid w:val="767E5321"/>
    <w:rsid w:val="76866093"/>
    <w:rsid w:val="76942FC2"/>
    <w:rsid w:val="7698243C"/>
    <w:rsid w:val="769A2CF5"/>
    <w:rsid w:val="769D4442"/>
    <w:rsid w:val="76A1265E"/>
    <w:rsid w:val="76AF515A"/>
    <w:rsid w:val="76BB74B0"/>
    <w:rsid w:val="76E63B9C"/>
    <w:rsid w:val="76EB22E8"/>
    <w:rsid w:val="76F679BA"/>
    <w:rsid w:val="773D64AD"/>
    <w:rsid w:val="77424C09"/>
    <w:rsid w:val="77444BC6"/>
    <w:rsid w:val="77471B59"/>
    <w:rsid w:val="777703EE"/>
    <w:rsid w:val="778165CD"/>
    <w:rsid w:val="778E0DE7"/>
    <w:rsid w:val="7798025B"/>
    <w:rsid w:val="77A32FE1"/>
    <w:rsid w:val="77C97B69"/>
    <w:rsid w:val="77CA5641"/>
    <w:rsid w:val="77CA5FE6"/>
    <w:rsid w:val="77EB7204"/>
    <w:rsid w:val="77EF18C9"/>
    <w:rsid w:val="780A72C3"/>
    <w:rsid w:val="780D4DDE"/>
    <w:rsid w:val="78174FAF"/>
    <w:rsid w:val="781800F2"/>
    <w:rsid w:val="78203AD8"/>
    <w:rsid w:val="782F3C37"/>
    <w:rsid w:val="78307537"/>
    <w:rsid w:val="783339F8"/>
    <w:rsid w:val="786618E2"/>
    <w:rsid w:val="78703F96"/>
    <w:rsid w:val="78764B0C"/>
    <w:rsid w:val="78780CEE"/>
    <w:rsid w:val="787A5EED"/>
    <w:rsid w:val="788A489C"/>
    <w:rsid w:val="78C83AD2"/>
    <w:rsid w:val="78D61E31"/>
    <w:rsid w:val="78D77A7E"/>
    <w:rsid w:val="78E5193B"/>
    <w:rsid w:val="78E94158"/>
    <w:rsid w:val="78EF0B61"/>
    <w:rsid w:val="78F817C4"/>
    <w:rsid w:val="7902426D"/>
    <w:rsid w:val="7922255B"/>
    <w:rsid w:val="7929100A"/>
    <w:rsid w:val="795219C3"/>
    <w:rsid w:val="795A265F"/>
    <w:rsid w:val="797474B7"/>
    <w:rsid w:val="797F0191"/>
    <w:rsid w:val="798A5C60"/>
    <w:rsid w:val="79943CE9"/>
    <w:rsid w:val="79A07515"/>
    <w:rsid w:val="79CA0038"/>
    <w:rsid w:val="79CB47A6"/>
    <w:rsid w:val="79DF4183"/>
    <w:rsid w:val="79F14389"/>
    <w:rsid w:val="7A00729F"/>
    <w:rsid w:val="7A0643B5"/>
    <w:rsid w:val="7A0E35CF"/>
    <w:rsid w:val="7A1F3357"/>
    <w:rsid w:val="7A2E15EF"/>
    <w:rsid w:val="7A314342"/>
    <w:rsid w:val="7A334FB0"/>
    <w:rsid w:val="7A392CE7"/>
    <w:rsid w:val="7A433E4A"/>
    <w:rsid w:val="7A555F31"/>
    <w:rsid w:val="7A61419A"/>
    <w:rsid w:val="7A897D74"/>
    <w:rsid w:val="7A9252EE"/>
    <w:rsid w:val="7A97500D"/>
    <w:rsid w:val="7A9861CB"/>
    <w:rsid w:val="7AA70705"/>
    <w:rsid w:val="7AAB5483"/>
    <w:rsid w:val="7AC228CA"/>
    <w:rsid w:val="7ACA5466"/>
    <w:rsid w:val="7AD069C7"/>
    <w:rsid w:val="7AD45C10"/>
    <w:rsid w:val="7AE3328E"/>
    <w:rsid w:val="7AF104A4"/>
    <w:rsid w:val="7AFF176C"/>
    <w:rsid w:val="7B024A73"/>
    <w:rsid w:val="7B0A6A9B"/>
    <w:rsid w:val="7B0D2818"/>
    <w:rsid w:val="7B2047C6"/>
    <w:rsid w:val="7B361362"/>
    <w:rsid w:val="7B4D6C02"/>
    <w:rsid w:val="7B6B6D62"/>
    <w:rsid w:val="7B8626B2"/>
    <w:rsid w:val="7B8A164D"/>
    <w:rsid w:val="7B994E29"/>
    <w:rsid w:val="7BA80A22"/>
    <w:rsid w:val="7BA838BD"/>
    <w:rsid w:val="7BB66E7F"/>
    <w:rsid w:val="7BD41347"/>
    <w:rsid w:val="7C1F5A64"/>
    <w:rsid w:val="7C2B048D"/>
    <w:rsid w:val="7C353B17"/>
    <w:rsid w:val="7C70063A"/>
    <w:rsid w:val="7C746681"/>
    <w:rsid w:val="7C996138"/>
    <w:rsid w:val="7CA20C72"/>
    <w:rsid w:val="7CB82DCD"/>
    <w:rsid w:val="7CF229CE"/>
    <w:rsid w:val="7CF50C89"/>
    <w:rsid w:val="7CF91191"/>
    <w:rsid w:val="7D061951"/>
    <w:rsid w:val="7D0E004C"/>
    <w:rsid w:val="7D2647F8"/>
    <w:rsid w:val="7D2D1D1E"/>
    <w:rsid w:val="7D5B3BA0"/>
    <w:rsid w:val="7D6D0647"/>
    <w:rsid w:val="7D746E57"/>
    <w:rsid w:val="7D7C5ED1"/>
    <w:rsid w:val="7D924B1E"/>
    <w:rsid w:val="7DA9460F"/>
    <w:rsid w:val="7DAE06B7"/>
    <w:rsid w:val="7DDD542C"/>
    <w:rsid w:val="7DDF08AD"/>
    <w:rsid w:val="7DE31066"/>
    <w:rsid w:val="7DE332EA"/>
    <w:rsid w:val="7DE65FBE"/>
    <w:rsid w:val="7DE848F1"/>
    <w:rsid w:val="7DE87CD0"/>
    <w:rsid w:val="7DF537E7"/>
    <w:rsid w:val="7DFA1C6D"/>
    <w:rsid w:val="7DFF6F70"/>
    <w:rsid w:val="7E024C0B"/>
    <w:rsid w:val="7E0935A4"/>
    <w:rsid w:val="7E0D2AF2"/>
    <w:rsid w:val="7E1640FB"/>
    <w:rsid w:val="7E176086"/>
    <w:rsid w:val="7E1E70C9"/>
    <w:rsid w:val="7E3B2283"/>
    <w:rsid w:val="7E4E4A04"/>
    <w:rsid w:val="7E507159"/>
    <w:rsid w:val="7E7B3986"/>
    <w:rsid w:val="7E826950"/>
    <w:rsid w:val="7E887A60"/>
    <w:rsid w:val="7E90208C"/>
    <w:rsid w:val="7E9064E4"/>
    <w:rsid w:val="7E9E2C4F"/>
    <w:rsid w:val="7E9F4D2C"/>
    <w:rsid w:val="7EA30CDC"/>
    <w:rsid w:val="7ECD25DF"/>
    <w:rsid w:val="7ED240BD"/>
    <w:rsid w:val="7EDC38BD"/>
    <w:rsid w:val="7EF82D86"/>
    <w:rsid w:val="7F076AF0"/>
    <w:rsid w:val="7F4E32BF"/>
    <w:rsid w:val="7F4F145B"/>
    <w:rsid w:val="7F537D92"/>
    <w:rsid w:val="7F7405C7"/>
    <w:rsid w:val="7F7F6342"/>
    <w:rsid w:val="7F827DBE"/>
    <w:rsid w:val="7F8A7F3B"/>
    <w:rsid w:val="7FA201A6"/>
    <w:rsid w:val="7FA55FC4"/>
    <w:rsid w:val="7FC5595E"/>
    <w:rsid w:val="7FFC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1"/>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link w:val="38"/>
    <w:unhideWhenUsed/>
    <w:qFormat/>
    <w:uiPriority w:val="0"/>
    <w:pPr>
      <w:keepNext/>
      <w:keepLines/>
      <w:spacing w:line="413" w:lineRule="auto"/>
      <w:jc w:val="center"/>
      <w:outlineLvl w:val="1"/>
    </w:pPr>
    <w:rPr>
      <w:rFonts w:ascii="Arial" w:hAnsi="Arial" w:eastAsia="宋体"/>
      <w:b/>
      <w:sz w:val="24"/>
    </w:rPr>
  </w:style>
  <w:style w:type="paragraph" w:styleId="5">
    <w:name w:val="heading 3"/>
    <w:basedOn w:val="1"/>
    <w:next w:val="1"/>
    <w:unhideWhenUsed/>
    <w:qFormat/>
    <w:uiPriority w:val="0"/>
    <w:pPr>
      <w:keepNext/>
      <w:keepLines/>
      <w:spacing w:line="413" w:lineRule="auto"/>
      <w:outlineLvl w:val="2"/>
    </w:pPr>
    <w:rPr>
      <w:b/>
      <w:sz w:val="28"/>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Document Map"/>
    <w:basedOn w:val="1"/>
    <w:link w:val="54"/>
    <w:qFormat/>
    <w:uiPriority w:val="0"/>
    <w:rPr>
      <w:rFonts w:ascii="宋体" w:eastAsia="宋体"/>
      <w:sz w:val="18"/>
      <w:szCs w:val="18"/>
    </w:rPr>
  </w:style>
  <w:style w:type="paragraph" w:styleId="9">
    <w:name w:val="annotation text"/>
    <w:basedOn w:val="1"/>
    <w:link w:val="52"/>
    <w:qFormat/>
    <w:uiPriority w:val="99"/>
    <w:pPr>
      <w:jc w:val="left"/>
    </w:pPr>
    <w:rPr>
      <w:rFonts w:ascii="宋体"/>
      <w:kern w:val="0"/>
      <w:sz w:val="34"/>
    </w:rPr>
  </w:style>
  <w:style w:type="paragraph" w:styleId="10">
    <w:name w:val="Body Text"/>
    <w:basedOn w:val="1"/>
    <w:next w:val="11"/>
    <w:qFormat/>
    <w:uiPriority w:val="0"/>
  </w:style>
  <w:style w:type="paragraph" w:customStyle="1" w:styleId="11">
    <w:name w:val="标题 2 Char1"/>
    <w:basedOn w:val="1"/>
    <w:qFormat/>
    <w:uiPriority w:val="99"/>
    <w:rPr>
      <w:rFonts w:cs="Calibri"/>
    </w:rPr>
  </w:style>
  <w:style w:type="paragraph" w:styleId="12">
    <w:name w:val="Body Text Indent"/>
    <w:basedOn w:val="1"/>
    <w:qFormat/>
    <w:uiPriority w:val="0"/>
    <w:pPr>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pPr>
      <w:spacing w:line="324" w:lineRule="auto"/>
    </w:pPr>
    <w:rPr>
      <w:rFonts w:ascii="宋体" w:hAnsi="Courier New" w:cs="Courier New"/>
      <w:szCs w:val="21"/>
    </w:rPr>
  </w:style>
  <w:style w:type="paragraph" w:styleId="15">
    <w:name w:val="Date"/>
    <w:basedOn w:val="1"/>
    <w:next w:val="1"/>
    <w:qFormat/>
    <w:uiPriority w:val="0"/>
    <w:rPr>
      <w:rFonts w:ascii="Copperplate Gothic Bold" w:hAnsi="Copperplate Gothic Bold"/>
      <w:sz w:val="32"/>
      <w:szCs w:val="20"/>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5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toc 2"/>
    <w:basedOn w:val="1"/>
    <w:next w:val="1"/>
    <w:qFormat/>
    <w:uiPriority w:val="0"/>
    <w:pPr>
      <w:ind w:left="420" w:leftChars="200"/>
    </w:pPr>
  </w:style>
  <w:style w:type="paragraph" w:styleId="22">
    <w:name w:val="Body Text 2"/>
    <w:basedOn w:val="1"/>
    <w:qFormat/>
    <w:uiPriority w:val="0"/>
    <w:pPr>
      <w:jc w:val="center"/>
    </w:pPr>
    <w:rPr>
      <w:b/>
      <w:spacing w:val="-20"/>
      <w:w w:val="130"/>
      <w:sz w:val="48"/>
      <w:szCs w:val="20"/>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next w:val="1"/>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5">
    <w:name w:val="annotation subject"/>
    <w:basedOn w:val="9"/>
    <w:next w:val="9"/>
    <w:link w:val="62"/>
    <w:qFormat/>
    <w:uiPriority w:val="0"/>
    <w:rPr>
      <w:rFonts w:asciiTheme="minorHAnsi"/>
      <w:b/>
      <w:bCs/>
      <w:kern w:val="2"/>
      <w:sz w:val="21"/>
    </w:rPr>
  </w:style>
  <w:style w:type="paragraph" w:styleId="26">
    <w:name w:val="Body Text First Indent"/>
    <w:basedOn w:val="10"/>
    <w:unhideWhenUsed/>
    <w:qFormat/>
    <w:uiPriority w:val="99"/>
    <w:pPr>
      <w:ind w:firstLine="420" w:firstLineChars="100"/>
    </w:pPr>
    <w:rPr>
      <w:rFonts w:ascii="Times New Roman" w:hAnsi="Times New Roman"/>
      <w:sz w:val="18"/>
      <w:szCs w:val="18"/>
    </w:rPr>
  </w:style>
  <w:style w:type="paragraph" w:styleId="27">
    <w:name w:val="Body Text First Indent 2"/>
    <w:basedOn w:val="12"/>
    <w:qFormat/>
    <w:uiPriority w:val="99"/>
  </w:style>
  <w:style w:type="table" w:styleId="29">
    <w:name w:val="Table Grid"/>
    <w:basedOn w:val="2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sz w:val="24"/>
      <w:szCs w:val="24"/>
    </w:rPr>
  </w:style>
  <w:style w:type="character" w:styleId="32">
    <w:name w:val="page number"/>
    <w:basedOn w:val="30"/>
    <w:qFormat/>
    <w:uiPriority w:val="0"/>
  </w:style>
  <w:style w:type="character" w:styleId="33">
    <w:name w:val="FollowedHyperlink"/>
    <w:basedOn w:val="30"/>
    <w:qFormat/>
    <w:uiPriority w:val="0"/>
    <w:rPr>
      <w:rFonts w:hint="eastAsia" w:ascii="宋体" w:hAnsi="宋体" w:eastAsia="宋体" w:cs="宋体"/>
      <w:color w:val="000000"/>
      <w:sz w:val="18"/>
      <w:szCs w:val="18"/>
      <w:u w:val="none"/>
    </w:rPr>
  </w:style>
  <w:style w:type="character" w:styleId="34">
    <w:name w:val="Emphasis"/>
    <w:basedOn w:val="30"/>
    <w:qFormat/>
    <w:uiPriority w:val="0"/>
    <w:rPr>
      <w:i/>
      <w:iCs/>
    </w:rPr>
  </w:style>
  <w:style w:type="character" w:styleId="35">
    <w:name w:val="Hyperlink"/>
    <w:basedOn w:val="30"/>
    <w:qFormat/>
    <w:uiPriority w:val="0"/>
    <w:rPr>
      <w:color w:val="0000FF"/>
      <w:u w:val="single"/>
    </w:rPr>
  </w:style>
  <w:style w:type="character" w:styleId="36">
    <w:name w:val="annotation reference"/>
    <w:qFormat/>
    <w:uiPriority w:val="99"/>
    <w:rPr>
      <w:sz w:val="21"/>
      <w:szCs w:val="21"/>
    </w:rPr>
  </w:style>
  <w:style w:type="character" w:styleId="37">
    <w:name w:val="HTML Cite"/>
    <w:basedOn w:val="30"/>
    <w:qFormat/>
    <w:uiPriority w:val="0"/>
    <w:rPr>
      <w:sz w:val="24"/>
      <w:szCs w:val="24"/>
    </w:rPr>
  </w:style>
  <w:style w:type="character" w:customStyle="1" w:styleId="38">
    <w:name w:val="标题 2 Char"/>
    <w:basedOn w:val="30"/>
    <w:link w:val="4"/>
    <w:semiHidden/>
    <w:qFormat/>
    <w:locked/>
    <w:uiPriority w:val="99"/>
    <w:rPr>
      <w:rFonts w:ascii="Arial" w:hAnsi="Arial" w:eastAsia="宋体"/>
      <w:b/>
      <w:sz w:val="24"/>
    </w:rPr>
  </w:style>
  <w:style w:type="paragraph" w:customStyle="1" w:styleId="39">
    <w:name w:val="无间隔1"/>
    <w:basedOn w:val="1"/>
    <w:qFormat/>
    <w:uiPriority w:val="1"/>
    <w:pPr>
      <w:spacing w:line="400" w:lineRule="exact"/>
    </w:pPr>
    <w:rPr>
      <w:sz w:val="24"/>
    </w:rPr>
  </w:style>
  <w:style w:type="paragraph" w:customStyle="1" w:styleId="40">
    <w:name w:val="正文缩进1"/>
    <w:basedOn w:val="1"/>
    <w:qFormat/>
    <w:uiPriority w:val="0"/>
    <w:pPr>
      <w:ind w:firstLine="420" w:firstLineChars="200"/>
    </w:pPr>
  </w:style>
  <w:style w:type="paragraph" w:customStyle="1" w:styleId="41">
    <w:name w:val="Char2 Char Char Char"/>
    <w:basedOn w:val="1"/>
    <w:qFormat/>
    <w:uiPriority w:val="0"/>
    <w:rPr>
      <w:rFonts w:ascii="Tahoma" w:hAnsi="Tahoma"/>
      <w:sz w:val="24"/>
      <w:szCs w:val="20"/>
    </w:rPr>
  </w:style>
  <w:style w:type="paragraph" w:customStyle="1" w:styleId="42">
    <w:name w:val="列出段落1"/>
    <w:basedOn w:val="1"/>
    <w:unhideWhenUsed/>
    <w:qFormat/>
    <w:uiPriority w:val="99"/>
    <w:pPr>
      <w:ind w:firstLine="420" w:firstLineChars="200"/>
    </w:pPr>
  </w:style>
  <w:style w:type="character" w:customStyle="1" w:styleId="43">
    <w:name w:val="10"/>
    <w:basedOn w:val="30"/>
    <w:qFormat/>
    <w:uiPriority w:val="0"/>
    <w:rPr>
      <w:rFonts w:hint="default" w:ascii="Calibri" w:hAnsi="Calibri"/>
    </w:rPr>
  </w:style>
  <w:style w:type="character" w:customStyle="1" w:styleId="44">
    <w:name w:val="15"/>
    <w:basedOn w:val="30"/>
    <w:qFormat/>
    <w:uiPriority w:val="0"/>
    <w:rPr>
      <w:rFonts w:hint="default" w:ascii="Calibri" w:hAnsi="Calibri"/>
      <w:i/>
      <w:iCs/>
    </w:rPr>
  </w:style>
  <w:style w:type="paragraph" w:customStyle="1" w:styleId="45">
    <w:name w:val="_Style 2"/>
    <w:basedOn w:val="1"/>
    <w:qFormat/>
    <w:uiPriority w:val="34"/>
    <w:pPr>
      <w:ind w:firstLine="420" w:firstLineChars="200"/>
    </w:pPr>
  </w:style>
  <w:style w:type="character" w:customStyle="1" w:styleId="46">
    <w:name w:val="apple-style-span"/>
    <w:qFormat/>
    <w:uiPriority w:val="0"/>
  </w:style>
  <w:style w:type="character" w:customStyle="1" w:styleId="47">
    <w:name w:val="del"/>
    <w:basedOn w:val="30"/>
    <w:qFormat/>
    <w:uiPriority w:val="0"/>
  </w:style>
  <w:style w:type="character" w:customStyle="1" w:styleId="48">
    <w:name w:val="del1"/>
    <w:basedOn w:val="30"/>
    <w:qFormat/>
    <w:uiPriority w:val="0"/>
    <w:rPr>
      <w:vanish/>
      <w:color w:val="666666"/>
      <w:sz w:val="18"/>
      <w:szCs w:val="18"/>
      <w:u w:val="single"/>
    </w:rPr>
  </w:style>
  <w:style w:type="character" w:customStyle="1" w:styleId="49">
    <w:name w:val="del2"/>
    <w:basedOn w:val="30"/>
    <w:qFormat/>
    <w:uiPriority w:val="0"/>
    <w:rPr>
      <w:vanish/>
    </w:rPr>
  </w:style>
  <w:style w:type="character" w:customStyle="1" w:styleId="50">
    <w:name w:val="del3"/>
    <w:basedOn w:val="30"/>
    <w:qFormat/>
    <w:uiPriority w:val="0"/>
    <w:rPr>
      <w:vanish/>
    </w:rPr>
  </w:style>
  <w:style w:type="character" w:customStyle="1" w:styleId="51">
    <w:name w:val="批注框文本 Char"/>
    <w:basedOn w:val="30"/>
    <w:link w:val="17"/>
    <w:qFormat/>
    <w:uiPriority w:val="0"/>
    <w:rPr>
      <w:rFonts w:asciiTheme="minorHAnsi" w:hAnsiTheme="minorHAnsi" w:eastAsiaTheme="minorEastAsia" w:cstheme="minorBidi"/>
      <w:kern w:val="2"/>
      <w:sz w:val="18"/>
      <w:szCs w:val="18"/>
    </w:rPr>
  </w:style>
  <w:style w:type="character" w:customStyle="1" w:styleId="52">
    <w:name w:val="批注文字 Char"/>
    <w:basedOn w:val="30"/>
    <w:link w:val="9"/>
    <w:qFormat/>
    <w:uiPriority w:val="99"/>
    <w:rPr>
      <w:rFonts w:ascii="宋体" w:hAnsiTheme="minorHAnsi" w:eastAsiaTheme="minorEastAsia" w:cstheme="minorBidi"/>
      <w:sz w:val="34"/>
      <w:szCs w:val="22"/>
    </w:rPr>
  </w:style>
  <w:style w:type="paragraph" w:customStyle="1" w:styleId="53">
    <w:name w:val="列出段落2"/>
    <w:basedOn w:val="1"/>
    <w:qFormat/>
    <w:uiPriority w:val="0"/>
    <w:pPr>
      <w:ind w:firstLine="420" w:firstLineChars="200"/>
    </w:pPr>
    <w:rPr>
      <w:rFonts w:ascii="宋体"/>
      <w:sz w:val="28"/>
    </w:rPr>
  </w:style>
  <w:style w:type="character" w:customStyle="1" w:styleId="54">
    <w:name w:val="文档结构图 Char"/>
    <w:basedOn w:val="30"/>
    <w:link w:val="8"/>
    <w:qFormat/>
    <w:uiPriority w:val="0"/>
    <w:rPr>
      <w:rFonts w:ascii="宋体" w:hAnsiTheme="minorHAnsi" w:cstheme="minorBidi"/>
      <w:kern w:val="2"/>
      <w:sz w:val="18"/>
      <w:szCs w:val="18"/>
    </w:rPr>
  </w:style>
  <w:style w:type="paragraph" w:customStyle="1" w:styleId="55">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56">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57">
    <w:name w:val="列出段落3"/>
    <w:basedOn w:val="1"/>
    <w:qFormat/>
    <w:uiPriority w:val="0"/>
    <w:pPr>
      <w:ind w:firstLine="420" w:firstLineChars="200"/>
    </w:pPr>
    <w:rPr>
      <w:rFonts w:ascii="宋体"/>
      <w:sz w:val="28"/>
    </w:rPr>
  </w:style>
  <w:style w:type="paragraph" w:customStyle="1" w:styleId="58">
    <w:name w:val="list number ＋left spaceing"/>
    <w:basedOn w:val="6"/>
    <w:qFormat/>
    <w:uiPriority w:val="0"/>
    <w:pPr>
      <w:widowControl/>
      <w:tabs>
        <w:tab w:val="left" w:pos="839"/>
      </w:tabs>
      <w:ind w:left="0" w:firstLine="0"/>
      <w:jc w:val="left"/>
    </w:pPr>
    <w:rPr>
      <w:kern w:val="0"/>
    </w:rPr>
  </w:style>
  <w:style w:type="paragraph" w:customStyle="1" w:styleId="59">
    <w:name w:val="正文框"/>
    <w:basedOn w:val="1"/>
    <w:qFormat/>
    <w:uiPriority w:val="0"/>
    <w:pPr>
      <w:widowControl/>
      <w:adjustRightInd w:val="0"/>
      <w:spacing w:line="312" w:lineRule="atLeast"/>
      <w:jc w:val="left"/>
      <w:textAlignment w:val="baseline"/>
    </w:pPr>
    <w:rPr>
      <w:sz w:val="24"/>
    </w:rPr>
  </w:style>
  <w:style w:type="paragraph" w:customStyle="1" w:styleId="60">
    <w:name w:val="Char"/>
    <w:basedOn w:val="1"/>
    <w:qFormat/>
    <w:uiPriority w:val="0"/>
    <w:pPr>
      <w:jc w:val="left"/>
    </w:pPr>
    <w:rPr>
      <w:rFonts w:ascii="Tahoma" w:hAnsi="Tahoma"/>
      <w:sz w:val="24"/>
      <w:szCs w:val="20"/>
    </w:rPr>
  </w:style>
  <w:style w:type="character" w:customStyle="1" w:styleId="61">
    <w:name w:val="标题 1 Char"/>
    <w:link w:val="3"/>
    <w:qFormat/>
    <w:uiPriority w:val="0"/>
    <w:rPr>
      <w:rFonts w:ascii="Times New Roman" w:hAnsi="Times New Roman" w:eastAsia="宋体"/>
      <w:b/>
      <w:kern w:val="44"/>
      <w:sz w:val="32"/>
    </w:rPr>
  </w:style>
  <w:style w:type="character" w:customStyle="1" w:styleId="62">
    <w:name w:val="批注主题 Char"/>
    <w:basedOn w:val="52"/>
    <w:link w:val="25"/>
    <w:qFormat/>
    <w:uiPriority w:val="0"/>
    <w:rPr>
      <w:rFonts w:asciiTheme="minorHAnsi" w:hAnsiTheme="minorHAnsi" w:eastAsiaTheme="minorEastAsia" w:cstheme="minorBidi"/>
      <w:b/>
      <w:bCs/>
      <w:kern w:val="2"/>
      <w:sz w:val="21"/>
      <w:szCs w:val="22"/>
    </w:rPr>
  </w:style>
  <w:style w:type="character" w:customStyle="1" w:styleId="63">
    <w:name w:val="font11"/>
    <w:basedOn w:val="30"/>
    <w:qFormat/>
    <w:uiPriority w:val="0"/>
    <w:rPr>
      <w:rFonts w:hint="eastAsia" w:ascii="宋体" w:hAnsi="宋体" w:eastAsia="宋体" w:cs="宋体"/>
      <w:color w:val="000000"/>
      <w:sz w:val="22"/>
      <w:szCs w:val="22"/>
      <w:u w:val="none"/>
    </w:rPr>
  </w:style>
  <w:style w:type="character" w:customStyle="1" w:styleId="64">
    <w:name w:val="font61"/>
    <w:basedOn w:val="30"/>
    <w:qFormat/>
    <w:uiPriority w:val="0"/>
    <w:rPr>
      <w:rFonts w:hint="default" w:ascii="Tahoma" w:hAnsi="Tahoma" w:eastAsia="Tahoma" w:cs="Tahoma"/>
      <w:color w:val="000000"/>
      <w:sz w:val="22"/>
      <w:szCs w:val="22"/>
      <w:u w:val="none"/>
    </w:rPr>
  </w:style>
  <w:style w:type="character" w:customStyle="1" w:styleId="65">
    <w:name w:val="font01"/>
    <w:basedOn w:val="30"/>
    <w:qFormat/>
    <w:uiPriority w:val="0"/>
    <w:rPr>
      <w:rFonts w:hint="eastAsia" w:ascii="宋体" w:hAnsi="宋体" w:eastAsia="宋体" w:cs="宋体"/>
      <w:b/>
      <w:color w:val="000000"/>
      <w:sz w:val="24"/>
      <w:szCs w:val="24"/>
      <w:u w:val="none"/>
    </w:rPr>
  </w:style>
  <w:style w:type="paragraph" w:customStyle="1" w:styleId="66">
    <w:name w:val="列出段落4"/>
    <w:basedOn w:val="1"/>
    <w:qFormat/>
    <w:uiPriority w:val="34"/>
    <w:pPr>
      <w:ind w:firstLine="420" w:firstLineChars="200"/>
    </w:pPr>
  </w:style>
  <w:style w:type="paragraph" w:customStyle="1" w:styleId="67">
    <w:name w:val="列出段落5"/>
    <w:basedOn w:val="1"/>
    <w:unhideWhenUsed/>
    <w:qFormat/>
    <w:uiPriority w:val="99"/>
    <w:pPr>
      <w:ind w:firstLine="420" w:firstLineChars="200"/>
    </w:pPr>
  </w:style>
  <w:style w:type="paragraph" w:customStyle="1" w:styleId="68">
    <w:name w:val="TableHeader"/>
    <w:qFormat/>
    <w:uiPriority w:val="1"/>
    <w:pPr>
      <w:spacing w:before="40" w:after="40"/>
      <w:jc w:val="center"/>
    </w:pPr>
    <w:rPr>
      <w:rFonts w:ascii="Arial" w:hAnsi="Arial" w:eastAsia="宋体" w:cstheme="minorBidi"/>
      <w:b/>
      <w:bCs/>
      <w:kern w:val="44"/>
      <w:sz w:val="18"/>
      <w:szCs w:val="44"/>
      <w:lang w:val="en-US" w:eastAsia="zh-CN" w:bidi="ar-SA"/>
    </w:rPr>
  </w:style>
  <w:style w:type="paragraph" w:customStyle="1" w:styleId="69">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styleId="70">
    <w:name w:val="List Paragraph"/>
    <w:basedOn w:val="1"/>
    <w:qFormat/>
    <w:uiPriority w:val="99"/>
    <w:pPr>
      <w:ind w:firstLine="420" w:firstLineChars="200"/>
    </w:pPr>
  </w:style>
  <w:style w:type="character" w:customStyle="1" w:styleId="71">
    <w:name w:val="标题 1 Char1"/>
    <w:basedOn w:val="30"/>
    <w:link w:val="3"/>
    <w:qFormat/>
    <w:locked/>
    <w:uiPriority w:val="99"/>
    <w:rPr>
      <w:rFonts w:ascii="Times New Roman" w:hAnsi="Times New Roman" w:eastAsia="宋体" w:cs="Times New Roman"/>
      <w:b/>
      <w:kern w:val="44"/>
      <w:sz w:val="32"/>
    </w:rPr>
  </w:style>
  <w:style w:type="paragraph" w:customStyle="1" w:styleId="72">
    <w:name w:val="列出段落6"/>
    <w:basedOn w:val="1"/>
    <w:unhideWhenUsed/>
    <w:qFormat/>
    <w:uiPriority w:val="99"/>
    <w:pPr>
      <w:ind w:firstLine="420" w:firstLineChars="200"/>
    </w:pPr>
  </w:style>
  <w:style w:type="character" w:customStyle="1" w:styleId="73">
    <w:name w:val="font41"/>
    <w:basedOn w:val="30"/>
    <w:qFormat/>
    <w:uiPriority w:val="0"/>
    <w:rPr>
      <w:rFonts w:hint="default" w:ascii="Calibri" w:hAnsi="Calibri" w:cs="Calibri"/>
      <w:color w:val="000000"/>
      <w:sz w:val="18"/>
      <w:szCs w:val="18"/>
      <w:u w:val="none"/>
    </w:rPr>
  </w:style>
  <w:style w:type="character" w:customStyle="1" w:styleId="74">
    <w:name w:val="font21"/>
    <w:basedOn w:val="30"/>
    <w:qFormat/>
    <w:uiPriority w:val="0"/>
    <w:rPr>
      <w:rFonts w:hint="eastAsia" w:ascii="宋体" w:hAnsi="宋体" w:eastAsia="宋体" w:cs="宋体"/>
      <w:color w:val="000000"/>
      <w:sz w:val="18"/>
      <w:szCs w:val="18"/>
      <w:u w:val="none"/>
    </w:rPr>
  </w:style>
  <w:style w:type="character" w:customStyle="1" w:styleId="75">
    <w:name w:val="font91"/>
    <w:basedOn w:val="30"/>
    <w:qFormat/>
    <w:uiPriority w:val="0"/>
    <w:rPr>
      <w:rFonts w:hint="eastAsia" w:ascii="宋体" w:hAnsi="宋体" w:eastAsia="宋体" w:cs="宋体"/>
      <w:color w:val="000000"/>
      <w:sz w:val="18"/>
      <w:szCs w:val="18"/>
      <w:u w:val="none"/>
      <w:vertAlign w:val="superscript"/>
    </w:rPr>
  </w:style>
  <w:style w:type="character" w:customStyle="1" w:styleId="76">
    <w:name w:val="font71"/>
    <w:basedOn w:val="30"/>
    <w:qFormat/>
    <w:uiPriority w:val="0"/>
    <w:rPr>
      <w:rFonts w:hint="eastAsia" w:ascii="宋体" w:hAnsi="宋体" w:eastAsia="宋体" w:cs="宋体"/>
      <w:color w:val="000000"/>
      <w:sz w:val="18"/>
      <w:szCs w:val="18"/>
      <w:u w:val="none"/>
      <w:vertAlign w:val="superscript"/>
    </w:rPr>
  </w:style>
  <w:style w:type="paragraph" w:customStyle="1" w:styleId="7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79">
    <w:name w:val="BodyTextIndent"/>
    <w:basedOn w:val="1"/>
    <w:qFormat/>
    <w:uiPriority w:val="0"/>
    <w:pPr>
      <w:spacing w:line="360" w:lineRule="auto"/>
      <w:ind w:left="720" w:hanging="720" w:hangingChars="300"/>
      <w:jc w:val="both"/>
      <w:textAlignment w:val="baseline"/>
    </w:pPr>
    <w:rPr>
      <w:kern w:val="2"/>
      <w:sz w:val="24"/>
      <w:lang w:val="en-US" w:eastAsia="zh-CN" w:bidi="ar-SA"/>
    </w:rPr>
  </w:style>
  <w:style w:type="paragraph" w:customStyle="1" w:styleId="80">
    <w:name w:val="页眉与页脚"/>
    <w:qFormat/>
    <w:uiPriority w:val="99"/>
    <w:pPr>
      <w:pBdr>
        <w:top w:val="none" w:color="FFFFFF" w:sz="0" w:space="31"/>
        <w:left w:val="none" w:color="FFFFFF" w:sz="0" w:space="31"/>
        <w:bottom w:val="none" w:color="FFFFFF" w:sz="0" w:space="31"/>
        <w:right w:val="none" w:color="FFFFFF" w:sz="0" w:space="31"/>
      </w:pBdr>
      <w:tabs>
        <w:tab w:val="right" w:pos="9020"/>
      </w:tabs>
    </w:pPr>
    <w:rPr>
      <w:rFonts w:ascii="PingFang SC Regular" w:hAnsi="PingFang SC Regular" w:eastAsia="宋体" w:cs="Arial Unicode MS"/>
      <w:color w:val="000000"/>
      <w:sz w:val="24"/>
      <w:szCs w:val="24"/>
      <w:lang w:val="en-US" w:eastAsia="zh-CN" w:bidi="ar-SA"/>
    </w:rPr>
  </w:style>
  <w:style w:type="paragraph" w:customStyle="1" w:styleId="81">
    <w:name w:val="Normal_38"/>
    <w:qFormat/>
    <w:uiPriority w:val="0"/>
    <w:pPr>
      <w:spacing w:before="120" w:after="240"/>
      <w:jc w:val="both"/>
    </w:pPr>
    <w:rPr>
      <w:rFonts w:ascii="Calibri" w:hAnsi="Calibri" w:eastAsia="Calibri" w:cs="Times New Roman"/>
      <w:sz w:val="22"/>
      <w:szCs w:val="22"/>
      <w:lang w:val="ru-RU" w:eastAsia="en-US" w:bidi="ar-SA"/>
    </w:rPr>
  </w:style>
  <w:style w:type="paragraph" w:customStyle="1" w:styleId="82">
    <w:name w:val="Footer"/>
    <w:basedOn w:val="1"/>
    <w:qFormat/>
    <w:uiPriority w:val="0"/>
    <w:pPr>
      <w:tabs>
        <w:tab w:val="center" w:pos="4153"/>
        <w:tab w:val="right" w:pos="8306"/>
      </w:tabs>
      <w:snapToGrid w:val="0"/>
      <w:jc w:val="left"/>
    </w:pPr>
    <w:rPr>
      <w:sz w:val="18"/>
      <w:szCs w:val="20"/>
    </w:rPr>
  </w:style>
  <w:style w:type="paragraph" w:customStyle="1" w:styleId="83">
    <w:name w:val="正文缩进2"/>
    <w:basedOn w:val="1"/>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79623-CEEE-4E61-AC12-D05E4FEB7F35}">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72</Pages>
  <Words>30783</Words>
  <Characters>32803</Characters>
  <Lines>364</Lines>
  <Paragraphs>102</Paragraphs>
  <TotalTime>1</TotalTime>
  <ScaleCrop>false</ScaleCrop>
  <LinksUpToDate>false</LinksUpToDate>
  <CharactersWithSpaces>35562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2021-04-28T03:31:00Z</dcterms:created>
  <dc:creator>Administrator</dc:creator>
  <cp:lastModifiedBy>0</cp:lastModifiedBy>
  <cp:lastPrinted>2023-07-05T10:28:00Z</cp:lastPrinted>
  <dcterms:modified xsi:type="dcterms:W3CDTF">2023-10-27T03:01:52Z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FFE86E0E8DBA490FB3D73B36457CA1C5_13</vt:lpwstr>
  </property>
</Properties>
</file>