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ascii="仿宋_GB2312" w:hAnsi="仿宋_GB2312" w:eastAsia="仿宋_GB2312" w:cs="仿宋_GB2312"/>
          <w:b/>
          <w:bCs/>
          <w:color w:val="auto"/>
          <w:sz w:val="30"/>
          <w:szCs w:val="30"/>
          <w:highlight w:val="none"/>
          <w:lang w:val="zh-CN"/>
        </w:rPr>
      </w:pPr>
      <w:r>
        <w:rPr>
          <w:rFonts w:hint="eastAsia" w:ascii="仿宋_GB2312" w:hAnsi="仿宋_GB2312" w:eastAsia="仿宋_GB2312" w:cs="仿宋_GB2312"/>
          <w:b/>
          <w:bCs/>
          <w:color w:val="auto"/>
          <w:sz w:val="30"/>
          <w:szCs w:val="30"/>
          <w:highlight w:val="none"/>
          <w:lang w:val="zh-CN"/>
        </w:rPr>
        <w:t>政府采购项目</w:t>
      </w:r>
    </w:p>
    <w:p>
      <w:pPr>
        <w:autoSpaceDE w:val="0"/>
        <w:autoSpaceDN w:val="0"/>
        <w:adjustRightInd w:val="0"/>
        <w:snapToGrid w:val="0"/>
        <w:spacing w:line="360" w:lineRule="auto"/>
        <w:jc w:val="left"/>
        <w:rPr>
          <w:rFonts w:ascii="仿宋_GB2312" w:hAnsi="仿宋_GB2312" w:eastAsia="仿宋_GB2312" w:cs="仿宋_GB2312"/>
          <w:b/>
          <w:bCs/>
          <w:color w:val="auto"/>
          <w:sz w:val="30"/>
          <w:szCs w:val="30"/>
          <w:highlight w:val="none"/>
          <w:lang w:val="zh-CN"/>
        </w:rPr>
      </w:pPr>
      <w:r>
        <w:rPr>
          <w:rFonts w:hint="eastAsia" w:ascii="仿宋_GB2312" w:hAnsi="仿宋_GB2312" w:eastAsia="仿宋_GB2312" w:cs="仿宋_GB2312"/>
          <w:b/>
          <w:bCs/>
          <w:color w:val="auto"/>
          <w:sz w:val="30"/>
          <w:szCs w:val="30"/>
          <w:highlight w:val="none"/>
          <w:lang w:val="zh-CN"/>
        </w:rPr>
        <w:t>采购项目编号：HXTDJC20220210</w:t>
      </w: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30"/>
          <w:szCs w:val="30"/>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32"/>
          <w:szCs w:val="32"/>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32"/>
          <w:szCs w:val="32"/>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32"/>
          <w:szCs w:val="32"/>
          <w:highlight w:val="none"/>
        </w:rPr>
      </w:pPr>
    </w:p>
    <w:p>
      <w:pPr>
        <w:autoSpaceDE w:val="0"/>
        <w:autoSpaceDN w:val="0"/>
        <w:adjustRightInd w:val="0"/>
        <w:snapToGrid w:val="0"/>
        <w:spacing w:line="360" w:lineRule="auto"/>
        <w:jc w:val="center"/>
        <w:rPr>
          <w:rFonts w:hint="eastAsia" w:ascii="仿宋_GB2312" w:hAnsi="仿宋_GB2312" w:eastAsia="仿宋_GB2312" w:cs="仿宋_GB2312"/>
          <w:b/>
          <w:bCs/>
          <w:color w:val="auto"/>
          <w:sz w:val="44"/>
          <w:szCs w:val="44"/>
          <w:highlight w:val="none"/>
          <w:lang w:eastAsia="zh-CN"/>
        </w:rPr>
      </w:pPr>
      <w:r>
        <w:rPr>
          <w:rFonts w:hint="eastAsia" w:ascii="仿宋" w:hAnsi="仿宋" w:eastAsia="仿宋"/>
          <w:b/>
          <w:bCs/>
          <w:color w:val="auto"/>
          <w:sz w:val="44"/>
          <w:szCs w:val="44"/>
          <w:highlight w:val="none"/>
          <w:lang w:eastAsia="zh-CN"/>
        </w:rPr>
        <w:t>13个行政监测断面设施设备运行维护</w:t>
      </w: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36"/>
          <w:szCs w:val="36"/>
          <w:highlight w:val="none"/>
          <w:lang w:val="zh-CN"/>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52"/>
          <w:szCs w:val="52"/>
          <w:highlight w:val="none"/>
          <w:lang w:val="zh-CN"/>
        </w:rPr>
      </w:pPr>
      <w:r>
        <w:rPr>
          <w:rFonts w:hint="eastAsia" w:ascii="仿宋_GB2312" w:hAnsi="仿宋_GB2312" w:eastAsia="仿宋_GB2312" w:cs="仿宋_GB2312"/>
          <w:b/>
          <w:bCs/>
          <w:color w:val="auto"/>
          <w:sz w:val="52"/>
          <w:szCs w:val="52"/>
          <w:highlight w:val="none"/>
          <w:lang w:val="zh-CN"/>
        </w:rPr>
        <w:t>竞争性磋商文件</w:t>
      </w: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50"/>
          <w:szCs w:val="50"/>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50"/>
          <w:szCs w:val="50"/>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50"/>
          <w:szCs w:val="50"/>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30"/>
          <w:szCs w:val="30"/>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30"/>
          <w:szCs w:val="30"/>
          <w:highlight w:val="none"/>
        </w:rPr>
      </w:pPr>
    </w:p>
    <w:p>
      <w:pPr>
        <w:pStyle w:val="3"/>
      </w:pP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30"/>
          <w:szCs w:val="30"/>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val="zh-CN"/>
        </w:rPr>
        <w:t xml:space="preserve"> 陕西鸿信泰鼎建设项目管理有限公司</w:t>
      </w:r>
    </w:p>
    <w:p>
      <w:pPr>
        <w:tabs>
          <w:tab w:val="left" w:pos="5460"/>
        </w:tabs>
        <w:autoSpaceDE w:val="0"/>
        <w:autoSpaceDN w:val="0"/>
        <w:adjustRightInd w:val="0"/>
        <w:snapToGrid w:val="0"/>
        <w:spacing w:line="360" w:lineRule="auto"/>
        <w:jc w:val="center"/>
        <w:rPr>
          <w:rFonts w:ascii="仿宋_GB2312" w:hAnsi="仿宋_GB2312" w:eastAsia="仿宋_GB2312" w:cs="仿宋_GB2312"/>
          <w:b/>
          <w:bCs/>
          <w:color w:val="auto"/>
          <w:sz w:val="30"/>
          <w:szCs w:val="30"/>
          <w:highlight w:val="none"/>
          <w:lang w:val="zh-CN"/>
        </w:rPr>
      </w:pPr>
      <w:r>
        <w:rPr>
          <w:rFonts w:hint="eastAsia" w:ascii="仿宋_GB2312" w:hAnsi="仿宋_GB2312" w:eastAsia="仿宋_GB2312" w:cs="仿宋_GB2312"/>
          <w:b/>
          <w:bCs/>
          <w:color w:val="auto"/>
          <w:sz w:val="30"/>
          <w:szCs w:val="30"/>
          <w:highlight w:val="none"/>
          <w:lang w:val="zh-CN"/>
        </w:rPr>
        <w:t>二〇二</w:t>
      </w:r>
      <w:r>
        <w:rPr>
          <w:rFonts w:hint="eastAsia" w:ascii="仿宋_GB2312" w:hAnsi="仿宋_GB2312" w:eastAsia="仿宋_GB2312" w:cs="仿宋_GB2312"/>
          <w:b/>
          <w:bCs/>
          <w:color w:val="auto"/>
          <w:sz w:val="30"/>
          <w:szCs w:val="30"/>
          <w:highlight w:val="none"/>
        </w:rPr>
        <w:t>二</w:t>
      </w:r>
      <w:r>
        <w:rPr>
          <w:rFonts w:hint="eastAsia" w:ascii="仿宋_GB2312" w:hAnsi="仿宋_GB2312" w:eastAsia="仿宋_GB2312" w:cs="仿宋_GB2312"/>
          <w:b/>
          <w:bCs/>
          <w:color w:val="auto"/>
          <w:sz w:val="30"/>
          <w:szCs w:val="30"/>
          <w:highlight w:val="none"/>
          <w:lang w:val="zh-CN"/>
        </w:rPr>
        <w:t>年</w:t>
      </w:r>
      <w:r>
        <w:rPr>
          <w:rFonts w:hint="eastAsia" w:ascii="仿宋_GB2312" w:hAnsi="仿宋_GB2312" w:eastAsia="仿宋_GB2312" w:cs="仿宋_GB2312"/>
          <w:b/>
          <w:bCs/>
          <w:color w:val="auto"/>
          <w:sz w:val="30"/>
          <w:szCs w:val="30"/>
          <w:highlight w:val="none"/>
          <w:lang w:val="en-US" w:eastAsia="zh-CN"/>
        </w:rPr>
        <w:t>八</w:t>
      </w:r>
      <w:r>
        <w:rPr>
          <w:rFonts w:hint="eastAsia" w:ascii="仿宋_GB2312" w:hAnsi="仿宋_GB2312" w:eastAsia="仿宋_GB2312" w:cs="仿宋_GB2312"/>
          <w:b/>
          <w:bCs/>
          <w:color w:val="auto"/>
          <w:sz w:val="30"/>
          <w:szCs w:val="30"/>
          <w:highlight w:val="none"/>
          <w:lang w:val="zh-CN"/>
        </w:rPr>
        <w:t>月</w:t>
      </w:r>
    </w:p>
    <w:p>
      <w:pPr>
        <w:tabs>
          <w:tab w:val="left" w:pos="3739"/>
        </w:tabs>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ab/>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br w:type="page"/>
      </w:r>
    </w:p>
    <w:p>
      <w:pPr>
        <w:pStyle w:val="3"/>
        <w:rPr>
          <w:color w:val="auto"/>
          <w:highlight w:val="none"/>
        </w:rPr>
        <w:sectPr>
          <w:headerReference r:id="rId4" w:type="first"/>
          <w:headerReference r:id="rId3" w:type="default"/>
          <w:footerReference r:id="rId5" w:type="even"/>
          <w:pgSz w:w="11906" w:h="16838"/>
          <w:pgMar w:top="1440" w:right="1083" w:bottom="1440" w:left="1083" w:header="851" w:footer="992" w:gutter="0"/>
          <w:pgNumType w:start="0"/>
          <w:cols w:space="720" w:num="1"/>
          <w:titlePg/>
          <w:docGrid w:linePitch="312" w:charSpace="0"/>
        </w:sectPr>
      </w:pPr>
    </w:p>
    <w:p>
      <w:pPr>
        <w:pStyle w:val="7"/>
        <w:ind w:firstLine="0" w:firstLineChars="0"/>
        <w:jc w:val="center"/>
        <w:rPr>
          <w:rFonts w:hint="eastAsia" w:ascii="仿宋_GB2312" w:hAnsi="仿宋_GB2312" w:eastAsia="仿宋_GB2312" w:cs="仿宋_GB2312"/>
          <w:b/>
          <w:color w:val="auto"/>
          <w:sz w:val="32"/>
          <w:szCs w:val="32"/>
          <w:highlight w:val="none"/>
        </w:rPr>
      </w:pPr>
    </w:p>
    <w:p>
      <w:pPr>
        <w:pStyle w:val="7"/>
        <w:ind w:firstLine="0" w:firstLineChars="0"/>
        <w:jc w:val="center"/>
        <w:rPr>
          <w:rFonts w:hint="eastAsia" w:ascii="仿宋_GB2312" w:hAnsi="仿宋_GB2312" w:eastAsia="仿宋_GB2312" w:cs="仿宋_GB2312"/>
          <w:b/>
          <w:color w:val="auto"/>
          <w:sz w:val="32"/>
          <w:szCs w:val="32"/>
          <w:highlight w:val="none"/>
        </w:rPr>
      </w:pPr>
    </w:p>
    <w:p>
      <w:pPr>
        <w:pStyle w:val="7"/>
        <w:ind w:firstLine="0" w:firstLineChars="0"/>
        <w:jc w:val="center"/>
        <w:rPr>
          <w:rFonts w:ascii="MV Boli" w:hAnsi="MV Boli" w:eastAsia="黑体" w:cs="MV Boli"/>
          <w:color w:val="auto"/>
          <w:sz w:val="48"/>
          <w:szCs w:val="48"/>
          <w:highlight w:val="none"/>
        </w:rPr>
      </w:pPr>
      <w:r>
        <w:rPr>
          <w:rFonts w:ascii="MV Boli" w:hAnsi="黑体" w:eastAsia="黑体" w:cs="MV Boli"/>
          <w:color w:val="auto"/>
          <w:sz w:val="48"/>
          <w:szCs w:val="48"/>
          <w:highlight w:val="none"/>
        </w:rPr>
        <w:t>目</w:t>
      </w:r>
      <w:r>
        <w:rPr>
          <w:rFonts w:ascii="MV Boli" w:hAnsi="MV Boli" w:eastAsia="黑体" w:cs="MV Boli"/>
          <w:color w:val="auto"/>
          <w:sz w:val="48"/>
          <w:szCs w:val="48"/>
          <w:highlight w:val="none"/>
        </w:rPr>
        <w:t xml:space="preserve"> </w:t>
      </w:r>
      <w:r>
        <w:rPr>
          <w:rFonts w:ascii="MV Boli" w:hAnsi="黑体" w:eastAsia="黑体" w:cs="MV Boli"/>
          <w:color w:val="auto"/>
          <w:sz w:val="48"/>
          <w:szCs w:val="48"/>
          <w:highlight w:val="none"/>
        </w:rPr>
        <w:t>录</w:t>
      </w:r>
    </w:p>
    <w:p>
      <w:pPr>
        <w:pStyle w:val="36"/>
        <w:tabs>
          <w:tab w:val="right" w:leader="dot" w:pos="8300"/>
          <w:tab w:val="clear" w:pos="9344"/>
        </w:tabs>
        <w:rPr>
          <w:rFonts w:ascii="仿宋_GB2312" w:hAnsi="仿宋_GB2312" w:eastAsia="仿宋_GB2312" w:cs="仿宋_GB2312"/>
          <w:b w:val="0"/>
          <w:bCs w:val="0"/>
          <w:caps w:val="0"/>
          <w:color w:val="auto"/>
          <w:sz w:val="28"/>
          <w:szCs w:val="28"/>
          <w:highlight w:val="none"/>
        </w:rPr>
      </w:pPr>
      <w:r>
        <w:rPr>
          <w:rFonts w:hint="eastAsia" w:ascii="仿宋_GB2312" w:hAnsi="仿宋_GB2312" w:eastAsia="仿宋_GB2312" w:cs="仿宋_GB2312"/>
          <w:b w:val="0"/>
          <w:bCs w:val="0"/>
          <w:color w:val="auto"/>
          <w:sz w:val="28"/>
          <w:szCs w:val="28"/>
          <w:highlight w:val="none"/>
        </w:rPr>
        <w:fldChar w:fldCharType="begin"/>
      </w:r>
      <w:r>
        <w:rPr>
          <w:rFonts w:hint="eastAsia" w:ascii="仿宋_GB2312" w:hAnsi="仿宋_GB2312" w:eastAsia="仿宋_GB2312" w:cs="仿宋_GB2312"/>
          <w:b w:val="0"/>
          <w:bCs w:val="0"/>
          <w:color w:val="auto"/>
          <w:sz w:val="28"/>
          <w:szCs w:val="28"/>
          <w:highlight w:val="none"/>
        </w:rPr>
        <w:instrText xml:space="preserve"> TOC \o "1-2" \h \z \u </w:instrText>
      </w:r>
      <w:r>
        <w:rPr>
          <w:rFonts w:hint="eastAsia" w:ascii="仿宋_GB2312" w:hAnsi="仿宋_GB2312" w:eastAsia="仿宋_GB2312" w:cs="仿宋_GB2312"/>
          <w:b w:val="0"/>
          <w:bCs w:val="0"/>
          <w:color w:val="auto"/>
          <w:sz w:val="28"/>
          <w:szCs w:val="28"/>
          <w:highlight w:val="none"/>
        </w:rPr>
        <w:fldChar w:fldCharType="separate"/>
      </w:r>
      <w:r>
        <w:rPr>
          <w:color w:val="auto"/>
          <w:highlight w:val="none"/>
        </w:rPr>
        <w:fldChar w:fldCharType="begin"/>
      </w:r>
      <w:r>
        <w:rPr>
          <w:color w:val="auto"/>
          <w:highlight w:val="none"/>
        </w:rPr>
        <w:instrText xml:space="preserve"> HYPERLINK \l "_Toc68590965" </w:instrText>
      </w:r>
      <w:r>
        <w:rPr>
          <w:color w:val="auto"/>
          <w:highlight w:val="none"/>
        </w:rPr>
        <w:fldChar w:fldCharType="separate"/>
      </w:r>
      <w:r>
        <w:rPr>
          <w:rStyle w:val="59"/>
          <w:rFonts w:hint="default" w:ascii="仿宋_GB2312" w:hAnsi="仿宋_GB2312" w:eastAsia="仿宋_GB2312" w:cs="仿宋_GB2312"/>
          <w:b w:val="0"/>
          <w:color w:val="auto"/>
          <w:sz w:val="28"/>
          <w:szCs w:val="28"/>
          <w:highlight w:val="none"/>
        </w:rPr>
        <w:t>第一章  磋商公告</w:t>
      </w:r>
      <w:r>
        <w:rPr>
          <w:rFonts w:hint="eastAsia" w:ascii="仿宋_GB2312" w:hAnsi="仿宋_GB2312" w:eastAsia="仿宋_GB2312" w:cs="仿宋_GB2312"/>
          <w:b w:val="0"/>
          <w:color w:val="auto"/>
          <w:sz w:val="28"/>
          <w:szCs w:val="28"/>
          <w:highlight w:val="none"/>
        </w:rPr>
        <w:tab/>
      </w:r>
      <w:r>
        <w:rPr>
          <w:rFonts w:hint="eastAsia" w:ascii="仿宋_GB2312" w:hAnsi="仿宋_GB2312" w:eastAsia="仿宋_GB2312" w:cs="仿宋_GB2312"/>
          <w:b w:val="0"/>
          <w:color w:val="auto"/>
          <w:sz w:val="28"/>
          <w:szCs w:val="28"/>
          <w:highlight w:val="none"/>
        </w:rPr>
        <w:fldChar w:fldCharType="begin"/>
      </w:r>
      <w:r>
        <w:rPr>
          <w:rFonts w:hint="eastAsia" w:ascii="仿宋_GB2312" w:hAnsi="仿宋_GB2312" w:eastAsia="仿宋_GB2312" w:cs="仿宋_GB2312"/>
          <w:b w:val="0"/>
          <w:color w:val="auto"/>
          <w:sz w:val="28"/>
          <w:szCs w:val="28"/>
          <w:highlight w:val="none"/>
        </w:rPr>
        <w:instrText xml:space="preserve"> PAGEREF _Toc68590965 \h </w:instrText>
      </w:r>
      <w:r>
        <w:rPr>
          <w:rFonts w:hint="eastAsia" w:ascii="仿宋_GB2312" w:hAnsi="仿宋_GB2312" w:eastAsia="仿宋_GB2312" w:cs="仿宋_GB2312"/>
          <w:b w:val="0"/>
          <w:color w:val="auto"/>
          <w:sz w:val="28"/>
          <w:szCs w:val="28"/>
          <w:highlight w:val="none"/>
        </w:rPr>
        <w:fldChar w:fldCharType="separate"/>
      </w:r>
      <w:r>
        <w:rPr>
          <w:rFonts w:hint="eastAsia" w:ascii="仿宋_GB2312" w:hAnsi="仿宋_GB2312" w:eastAsia="仿宋_GB2312" w:cs="仿宋_GB2312"/>
          <w:b w:val="0"/>
          <w:color w:val="auto"/>
          <w:sz w:val="28"/>
          <w:szCs w:val="28"/>
          <w:highlight w:val="none"/>
        </w:rPr>
        <w:t>1</w:t>
      </w:r>
      <w:r>
        <w:rPr>
          <w:rFonts w:hint="eastAsia" w:ascii="仿宋_GB2312" w:hAnsi="仿宋_GB2312" w:eastAsia="仿宋_GB2312" w:cs="仿宋_GB2312"/>
          <w:b w:val="0"/>
          <w:color w:val="auto"/>
          <w:sz w:val="28"/>
          <w:szCs w:val="28"/>
          <w:highlight w:val="none"/>
        </w:rPr>
        <w:fldChar w:fldCharType="end"/>
      </w:r>
      <w:r>
        <w:rPr>
          <w:rFonts w:hint="eastAsia" w:ascii="仿宋_GB2312" w:hAnsi="仿宋_GB2312" w:eastAsia="仿宋_GB2312" w:cs="仿宋_GB2312"/>
          <w:b w:val="0"/>
          <w:color w:val="auto"/>
          <w:sz w:val="28"/>
          <w:szCs w:val="28"/>
          <w:highlight w:val="none"/>
        </w:rPr>
        <w:fldChar w:fldCharType="end"/>
      </w:r>
    </w:p>
    <w:p>
      <w:pPr>
        <w:pStyle w:val="36"/>
        <w:tabs>
          <w:tab w:val="right" w:leader="dot" w:pos="8300"/>
          <w:tab w:val="clear" w:pos="9344"/>
        </w:tabs>
        <w:rPr>
          <w:rFonts w:ascii="仿宋_GB2312" w:hAnsi="仿宋_GB2312" w:eastAsia="仿宋_GB2312" w:cs="仿宋_GB2312"/>
          <w:b w:val="0"/>
          <w:color w:val="auto"/>
          <w:sz w:val="28"/>
          <w:szCs w:val="28"/>
          <w:highlight w:val="none"/>
        </w:rPr>
      </w:pPr>
      <w:r>
        <w:rPr>
          <w:color w:val="auto"/>
          <w:highlight w:val="none"/>
        </w:rPr>
        <w:fldChar w:fldCharType="begin"/>
      </w:r>
      <w:r>
        <w:rPr>
          <w:color w:val="auto"/>
          <w:highlight w:val="none"/>
        </w:rPr>
        <w:instrText xml:space="preserve"> HYPERLINK \l "_Toc68590966" </w:instrText>
      </w:r>
      <w:r>
        <w:rPr>
          <w:color w:val="auto"/>
          <w:highlight w:val="none"/>
        </w:rPr>
        <w:fldChar w:fldCharType="separate"/>
      </w:r>
      <w:r>
        <w:rPr>
          <w:rStyle w:val="59"/>
          <w:rFonts w:hint="default" w:ascii="仿宋_GB2312" w:hAnsi="仿宋_GB2312" w:eastAsia="仿宋_GB2312" w:cs="仿宋_GB2312"/>
          <w:b w:val="0"/>
          <w:color w:val="auto"/>
          <w:sz w:val="28"/>
          <w:szCs w:val="28"/>
          <w:highlight w:val="none"/>
        </w:rPr>
        <w:t>第二章  供应商须知</w:t>
      </w:r>
      <w:r>
        <w:rPr>
          <w:rFonts w:hint="eastAsia" w:ascii="仿宋_GB2312" w:hAnsi="仿宋_GB2312" w:eastAsia="仿宋_GB2312" w:cs="仿宋_GB2312"/>
          <w:b w:val="0"/>
          <w:color w:val="auto"/>
          <w:sz w:val="28"/>
          <w:szCs w:val="28"/>
          <w:highlight w:val="none"/>
        </w:rPr>
        <w:tab/>
      </w:r>
      <w:r>
        <w:rPr>
          <w:rFonts w:hint="eastAsia" w:ascii="仿宋_GB2312" w:hAnsi="仿宋_GB2312" w:eastAsia="仿宋_GB2312" w:cs="仿宋_GB2312"/>
          <w:b w:val="0"/>
          <w:color w:val="auto"/>
          <w:sz w:val="28"/>
          <w:szCs w:val="28"/>
          <w:highlight w:val="none"/>
        </w:rPr>
        <w:fldChar w:fldCharType="begin"/>
      </w:r>
      <w:r>
        <w:rPr>
          <w:rFonts w:hint="eastAsia" w:ascii="仿宋_GB2312" w:hAnsi="仿宋_GB2312" w:eastAsia="仿宋_GB2312" w:cs="仿宋_GB2312"/>
          <w:b w:val="0"/>
          <w:color w:val="auto"/>
          <w:sz w:val="28"/>
          <w:szCs w:val="28"/>
          <w:highlight w:val="none"/>
        </w:rPr>
        <w:instrText xml:space="preserve"> PAGEREF _Toc68590966 \h </w:instrText>
      </w:r>
      <w:r>
        <w:rPr>
          <w:rFonts w:hint="eastAsia" w:ascii="仿宋_GB2312" w:hAnsi="仿宋_GB2312" w:eastAsia="仿宋_GB2312" w:cs="仿宋_GB2312"/>
          <w:b w:val="0"/>
          <w:color w:val="auto"/>
          <w:sz w:val="28"/>
          <w:szCs w:val="28"/>
          <w:highlight w:val="none"/>
        </w:rPr>
        <w:fldChar w:fldCharType="separate"/>
      </w:r>
      <w:r>
        <w:rPr>
          <w:rFonts w:hint="eastAsia" w:ascii="仿宋_GB2312" w:hAnsi="仿宋_GB2312" w:eastAsia="仿宋_GB2312" w:cs="仿宋_GB2312"/>
          <w:b w:val="0"/>
          <w:color w:val="auto"/>
          <w:sz w:val="28"/>
          <w:szCs w:val="28"/>
          <w:highlight w:val="none"/>
        </w:rPr>
        <w:t>4</w:t>
      </w:r>
      <w:r>
        <w:rPr>
          <w:rFonts w:hint="eastAsia" w:ascii="仿宋_GB2312" w:hAnsi="仿宋_GB2312" w:eastAsia="仿宋_GB2312" w:cs="仿宋_GB2312"/>
          <w:b w:val="0"/>
          <w:color w:val="auto"/>
          <w:sz w:val="28"/>
          <w:szCs w:val="28"/>
          <w:highlight w:val="none"/>
        </w:rPr>
        <w:fldChar w:fldCharType="end"/>
      </w:r>
      <w:r>
        <w:rPr>
          <w:rFonts w:hint="eastAsia" w:ascii="仿宋_GB2312" w:hAnsi="仿宋_GB2312" w:eastAsia="仿宋_GB2312" w:cs="仿宋_GB2312"/>
          <w:b w:val="0"/>
          <w:color w:val="auto"/>
          <w:sz w:val="28"/>
          <w:szCs w:val="28"/>
          <w:highlight w:val="none"/>
        </w:rPr>
        <w:fldChar w:fldCharType="end"/>
      </w:r>
    </w:p>
    <w:p>
      <w:pPr>
        <w:pStyle w:val="36"/>
        <w:tabs>
          <w:tab w:val="right" w:leader="dot" w:pos="8300"/>
          <w:tab w:val="clear" w:pos="9344"/>
        </w:tabs>
        <w:rPr>
          <w:rFonts w:ascii="仿宋_GB2312" w:hAnsi="仿宋_GB2312" w:eastAsia="仿宋_GB2312" w:cs="仿宋_GB2312"/>
          <w:b w:val="0"/>
          <w:bCs w:val="0"/>
          <w:caps w:val="0"/>
          <w:color w:val="auto"/>
          <w:sz w:val="28"/>
          <w:szCs w:val="28"/>
          <w:highlight w:val="none"/>
        </w:rPr>
      </w:pPr>
      <w:r>
        <w:rPr>
          <w:color w:val="auto"/>
          <w:highlight w:val="none"/>
        </w:rPr>
        <w:fldChar w:fldCharType="begin"/>
      </w:r>
      <w:r>
        <w:rPr>
          <w:color w:val="auto"/>
          <w:highlight w:val="none"/>
        </w:rPr>
        <w:instrText xml:space="preserve"> HYPERLINK \l "_Toc68590975" </w:instrText>
      </w:r>
      <w:r>
        <w:rPr>
          <w:color w:val="auto"/>
          <w:highlight w:val="none"/>
        </w:rPr>
        <w:fldChar w:fldCharType="separate"/>
      </w:r>
      <w:r>
        <w:rPr>
          <w:rStyle w:val="59"/>
          <w:rFonts w:hint="default" w:ascii="仿宋_GB2312" w:hAnsi="仿宋_GB2312" w:eastAsia="仿宋_GB2312" w:cs="仿宋_GB2312"/>
          <w:b w:val="0"/>
          <w:color w:val="auto"/>
          <w:sz w:val="28"/>
          <w:szCs w:val="28"/>
          <w:highlight w:val="none"/>
        </w:rPr>
        <w:t>第三章  评审办法和标准</w:t>
      </w:r>
      <w:r>
        <w:rPr>
          <w:rFonts w:hint="eastAsia" w:ascii="仿宋_GB2312" w:hAnsi="仿宋_GB2312" w:eastAsia="仿宋_GB2312" w:cs="仿宋_GB2312"/>
          <w:b w:val="0"/>
          <w:color w:val="auto"/>
          <w:sz w:val="28"/>
          <w:szCs w:val="28"/>
          <w:highlight w:val="none"/>
        </w:rPr>
        <w:tab/>
      </w:r>
      <w:r>
        <w:rPr>
          <w:rFonts w:hint="eastAsia" w:ascii="仿宋_GB2312" w:hAnsi="仿宋_GB2312" w:eastAsia="仿宋_GB2312" w:cs="仿宋_GB2312"/>
          <w:b w:val="0"/>
          <w:color w:val="auto"/>
          <w:sz w:val="28"/>
          <w:szCs w:val="28"/>
          <w:highlight w:val="none"/>
        </w:rPr>
        <w:fldChar w:fldCharType="begin"/>
      </w:r>
      <w:r>
        <w:rPr>
          <w:rFonts w:hint="eastAsia" w:ascii="仿宋_GB2312" w:hAnsi="仿宋_GB2312" w:eastAsia="仿宋_GB2312" w:cs="仿宋_GB2312"/>
          <w:b w:val="0"/>
          <w:color w:val="auto"/>
          <w:sz w:val="28"/>
          <w:szCs w:val="28"/>
          <w:highlight w:val="none"/>
        </w:rPr>
        <w:instrText xml:space="preserve"> PAGEREF _Toc68590975 \h </w:instrText>
      </w:r>
      <w:r>
        <w:rPr>
          <w:rFonts w:hint="eastAsia" w:ascii="仿宋_GB2312" w:hAnsi="仿宋_GB2312" w:eastAsia="仿宋_GB2312" w:cs="仿宋_GB2312"/>
          <w:b w:val="0"/>
          <w:color w:val="auto"/>
          <w:sz w:val="28"/>
          <w:szCs w:val="28"/>
          <w:highlight w:val="none"/>
        </w:rPr>
        <w:fldChar w:fldCharType="separate"/>
      </w:r>
      <w:r>
        <w:rPr>
          <w:rFonts w:hint="eastAsia" w:ascii="仿宋_GB2312" w:hAnsi="仿宋_GB2312" w:eastAsia="仿宋_GB2312" w:cs="仿宋_GB2312"/>
          <w:b w:val="0"/>
          <w:color w:val="auto"/>
          <w:sz w:val="28"/>
          <w:szCs w:val="28"/>
          <w:highlight w:val="none"/>
        </w:rPr>
        <w:t>28</w:t>
      </w:r>
      <w:r>
        <w:rPr>
          <w:rFonts w:hint="eastAsia" w:ascii="仿宋_GB2312" w:hAnsi="仿宋_GB2312" w:eastAsia="仿宋_GB2312" w:cs="仿宋_GB2312"/>
          <w:b w:val="0"/>
          <w:color w:val="auto"/>
          <w:sz w:val="28"/>
          <w:szCs w:val="28"/>
          <w:highlight w:val="none"/>
        </w:rPr>
        <w:fldChar w:fldCharType="end"/>
      </w:r>
      <w:r>
        <w:rPr>
          <w:rFonts w:hint="eastAsia" w:ascii="仿宋_GB2312" w:hAnsi="仿宋_GB2312" w:eastAsia="仿宋_GB2312" w:cs="仿宋_GB2312"/>
          <w:b w:val="0"/>
          <w:color w:val="auto"/>
          <w:sz w:val="28"/>
          <w:szCs w:val="28"/>
          <w:highlight w:val="none"/>
        </w:rPr>
        <w:fldChar w:fldCharType="end"/>
      </w:r>
    </w:p>
    <w:p>
      <w:pPr>
        <w:pStyle w:val="36"/>
        <w:tabs>
          <w:tab w:val="right" w:leader="dot" w:pos="8300"/>
          <w:tab w:val="clear" w:pos="9344"/>
        </w:tabs>
        <w:rPr>
          <w:rFonts w:ascii="仿宋_GB2312" w:hAnsi="仿宋_GB2312" w:eastAsia="仿宋_GB2312" w:cs="仿宋_GB2312"/>
          <w:b w:val="0"/>
          <w:bCs w:val="0"/>
          <w:caps w:val="0"/>
          <w:color w:val="auto"/>
          <w:sz w:val="28"/>
          <w:szCs w:val="28"/>
          <w:highlight w:val="none"/>
        </w:rPr>
      </w:pPr>
      <w:r>
        <w:rPr>
          <w:color w:val="auto"/>
          <w:highlight w:val="none"/>
        </w:rPr>
        <w:fldChar w:fldCharType="begin"/>
      </w:r>
      <w:r>
        <w:rPr>
          <w:color w:val="auto"/>
          <w:highlight w:val="none"/>
        </w:rPr>
        <w:instrText xml:space="preserve"> HYPERLINK \l "_Toc68590979" </w:instrText>
      </w:r>
      <w:r>
        <w:rPr>
          <w:color w:val="auto"/>
          <w:highlight w:val="none"/>
        </w:rPr>
        <w:fldChar w:fldCharType="separate"/>
      </w:r>
      <w:r>
        <w:rPr>
          <w:rStyle w:val="59"/>
          <w:rFonts w:hint="default" w:ascii="仿宋_GB2312" w:hAnsi="仿宋_GB2312" w:eastAsia="仿宋_GB2312" w:cs="仿宋_GB2312"/>
          <w:b w:val="0"/>
          <w:color w:val="auto"/>
          <w:sz w:val="28"/>
          <w:szCs w:val="28"/>
          <w:highlight w:val="none"/>
        </w:rPr>
        <w:t>第四章  合同草案条款</w:t>
      </w:r>
      <w:r>
        <w:rPr>
          <w:rFonts w:hint="eastAsia" w:ascii="仿宋_GB2312" w:hAnsi="仿宋_GB2312" w:eastAsia="仿宋_GB2312" w:cs="仿宋_GB2312"/>
          <w:b w:val="0"/>
          <w:color w:val="auto"/>
          <w:sz w:val="28"/>
          <w:szCs w:val="28"/>
          <w:highlight w:val="none"/>
        </w:rPr>
        <w:tab/>
      </w:r>
      <w:r>
        <w:rPr>
          <w:rFonts w:hint="eastAsia" w:ascii="仿宋_GB2312" w:hAnsi="仿宋_GB2312" w:eastAsia="仿宋_GB2312" w:cs="仿宋_GB2312"/>
          <w:b w:val="0"/>
          <w:color w:val="auto"/>
          <w:sz w:val="28"/>
          <w:szCs w:val="28"/>
          <w:highlight w:val="none"/>
        </w:rPr>
        <w:fldChar w:fldCharType="begin"/>
      </w:r>
      <w:r>
        <w:rPr>
          <w:rFonts w:hint="eastAsia" w:ascii="仿宋_GB2312" w:hAnsi="仿宋_GB2312" w:eastAsia="仿宋_GB2312" w:cs="仿宋_GB2312"/>
          <w:b w:val="0"/>
          <w:color w:val="auto"/>
          <w:sz w:val="28"/>
          <w:szCs w:val="28"/>
          <w:highlight w:val="none"/>
        </w:rPr>
        <w:instrText xml:space="preserve"> PAGEREF _Toc68590979 \h </w:instrText>
      </w:r>
      <w:r>
        <w:rPr>
          <w:rFonts w:hint="eastAsia" w:ascii="仿宋_GB2312" w:hAnsi="仿宋_GB2312" w:eastAsia="仿宋_GB2312" w:cs="仿宋_GB2312"/>
          <w:b w:val="0"/>
          <w:color w:val="auto"/>
          <w:sz w:val="28"/>
          <w:szCs w:val="28"/>
          <w:highlight w:val="none"/>
        </w:rPr>
        <w:fldChar w:fldCharType="separate"/>
      </w:r>
      <w:r>
        <w:rPr>
          <w:rFonts w:hint="eastAsia" w:ascii="仿宋_GB2312" w:hAnsi="仿宋_GB2312" w:eastAsia="仿宋_GB2312" w:cs="仿宋_GB2312"/>
          <w:b w:val="0"/>
          <w:color w:val="auto"/>
          <w:sz w:val="28"/>
          <w:szCs w:val="28"/>
          <w:highlight w:val="none"/>
        </w:rPr>
        <w:t>38</w:t>
      </w:r>
      <w:r>
        <w:rPr>
          <w:rFonts w:hint="eastAsia" w:ascii="仿宋_GB2312" w:hAnsi="仿宋_GB2312" w:eastAsia="仿宋_GB2312" w:cs="仿宋_GB2312"/>
          <w:b w:val="0"/>
          <w:color w:val="auto"/>
          <w:sz w:val="28"/>
          <w:szCs w:val="28"/>
          <w:highlight w:val="none"/>
        </w:rPr>
        <w:fldChar w:fldCharType="end"/>
      </w:r>
      <w:r>
        <w:rPr>
          <w:rFonts w:hint="eastAsia" w:ascii="仿宋_GB2312" w:hAnsi="仿宋_GB2312" w:eastAsia="仿宋_GB2312" w:cs="仿宋_GB2312"/>
          <w:b w:val="0"/>
          <w:color w:val="auto"/>
          <w:sz w:val="28"/>
          <w:szCs w:val="28"/>
          <w:highlight w:val="none"/>
        </w:rPr>
        <w:fldChar w:fldCharType="end"/>
      </w:r>
    </w:p>
    <w:p>
      <w:pPr>
        <w:pStyle w:val="36"/>
        <w:tabs>
          <w:tab w:val="right" w:leader="dot" w:pos="8300"/>
          <w:tab w:val="clear" w:pos="9344"/>
        </w:tabs>
        <w:rPr>
          <w:rFonts w:ascii="仿宋_GB2312" w:hAnsi="仿宋_GB2312" w:eastAsia="仿宋_GB2312" w:cs="仿宋_GB2312"/>
          <w:b w:val="0"/>
          <w:bCs w:val="0"/>
          <w:caps w:val="0"/>
          <w:color w:val="auto"/>
          <w:sz w:val="28"/>
          <w:szCs w:val="28"/>
          <w:highlight w:val="none"/>
        </w:rPr>
      </w:pPr>
      <w:r>
        <w:rPr>
          <w:color w:val="auto"/>
          <w:highlight w:val="none"/>
        </w:rPr>
        <w:fldChar w:fldCharType="begin"/>
      </w:r>
      <w:r>
        <w:rPr>
          <w:color w:val="auto"/>
          <w:highlight w:val="none"/>
        </w:rPr>
        <w:instrText xml:space="preserve"> HYPERLINK \l "_Toc68590980" </w:instrText>
      </w:r>
      <w:r>
        <w:rPr>
          <w:color w:val="auto"/>
          <w:highlight w:val="none"/>
        </w:rPr>
        <w:fldChar w:fldCharType="separate"/>
      </w:r>
      <w:r>
        <w:rPr>
          <w:rStyle w:val="59"/>
          <w:rFonts w:hint="default" w:ascii="仿宋_GB2312" w:hAnsi="仿宋_GB2312" w:eastAsia="仿宋_GB2312" w:cs="仿宋_GB2312"/>
          <w:b w:val="0"/>
          <w:color w:val="auto"/>
          <w:sz w:val="28"/>
          <w:szCs w:val="28"/>
          <w:highlight w:val="none"/>
        </w:rPr>
        <w:t>第五章  采购内容及要求</w:t>
      </w:r>
      <w:r>
        <w:rPr>
          <w:rFonts w:hint="eastAsia" w:ascii="仿宋_GB2312" w:hAnsi="仿宋_GB2312" w:eastAsia="仿宋_GB2312" w:cs="仿宋_GB2312"/>
          <w:b w:val="0"/>
          <w:color w:val="auto"/>
          <w:sz w:val="28"/>
          <w:szCs w:val="28"/>
          <w:highlight w:val="none"/>
        </w:rPr>
        <w:tab/>
      </w:r>
      <w:r>
        <w:rPr>
          <w:rFonts w:hint="eastAsia" w:ascii="仿宋_GB2312" w:hAnsi="仿宋_GB2312" w:eastAsia="仿宋_GB2312" w:cs="仿宋_GB2312"/>
          <w:b w:val="0"/>
          <w:color w:val="auto"/>
          <w:sz w:val="28"/>
          <w:szCs w:val="28"/>
          <w:highlight w:val="none"/>
        </w:rPr>
        <w:fldChar w:fldCharType="begin"/>
      </w:r>
      <w:r>
        <w:rPr>
          <w:rFonts w:hint="eastAsia" w:ascii="仿宋_GB2312" w:hAnsi="仿宋_GB2312" w:eastAsia="仿宋_GB2312" w:cs="仿宋_GB2312"/>
          <w:b w:val="0"/>
          <w:color w:val="auto"/>
          <w:sz w:val="28"/>
          <w:szCs w:val="28"/>
          <w:highlight w:val="none"/>
        </w:rPr>
        <w:instrText xml:space="preserve"> PAGEREF _Toc68590980 \h </w:instrText>
      </w:r>
      <w:r>
        <w:rPr>
          <w:rFonts w:hint="eastAsia" w:ascii="仿宋_GB2312" w:hAnsi="仿宋_GB2312" w:eastAsia="仿宋_GB2312" w:cs="仿宋_GB2312"/>
          <w:b w:val="0"/>
          <w:color w:val="auto"/>
          <w:sz w:val="28"/>
          <w:szCs w:val="28"/>
          <w:highlight w:val="none"/>
        </w:rPr>
        <w:fldChar w:fldCharType="separate"/>
      </w:r>
      <w:r>
        <w:rPr>
          <w:rFonts w:hint="eastAsia" w:ascii="仿宋_GB2312" w:hAnsi="仿宋_GB2312" w:eastAsia="仿宋_GB2312" w:cs="仿宋_GB2312"/>
          <w:b w:val="0"/>
          <w:color w:val="auto"/>
          <w:sz w:val="28"/>
          <w:szCs w:val="28"/>
          <w:highlight w:val="none"/>
        </w:rPr>
        <w:t>43</w:t>
      </w:r>
      <w:r>
        <w:rPr>
          <w:rFonts w:hint="eastAsia" w:ascii="仿宋_GB2312" w:hAnsi="仿宋_GB2312" w:eastAsia="仿宋_GB2312" w:cs="仿宋_GB2312"/>
          <w:b w:val="0"/>
          <w:color w:val="auto"/>
          <w:sz w:val="28"/>
          <w:szCs w:val="28"/>
          <w:highlight w:val="none"/>
        </w:rPr>
        <w:fldChar w:fldCharType="end"/>
      </w:r>
      <w:r>
        <w:rPr>
          <w:rFonts w:hint="eastAsia" w:ascii="仿宋_GB2312" w:hAnsi="仿宋_GB2312" w:eastAsia="仿宋_GB2312" w:cs="仿宋_GB2312"/>
          <w:b w:val="0"/>
          <w:color w:val="auto"/>
          <w:sz w:val="28"/>
          <w:szCs w:val="28"/>
          <w:highlight w:val="none"/>
        </w:rPr>
        <w:fldChar w:fldCharType="end"/>
      </w:r>
    </w:p>
    <w:p>
      <w:pPr>
        <w:pStyle w:val="36"/>
        <w:tabs>
          <w:tab w:val="right" w:leader="dot" w:pos="8300"/>
          <w:tab w:val="clear" w:pos="9344"/>
        </w:tabs>
        <w:rPr>
          <w:rFonts w:hint="eastAsia" w:ascii="仿宋_GB2312" w:hAnsi="仿宋_GB2312" w:eastAsia="仿宋_GB2312" w:cs="仿宋_GB2312"/>
          <w:b w:val="0"/>
          <w:bCs w:val="0"/>
          <w:caps w:val="0"/>
          <w:color w:val="auto"/>
          <w:sz w:val="28"/>
          <w:szCs w:val="28"/>
          <w:highlight w:val="none"/>
          <w:lang w:val="en-US" w:eastAsia="zh-CN"/>
        </w:rPr>
      </w:pPr>
      <w:r>
        <w:rPr>
          <w:color w:val="auto"/>
          <w:highlight w:val="none"/>
        </w:rPr>
        <w:fldChar w:fldCharType="begin"/>
      </w:r>
      <w:r>
        <w:rPr>
          <w:color w:val="auto"/>
          <w:highlight w:val="none"/>
        </w:rPr>
        <w:instrText xml:space="preserve"> HYPERLINK \l "_Toc68590981" </w:instrText>
      </w:r>
      <w:r>
        <w:rPr>
          <w:color w:val="auto"/>
          <w:highlight w:val="none"/>
        </w:rPr>
        <w:fldChar w:fldCharType="separate"/>
      </w:r>
      <w:r>
        <w:rPr>
          <w:rStyle w:val="59"/>
          <w:rFonts w:hint="default" w:ascii="仿宋_GB2312" w:hAnsi="仿宋_GB2312" w:eastAsia="仿宋_GB2312" w:cs="仿宋_GB2312"/>
          <w:b w:val="0"/>
          <w:color w:val="auto"/>
          <w:sz w:val="28"/>
          <w:szCs w:val="28"/>
          <w:highlight w:val="none"/>
        </w:rPr>
        <w:t>第六章  磋商响应文件格式</w:t>
      </w:r>
      <w:r>
        <w:rPr>
          <w:rFonts w:hint="eastAsia" w:ascii="仿宋_GB2312" w:hAnsi="仿宋_GB2312" w:eastAsia="仿宋_GB2312" w:cs="仿宋_GB2312"/>
          <w:b w:val="0"/>
          <w:color w:val="auto"/>
          <w:sz w:val="28"/>
          <w:szCs w:val="28"/>
          <w:highlight w:val="none"/>
        </w:rPr>
        <w:tab/>
      </w:r>
      <w:r>
        <w:rPr>
          <w:rFonts w:hint="eastAsia" w:ascii="仿宋_GB2312" w:hAnsi="仿宋_GB2312" w:eastAsia="仿宋_GB2312" w:cs="仿宋_GB2312"/>
          <w:b w:val="0"/>
          <w:color w:val="auto"/>
          <w:sz w:val="28"/>
          <w:szCs w:val="28"/>
          <w:highlight w:val="none"/>
          <w:lang w:val="en-US" w:eastAsia="zh-CN"/>
        </w:rPr>
        <w:t>4</w:t>
      </w:r>
      <w:r>
        <w:rPr>
          <w:rFonts w:hint="eastAsia" w:ascii="仿宋_GB2312" w:hAnsi="仿宋_GB2312" w:eastAsia="仿宋_GB2312" w:cs="仿宋_GB2312"/>
          <w:b w:val="0"/>
          <w:color w:val="auto"/>
          <w:sz w:val="28"/>
          <w:szCs w:val="28"/>
          <w:highlight w:val="none"/>
        </w:rPr>
        <w:fldChar w:fldCharType="end"/>
      </w:r>
      <w:r>
        <w:rPr>
          <w:rFonts w:hint="eastAsia" w:ascii="仿宋_GB2312" w:hAnsi="仿宋_GB2312" w:eastAsia="仿宋_GB2312" w:cs="仿宋_GB2312"/>
          <w:b w:val="0"/>
          <w:color w:val="auto"/>
          <w:sz w:val="28"/>
          <w:szCs w:val="28"/>
          <w:highlight w:val="none"/>
          <w:lang w:val="en-US" w:eastAsia="zh-CN"/>
        </w:rPr>
        <w:t>4</w:t>
      </w:r>
    </w:p>
    <w:p>
      <w:pPr>
        <w:tabs>
          <w:tab w:val="center" w:pos="4677"/>
          <w:tab w:val="left" w:pos="5040"/>
        </w:tabs>
        <w:adjustRightInd w:val="0"/>
        <w:snapToGrid w:val="0"/>
        <w:spacing w:line="360" w:lineRule="auto"/>
        <w:jc w:val="left"/>
        <w:rPr>
          <w:rFonts w:ascii="仿宋_GB2312" w:hAnsi="仿宋_GB2312" w:eastAsia="仿宋_GB2312" w:cs="仿宋_GB2312"/>
          <w:color w:val="auto"/>
          <w:szCs w:val="20"/>
          <w:highlight w:val="none"/>
        </w:rPr>
      </w:pPr>
      <w:r>
        <w:rPr>
          <w:rFonts w:hint="eastAsia" w:ascii="仿宋_GB2312" w:hAnsi="仿宋_GB2312" w:eastAsia="仿宋_GB2312" w:cs="仿宋_GB2312"/>
          <w:color w:val="auto"/>
          <w:sz w:val="28"/>
          <w:szCs w:val="28"/>
          <w:highlight w:val="none"/>
        </w:rPr>
        <w:fldChar w:fldCharType="end"/>
      </w: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pStyle w:val="47"/>
        <w:spacing w:line="360" w:lineRule="auto"/>
        <w:rPr>
          <w:rStyle w:val="203"/>
          <w:rFonts w:hint="eastAsia" w:ascii="宋体" w:hAnsi="宋体" w:eastAsia="宋体"/>
          <w:color w:val="auto"/>
          <w:sz w:val="36"/>
          <w:szCs w:val="36"/>
          <w:highlight w:val="none"/>
        </w:rPr>
        <w:sectPr>
          <w:footerReference r:id="rId6" w:type="default"/>
          <w:pgSz w:w="11906" w:h="16838"/>
          <w:pgMar w:top="1440" w:right="1800" w:bottom="1440" w:left="1800" w:header="851" w:footer="992" w:gutter="0"/>
          <w:pgNumType w:fmt="decimal" w:start="1"/>
          <w:cols w:space="720" w:num="1"/>
          <w:docGrid w:type="lines" w:linePitch="312" w:charSpace="0"/>
        </w:sectPr>
      </w:pPr>
      <w:bookmarkStart w:id="0" w:name="_Toc68590965"/>
      <w:bookmarkStart w:id="1" w:name="_Toc58504445"/>
      <w:bookmarkStart w:id="2" w:name="_Toc21755"/>
      <w:bookmarkStart w:id="3" w:name="_Toc415499894"/>
      <w:bookmarkStart w:id="4" w:name="_Toc53722839"/>
      <w:bookmarkStart w:id="5" w:name="_Toc503063420"/>
      <w:bookmarkStart w:id="6" w:name="_Toc176882541"/>
      <w:bookmarkStart w:id="7" w:name="_Toc492955413"/>
      <w:bookmarkStart w:id="8" w:name="_Toc500747187"/>
      <w:bookmarkStart w:id="9" w:name="_Toc177189234"/>
      <w:bookmarkStart w:id="10" w:name="_Toc177817333"/>
      <w:bookmarkStart w:id="11" w:name="_Toc499711882"/>
      <w:bookmarkStart w:id="12" w:name="_Toc499711041"/>
      <w:bookmarkStart w:id="13" w:name="_Toc500746964"/>
      <w:bookmarkStart w:id="14" w:name="_Toc70687138"/>
      <w:bookmarkStart w:id="15" w:name="_Toc177995472"/>
      <w:bookmarkStart w:id="16" w:name="_Toc496324577"/>
      <w:bookmarkStart w:id="17" w:name="_Toc500747060"/>
      <w:bookmarkStart w:id="18" w:name="_Toc385992325"/>
      <w:bookmarkStart w:id="19" w:name="_Toc385992324"/>
    </w:p>
    <w:p>
      <w:pPr>
        <w:pStyle w:val="47"/>
        <w:spacing w:line="360" w:lineRule="auto"/>
        <w:rPr>
          <w:rStyle w:val="203"/>
          <w:rFonts w:ascii="宋体" w:hAnsi="宋体" w:eastAsia="宋体"/>
          <w:color w:val="auto"/>
          <w:sz w:val="36"/>
          <w:szCs w:val="36"/>
          <w:highlight w:val="none"/>
        </w:rPr>
      </w:pPr>
      <w:r>
        <w:rPr>
          <w:rStyle w:val="203"/>
          <w:rFonts w:hint="eastAsia" w:ascii="宋体" w:hAnsi="宋体" w:eastAsia="宋体"/>
          <w:color w:val="auto"/>
          <w:sz w:val="36"/>
          <w:szCs w:val="36"/>
          <w:highlight w:val="none"/>
        </w:rPr>
        <w:t>第一章  磋商公告</w:t>
      </w:r>
      <w:bookmarkEnd w:id="0"/>
      <w:bookmarkEnd w:id="1"/>
      <w:bookmarkEnd w:id="2"/>
      <w:bookmarkEnd w:id="3"/>
    </w:p>
    <w:p>
      <w:pPr>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sz w:val="28"/>
          <w:szCs w:val="28"/>
          <w:highlight w:val="none"/>
        </w:rPr>
        <w:t>13个行政监测断面设施设备运行维护竞争性磋商公告</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1317" w:leftChars="228" w:right="0" w:hanging="838" w:hangingChars="348"/>
        <w:jc w:val="left"/>
        <w:textAlignment w:val="auto"/>
        <w:rPr>
          <w:rFonts w:hint="eastAsia" w:ascii="仿宋" w:hAnsi="仿宋" w:eastAsia="仿宋" w:cs="仿宋"/>
          <w:b w:val="0"/>
          <w:bCs w:val="0"/>
          <w:color w:val="auto"/>
          <w:sz w:val="24"/>
          <w:szCs w:val="24"/>
          <w:highlight w:val="none"/>
        </w:rPr>
      </w:pPr>
      <w:r>
        <w:rPr>
          <w:rStyle w:val="53"/>
          <w:rFonts w:hint="eastAsia" w:ascii="仿宋" w:hAnsi="仿宋" w:eastAsia="仿宋" w:cs="仿宋"/>
          <w:b/>
          <w:bCs/>
          <w:i w:val="0"/>
          <w:iCs w:val="0"/>
          <w:caps w:val="0"/>
          <w:color w:val="auto"/>
          <w:spacing w:val="0"/>
          <w:sz w:val="24"/>
          <w:szCs w:val="24"/>
          <w:highlight w:val="none"/>
          <w:shd w:val="clear" w:fill="FFFFFF"/>
        </w:rPr>
        <w:t>项目概况</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13个行政监测断面设施设备运行维护采购项目的潜在供应商应在西安市高新区沣惠南路唐沣国际D座13楼1301室获取采购文件，并于 2022年09月</w:t>
      </w:r>
      <w:r>
        <w:rPr>
          <w:rFonts w:hint="eastAsia" w:ascii="仿宋" w:hAnsi="仿宋" w:eastAsia="仿宋" w:cs="仿宋"/>
          <w:i w:val="0"/>
          <w:iCs w:val="0"/>
          <w:caps w:val="0"/>
          <w:color w:val="auto"/>
          <w:spacing w:val="0"/>
          <w:sz w:val="24"/>
          <w:szCs w:val="24"/>
          <w:highlight w:val="none"/>
          <w:shd w:val="clear" w:fill="FFFFFF"/>
          <w:lang w:val="en-US" w:eastAsia="zh-CN"/>
        </w:rPr>
        <w:t>09</w:t>
      </w:r>
      <w:r>
        <w:rPr>
          <w:rFonts w:hint="eastAsia" w:ascii="仿宋" w:hAnsi="仿宋" w:eastAsia="仿宋" w:cs="仿宋"/>
          <w:i w:val="0"/>
          <w:iCs w:val="0"/>
          <w:caps w:val="0"/>
          <w:color w:val="auto"/>
          <w:spacing w:val="0"/>
          <w:sz w:val="24"/>
          <w:szCs w:val="24"/>
          <w:highlight w:val="none"/>
          <w:shd w:val="clear" w:fill="FFFFFF"/>
        </w:rPr>
        <w:t>日 14时30分 （北京时间）前提交响应文件。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460" w:lineRule="exact"/>
        <w:ind w:left="0" w:right="0" w:firstLine="0"/>
        <w:jc w:val="left"/>
        <w:textAlignment w:val="auto"/>
        <w:rPr>
          <w:rFonts w:hint="eastAsia" w:ascii="仿宋" w:hAnsi="仿宋" w:eastAsia="仿宋" w:cs="仿宋"/>
          <w:b w:val="0"/>
          <w:bCs w:val="0"/>
          <w:i w:val="0"/>
          <w:iCs w:val="0"/>
          <w:caps w:val="0"/>
          <w:color w:val="auto"/>
          <w:spacing w:val="0"/>
          <w:sz w:val="24"/>
          <w:szCs w:val="24"/>
          <w:highlight w:val="none"/>
        </w:rPr>
      </w:pPr>
      <w:r>
        <w:rPr>
          <w:rStyle w:val="53"/>
          <w:rFonts w:hint="eastAsia" w:ascii="仿宋" w:hAnsi="仿宋" w:eastAsia="仿宋" w:cs="仿宋"/>
          <w:b/>
          <w:bCs/>
          <w:i w:val="0"/>
          <w:iCs w:val="0"/>
          <w:caps w:val="0"/>
          <w:color w:val="auto"/>
          <w:spacing w:val="0"/>
          <w:sz w:val="24"/>
          <w:szCs w:val="24"/>
          <w:highlight w:val="none"/>
          <w:shd w:val="clear" w:fill="FFFFFF"/>
        </w:rPr>
        <w:t>一、项目基本情况</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项目编号：HXTDJC20220210</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项目名称：13个行政监测断面设施设备运行维护</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采购方式：竞争性磋商</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预算金额：800,000.00元</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采购需求：</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合同包1(13个行政监测断面设施设备运行维护):</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63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合同包预算金额：800,000.00元</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63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合同包最高限价：800,000.00元</w:t>
      </w:r>
    </w:p>
    <w:tbl>
      <w:tblPr>
        <w:tblStyle w:val="50"/>
        <w:tblW w:w="983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39"/>
        <w:gridCol w:w="1284"/>
        <w:gridCol w:w="1268"/>
        <w:gridCol w:w="1159"/>
        <w:gridCol w:w="1841"/>
        <w:gridCol w:w="1622"/>
        <w:gridCol w:w="16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41" w:hRule="atLeast"/>
          <w:tblHeader/>
        </w:trPr>
        <w:tc>
          <w:tcPr>
            <w:tcW w:w="10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品目号</w:t>
            </w:r>
          </w:p>
        </w:tc>
        <w:tc>
          <w:tcPr>
            <w:tcW w:w="12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品目名称</w:t>
            </w:r>
          </w:p>
        </w:tc>
        <w:tc>
          <w:tcPr>
            <w:tcW w:w="12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采购标的</w:t>
            </w:r>
          </w:p>
        </w:tc>
        <w:tc>
          <w:tcPr>
            <w:tcW w:w="11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（单位）</w:t>
            </w:r>
          </w:p>
        </w:tc>
        <w:tc>
          <w:tcPr>
            <w:tcW w:w="18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技术规格、参数及要求</w:t>
            </w:r>
          </w:p>
        </w:tc>
        <w:tc>
          <w:tcPr>
            <w:tcW w:w="16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品目预算(元)</w:t>
            </w:r>
          </w:p>
        </w:tc>
        <w:tc>
          <w:tcPr>
            <w:tcW w:w="16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0" w:hRule="atLeast"/>
        </w:trPr>
        <w:tc>
          <w:tcPr>
            <w:tcW w:w="10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1-1</w:t>
            </w:r>
          </w:p>
        </w:tc>
        <w:tc>
          <w:tcPr>
            <w:tcW w:w="12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其他维修和保养服务</w:t>
            </w:r>
          </w:p>
        </w:tc>
        <w:tc>
          <w:tcPr>
            <w:tcW w:w="12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800000</w:t>
            </w:r>
          </w:p>
        </w:tc>
        <w:tc>
          <w:tcPr>
            <w:tcW w:w="11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1(项)</w:t>
            </w:r>
          </w:p>
        </w:tc>
        <w:tc>
          <w:tcPr>
            <w:tcW w:w="18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60" w:lineRule="exact"/>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详见采购文件</w:t>
            </w:r>
          </w:p>
        </w:tc>
        <w:tc>
          <w:tcPr>
            <w:tcW w:w="16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800,000.00</w:t>
            </w:r>
          </w:p>
        </w:tc>
        <w:tc>
          <w:tcPr>
            <w:tcW w:w="16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right="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800,000.00</w:t>
            </w:r>
          </w:p>
        </w:tc>
      </w:tr>
    </w:tbl>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63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本合同包不接受联合体投标</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630"/>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i w:val="0"/>
          <w:iCs w:val="0"/>
          <w:caps w:val="0"/>
          <w:color w:val="auto"/>
          <w:spacing w:val="0"/>
          <w:sz w:val="24"/>
          <w:szCs w:val="24"/>
          <w:highlight w:val="none"/>
          <w:shd w:val="clear" w:fill="FFFFFF"/>
        </w:rPr>
        <w:t>合同履行期限：</w:t>
      </w:r>
      <w:r>
        <w:rPr>
          <w:rFonts w:hint="eastAsia" w:ascii="仿宋" w:hAnsi="仿宋" w:eastAsia="仿宋" w:cs="仿宋"/>
          <w:i w:val="0"/>
          <w:iCs w:val="0"/>
          <w:caps w:val="0"/>
          <w:color w:val="auto"/>
          <w:spacing w:val="0"/>
          <w:sz w:val="24"/>
          <w:szCs w:val="24"/>
          <w:highlight w:val="none"/>
          <w:shd w:val="clear" w:fill="FFFFFF"/>
          <w:lang w:val="en-US" w:eastAsia="zh-CN"/>
        </w:rPr>
        <w:t>本项目</w:t>
      </w:r>
      <w:r>
        <w:rPr>
          <w:rFonts w:hint="eastAsia" w:ascii="仿宋" w:hAnsi="仿宋" w:eastAsia="仿宋" w:cs="仿宋"/>
          <w:i w:val="0"/>
          <w:iCs w:val="0"/>
          <w:caps w:val="0"/>
          <w:color w:val="auto"/>
          <w:spacing w:val="0"/>
          <w:sz w:val="24"/>
          <w:szCs w:val="24"/>
          <w:highlight w:val="none"/>
          <w:shd w:val="clear" w:fill="FFFFFF"/>
        </w:rPr>
        <w:t>运行维护周期为一年</w:t>
      </w:r>
      <w:r>
        <w:rPr>
          <w:rFonts w:hint="eastAsia" w:ascii="仿宋" w:hAnsi="仿宋" w:eastAsia="仿宋" w:cs="仿宋"/>
          <w:i w:val="0"/>
          <w:iCs w:val="0"/>
          <w:caps w:val="0"/>
          <w:color w:val="auto"/>
          <w:spacing w:val="0"/>
          <w:sz w:val="24"/>
          <w:szCs w:val="24"/>
          <w:highlight w:val="none"/>
          <w:shd w:val="clear"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460" w:lineRule="exact"/>
        <w:ind w:left="0" w:right="0" w:firstLine="0"/>
        <w:jc w:val="left"/>
        <w:textAlignment w:val="auto"/>
        <w:rPr>
          <w:rFonts w:hint="eastAsia" w:ascii="仿宋" w:hAnsi="仿宋" w:eastAsia="仿宋" w:cs="仿宋"/>
          <w:b w:val="0"/>
          <w:bCs w:val="0"/>
          <w:i w:val="0"/>
          <w:iCs w:val="0"/>
          <w:caps w:val="0"/>
          <w:color w:val="auto"/>
          <w:spacing w:val="0"/>
          <w:sz w:val="24"/>
          <w:szCs w:val="24"/>
          <w:highlight w:val="none"/>
        </w:rPr>
      </w:pPr>
      <w:r>
        <w:rPr>
          <w:rStyle w:val="53"/>
          <w:rFonts w:hint="eastAsia" w:ascii="仿宋" w:hAnsi="仿宋" w:eastAsia="仿宋" w:cs="仿宋"/>
          <w:b/>
          <w:bCs/>
          <w:i w:val="0"/>
          <w:iCs w:val="0"/>
          <w:caps w:val="0"/>
          <w:color w:val="auto"/>
          <w:spacing w:val="0"/>
          <w:sz w:val="24"/>
          <w:szCs w:val="24"/>
          <w:highlight w:val="none"/>
          <w:shd w:val="clear" w:fill="FFFFFF"/>
        </w:rPr>
        <w:t>二、申请人的资格要求：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460" w:lineRule="exact"/>
        <w:ind w:left="0" w:right="0" w:firstLine="480" w:firstLineChars="200"/>
        <w:jc w:val="left"/>
        <w:textAlignment w:val="auto"/>
        <w:rPr>
          <w:rFonts w:hint="eastAsia" w:ascii="仿宋" w:hAnsi="仿宋" w:eastAsia="仿宋" w:cs="仿宋"/>
          <w:b w:val="0"/>
          <w:bCs/>
          <w:i w:val="0"/>
          <w:iCs w:val="0"/>
          <w:caps w:val="0"/>
          <w:color w:val="auto"/>
          <w:spacing w:val="0"/>
          <w:kern w:val="0"/>
          <w:sz w:val="24"/>
          <w:szCs w:val="24"/>
          <w:highlight w:val="none"/>
          <w:shd w:val="clear" w:fill="FFFFFF"/>
          <w:lang w:val="en-US" w:eastAsia="zh-CN" w:bidi="ar-SA"/>
        </w:rPr>
      </w:pPr>
      <w:r>
        <w:rPr>
          <w:rFonts w:hint="eastAsia" w:ascii="仿宋" w:hAnsi="仿宋" w:eastAsia="仿宋" w:cs="仿宋"/>
          <w:b w:val="0"/>
          <w:bCs/>
          <w:i w:val="0"/>
          <w:iCs w:val="0"/>
          <w:caps w:val="0"/>
          <w:color w:val="auto"/>
          <w:spacing w:val="0"/>
          <w:kern w:val="0"/>
          <w:sz w:val="24"/>
          <w:szCs w:val="24"/>
          <w:highlight w:val="none"/>
          <w:shd w:val="clear" w:fill="FFFFFF"/>
          <w:lang w:val="en-US" w:eastAsia="zh-CN" w:bidi="ar-SA"/>
        </w:rPr>
        <w:t>1.满足《中华人民共和国政府采购法》第二十二条规定;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460" w:lineRule="exact"/>
        <w:ind w:left="0" w:right="0" w:firstLine="480" w:firstLineChars="200"/>
        <w:jc w:val="left"/>
        <w:textAlignment w:val="auto"/>
        <w:rPr>
          <w:rFonts w:hint="eastAsia" w:ascii="仿宋" w:hAnsi="仿宋" w:eastAsia="仿宋" w:cs="仿宋"/>
          <w:b w:val="0"/>
          <w:bCs/>
          <w:i w:val="0"/>
          <w:iCs w:val="0"/>
          <w:caps w:val="0"/>
          <w:color w:val="auto"/>
          <w:spacing w:val="0"/>
          <w:kern w:val="0"/>
          <w:sz w:val="24"/>
          <w:szCs w:val="24"/>
          <w:highlight w:val="none"/>
          <w:shd w:val="clear" w:fill="FFFFFF"/>
          <w:lang w:val="en-US" w:eastAsia="zh-CN" w:bidi="ar-SA"/>
        </w:rPr>
      </w:pPr>
      <w:r>
        <w:rPr>
          <w:rFonts w:hint="eastAsia" w:ascii="仿宋" w:hAnsi="仿宋" w:eastAsia="仿宋" w:cs="仿宋"/>
          <w:b w:val="0"/>
          <w:bCs/>
          <w:i w:val="0"/>
          <w:iCs w:val="0"/>
          <w:caps w:val="0"/>
          <w:color w:val="auto"/>
          <w:spacing w:val="0"/>
          <w:kern w:val="0"/>
          <w:sz w:val="24"/>
          <w:szCs w:val="24"/>
          <w:highlight w:val="none"/>
          <w:shd w:val="clear" w:fill="FFFFFF"/>
          <w:lang w:val="en-US" w:eastAsia="zh-CN" w:bidi="ar-SA"/>
        </w:rPr>
        <w:t>2.落实政府采购政策需满足的资格要求：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460" w:lineRule="exact"/>
        <w:ind w:left="0" w:right="0" w:firstLine="480" w:firstLineChars="200"/>
        <w:jc w:val="left"/>
        <w:textAlignment w:val="auto"/>
        <w:rPr>
          <w:rFonts w:hint="eastAsia" w:ascii="仿宋" w:hAnsi="仿宋" w:eastAsia="仿宋" w:cs="仿宋"/>
          <w:b w:val="0"/>
          <w:bCs/>
          <w:i w:val="0"/>
          <w:iCs w:val="0"/>
          <w:caps w:val="0"/>
          <w:color w:val="auto"/>
          <w:spacing w:val="0"/>
          <w:kern w:val="0"/>
          <w:sz w:val="24"/>
          <w:szCs w:val="24"/>
          <w:highlight w:val="none"/>
          <w:shd w:val="clear" w:fill="FFFFFF"/>
          <w:lang w:val="en-US" w:eastAsia="zh-CN" w:bidi="ar-SA"/>
        </w:rPr>
      </w:pPr>
      <w:r>
        <w:rPr>
          <w:rFonts w:hint="eastAsia" w:ascii="仿宋" w:hAnsi="仿宋" w:eastAsia="仿宋" w:cs="仿宋"/>
          <w:b w:val="0"/>
          <w:bCs/>
          <w:i w:val="0"/>
          <w:iCs w:val="0"/>
          <w:caps w:val="0"/>
          <w:color w:val="auto"/>
          <w:spacing w:val="0"/>
          <w:kern w:val="0"/>
          <w:sz w:val="24"/>
          <w:szCs w:val="24"/>
          <w:highlight w:val="none"/>
          <w:shd w:val="clear" w:fill="FFFFFF"/>
          <w:lang w:val="en-US" w:eastAsia="zh-CN" w:bidi="ar-SA"/>
        </w:rPr>
        <w:t>合同包1(13个行政监测断面设施设备运行维护)落实政府采购政策需满足的资格要求如下: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460" w:lineRule="exact"/>
        <w:ind w:left="0" w:right="0" w:firstLine="480" w:firstLineChars="200"/>
        <w:jc w:val="left"/>
        <w:textAlignment w:val="auto"/>
        <w:rPr>
          <w:rFonts w:hint="eastAsia" w:ascii="仿宋" w:hAnsi="仿宋" w:eastAsia="仿宋" w:cs="仿宋"/>
          <w:b w:val="0"/>
          <w:bCs/>
          <w:i w:val="0"/>
          <w:iCs w:val="0"/>
          <w:caps w:val="0"/>
          <w:color w:val="auto"/>
          <w:spacing w:val="0"/>
          <w:kern w:val="0"/>
          <w:sz w:val="24"/>
          <w:szCs w:val="24"/>
          <w:highlight w:val="none"/>
          <w:shd w:val="clear" w:fill="FFFFFF"/>
          <w:lang w:val="en-US" w:eastAsia="zh-CN" w:bidi="ar-SA"/>
        </w:rPr>
      </w:pPr>
      <w:r>
        <w:rPr>
          <w:rFonts w:hint="eastAsia" w:ascii="仿宋" w:hAnsi="仿宋" w:eastAsia="仿宋" w:cs="仿宋"/>
          <w:b w:val="0"/>
          <w:bCs/>
          <w:i w:val="0"/>
          <w:iCs w:val="0"/>
          <w:caps w:val="0"/>
          <w:color w:val="auto"/>
          <w:spacing w:val="0"/>
          <w:kern w:val="0"/>
          <w:sz w:val="24"/>
          <w:szCs w:val="24"/>
          <w:highlight w:val="none"/>
          <w:shd w:val="clear" w:fill="FFFFFF"/>
          <w:lang w:val="en-US" w:eastAsia="zh-CN" w:bidi="ar-SA"/>
        </w:rPr>
        <w:t>本项目为专门面向中小企业的项目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460" w:lineRule="exact"/>
        <w:ind w:left="0" w:right="0" w:firstLine="480" w:firstLineChars="200"/>
        <w:jc w:val="left"/>
        <w:textAlignment w:val="auto"/>
        <w:rPr>
          <w:rFonts w:hint="eastAsia" w:ascii="仿宋" w:hAnsi="仿宋" w:eastAsia="仿宋" w:cs="仿宋"/>
          <w:b w:val="0"/>
          <w:bCs/>
          <w:i w:val="0"/>
          <w:iCs w:val="0"/>
          <w:caps w:val="0"/>
          <w:color w:val="auto"/>
          <w:spacing w:val="0"/>
          <w:kern w:val="0"/>
          <w:sz w:val="24"/>
          <w:szCs w:val="24"/>
          <w:highlight w:val="none"/>
          <w:shd w:val="clear" w:fill="FFFFFF"/>
          <w:lang w:val="en-US" w:eastAsia="zh-CN" w:bidi="ar-SA"/>
        </w:rPr>
      </w:pPr>
      <w:r>
        <w:rPr>
          <w:rFonts w:hint="eastAsia" w:ascii="仿宋" w:hAnsi="仿宋" w:eastAsia="仿宋" w:cs="仿宋"/>
          <w:b w:val="0"/>
          <w:bCs/>
          <w:i w:val="0"/>
          <w:iCs w:val="0"/>
          <w:caps w:val="0"/>
          <w:color w:val="auto"/>
          <w:spacing w:val="0"/>
          <w:kern w:val="0"/>
          <w:sz w:val="24"/>
          <w:szCs w:val="24"/>
          <w:highlight w:val="none"/>
          <w:shd w:val="clear" w:fill="FFFFFF"/>
          <w:lang w:val="en-US" w:eastAsia="zh-CN" w:bidi="ar-SA"/>
        </w:rPr>
        <w:t>3.本项目的特定资格要求：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460" w:lineRule="exact"/>
        <w:ind w:left="0" w:right="0" w:firstLine="480" w:firstLineChars="200"/>
        <w:jc w:val="left"/>
        <w:textAlignment w:val="auto"/>
        <w:rPr>
          <w:rFonts w:hint="eastAsia" w:ascii="仿宋" w:hAnsi="仿宋" w:eastAsia="仿宋" w:cs="仿宋"/>
          <w:b w:val="0"/>
          <w:bCs/>
          <w:i w:val="0"/>
          <w:iCs w:val="0"/>
          <w:caps w:val="0"/>
          <w:color w:val="auto"/>
          <w:spacing w:val="0"/>
          <w:kern w:val="0"/>
          <w:sz w:val="24"/>
          <w:szCs w:val="24"/>
          <w:highlight w:val="none"/>
          <w:shd w:val="clear" w:fill="FFFFFF"/>
          <w:lang w:val="en-US" w:eastAsia="zh-CN" w:bidi="ar-SA"/>
        </w:rPr>
      </w:pPr>
      <w:r>
        <w:rPr>
          <w:rFonts w:hint="eastAsia" w:ascii="仿宋" w:hAnsi="仿宋" w:eastAsia="仿宋" w:cs="仿宋"/>
          <w:b w:val="0"/>
          <w:bCs/>
          <w:i w:val="0"/>
          <w:iCs w:val="0"/>
          <w:caps w:val="0"/>
          <w:color w:val="auto"/>
          <w:spacing w:val="0"/>
          <w:kern w:val="0"/>
          <w:sz w:val="24"/>
          <w:szCs w:val="24"/>
          <w:highlight w:val="none"/>
          <w:shd w:val="clear" w:fill="FFFFFF"/>
          <w:lang w:val="en-US" w:eastAsia="zh-CN" w:bidi="ar-SA"/>
        </w:rPr>
        <w:t>合同包1(13个行政监测断面设施设备运行维护)特定资格要求如下: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460" w:lineRule="exact"/>
        <w:ind w:left="0" w:right="0" w:firstLine="480" w:firstLineChars="200"/>
        <w:jc w:val="left"/>
        <w:textAlignment w:val="auto"/>
        <w:rPr>
          <w:rFonts w:hint="eastAsia" w:ascii="仿宋" w:hAnsi="仿宋" w:eastAsia="仿宋" w:cs="仿宋"/>
          <w:b w:val="0"/>
          <w:bCs/>
          <w:i w:val="0"/>
          <w:iCs w:val="0"/>
          <w:caps w:val="0"/>
          <w:color w:val="auto"/>
          <w:spacing w:val="0"/>
          <w:kern w:val="0"/>
          <w:sz w:val="24"/>
          <w:szCs w:val="24"/>
          <w:highlight w:val="none"/>
          <w:shd w:val="clear" w:fill="FFFFFF"/>
          <w:lang w:val="en-US" w:eastAsia="zh-CN" w:bidi="ar-SA"/>
        </w:rPr>
      </w:pPr>
      <w:r>
        <w:rPr>
          <w:rFonts w:hint="eastAsia" w:ascii="仿宋" w:hAnsi="仿宋" w:eastAsia="仿宋" w:cs="仿宋"/>
          <w:b w:val="0"/>
          <w:bCs/>
          <w:i w:val="0"/>
          <w:iCs w:val="0"/>
          <w:caps w:val="0"/>
          <w:color w:val="auto"/>
          <w:spacing w:val="0"/>
          <w:kern w:val="0"/>
          <w:sz w:val="24"/>
          <w:szCs w:val="24"/>
          <w:highlight w:val="none"/>
          <w:shd w:val="clear" w:fill="FFFFFF"/>
          <w:lang w:val="en-US" w:eastAsia="zh-CN" w:bidi="ar-SA"/>
        </w:rPr>
        <w:t>3.1供应商在递交响应文件截止时间前被“信用中国”网站（www.creditchina.gov.cn）和中国政府采购网（www.ccgp.gov.cn）上被列入失信被执行人、重大税收违法失信主体、政府采购严重违法失信行为记录名单的，不得参加磋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460" w:lineRule="exact"/>
        <w:ind w:left="0" w:right="0" w:firstLine="480" w:firstLineChars="200"/>
        <w:jc w:val="left"/>
        <w:textAlignment w:val="auto"/>
        <w:rPr>
          <w:rFonts w:hint="eastAsia" w:ascii="仿宋" w:hAnsi="仿宋" w:eastAsia="仿宋" w:cs="仿宋"/>
          <w:b w:val="0"/>
          <w:bCs/>
          <w:i w:val="0"/>
          <w:iCs w:val="0"/>
          <w:caps w:val="0"/>
          <w:color w:val="auto"/>
          <w:spacing w:val="0"/>
          <w:kern w:val="0"/>
          <w:sz w:val="24"/>
          <w:szCs w:val="24"/>
          <w:highlight w:val="none"/>
          <w:shd w:val="clear" w:fill="FFFFFF"/>
          <w:lang w:val="en-US" w:eastAsia="zh-CN" w:bidi="ar-SA"/>
        </w:rPr>
      </w:pPr>
      <w:r>
        <w:rPr>
          <w:rFonts w:hint="eastAsia" w:ascii="仿宋" w:hAnsi="仿宋" w:eastAsia="仿宋" w:cs="仿宋"/>
          <w:b w:val="0"/>
          <w:bCs/>
          <w:i w:val="0"/>
          <w:iCs w:val="0"/>
          <w:caps w:val="0"/>
          <w:color w:val="auto"/>
          <w:spacing w:val="0"/>
          <w:kern w:val="0"/>
          <w:sz w:val="24"/>
          <w:szCs w:val="24"/>
          <w:highlight w:val="none"/>
          <w:shd w:val="clear" w:fill="FFFFFF"/>
          <w:lang w:val="en-US" w:eastAsia="zh-CN" w:bidi="ar-SA"/>
        </w:rPr>
        <w:t>3.2供应商应授权合法的人员参加磋商全过程，其中法定代表人直接参加磋商的，须出具法人身份证，并与营业执照上信息一致。法定代表人授权代表参加磋商的，须出具法定代表人授权书及授权代表身份证、授权代表本单位证明（养老保险缴纳证明或劳动合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460" w:lineRule="exact"/>
        <w:ind w:left="0" w:right="0" w:firstLine="480" w:firstLineChars="200"/>
        <w:jc w:val="left"/>
        <w:textAlignment w:val="auto"/>
        <w:rPr>
          <w:rFonts w:hint="eastAsia" w:ascii="仿宋" w:hAnsi="仿宋" w:eastAsia="仿宋" w:cs="仿宋"/>
          <w:b w:val="0"/>
          <w:bCs/>
          <w:i w:val="0"/>
          <w:iCs w:val="0"/>
          <w:caps w:val="0"/>
          <w:color w:val="auto"/>
          <w:spacing w:val="0"/>
          <w:kern w:val="0"/>
          <w:sz w:val="24"/>
          <w:szCs w:val="24"/>
          <w:highlight w:val="none"/>
          <w:shd w:val="clear" w:fill="FFFFFF"/>
          <w:lang w:val="en-US" w:eastAsia="zh-CN" w:bidi="ar-SA"/>
        </w:rPr>
      </w:pPr>
      <w:r>
        <w:rPr>
          <w:rFonts w:hint="eastAsia" w:ascii="仿宋" w:hAnsi="仿宋" w:eastAsia="仿宋" w:cs="仿宋"/>
          <w:b w:val="0"/>
          <w:bCs/>
          <w:i w:val="0"/>
          <w:iCs w:val="0"/>
          <w:caps w:val="0"/>
          <w:color w:val="auto"/>
          <w:spacing w:val="0"/>
          <w:kern w:val="0"/>
          <w:sz w:val="24"/>
          <w:szCs w:val="24"/>
          <w:highlight w:val="none"/>
          <w:shd w:val="clear" w:fill="FFFFFF"/>
          <w:lang w:val="en-US" w:eastAsia="zh-CN" w:bidi="ar-SA"/>
        </w:rPr>
        <w:t>3.3 供应商不得存在下列情形之一：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460" w:lineRule="exact"/>
        <w:ind w:left="0" w:right="0" w:firstLine="480" w:firstLineChars="200"/>
        <w:jc w:val="left"/>
        <w:textAlignment w:val="auto"/>
        <w:rPr>
          <w:rFonts w:hint="eastAsia" w:ascii="仿宋" w:hAnsi="仿宋" w:eastAsia="仿宋" w:cs="仿宋"/>
          <w:b w:val="0"/>
          <w:bCs/>
          <w:i w:val="0"/>
          <w:iCs w:val="0"/>
          <w:caps w:val="0"/>
          <w:color w:val="auto"/>
          <w:spacing w:val="0"/>
          <w:kern w:val="0"/>
          <w:sz w:val="24"/>
          <w:szCs w:val="24"/>
          <w:highlight w:val="none"/>
          <w:shd w:val="clear" w:fill="FFFFFF"/>
          <w:lang w:val="en-US" w:eastAsia="zh-CN" w:bidi="ar-SA"/>
        </w:rPr>
      </w:pPr>
      <w:r>
        <w:rPr>
          <w:rFonts w:hint="eastAsia" w:ascii="仿宋" w:hAnsi="仿宋" w:eastAsia="仿宋" w:cs="仿宋"/>
          <w:b w:val="0"/>
          <w:bCs/>
          <w:i w:val="0"/>
          <w:iCs w:val="0"/>
          <w:caps w:val="0"/>
          <w:color w:val="auto"/>
          <w:spacing w:val="0"/>
          <w:kern w:val="0"/>
          <w:sz w:val="24"/>
          <w:szCs w:val="24"/>
          <w:highlight w:val="none"/>
          <w:shd w:val="clear" w:fill="FFFFFF"/>
          <w:lang w:val="en-US" w:eastAsia="zh-CN" w:bidi="ar-SA"/>
        </w:rPr>
        <w:t>（1）单位负责人为同一人或者存在直接控股、管理关系的不同供应商，不得参加本次采购活动；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460" w:lineRule="exact"/>
        <w:ind w:left="0" w:right="0" w:firstLine="480" w:firstLineChars="200"/>
        <w:jc w:val="left"/>
        <w:textAlignment w:val="auto"/>
        <w:rPr>
          <w:rFonts w:hint="eastAsia" w:ascii="仿宋" w:hAnsi="仿宋" w:eastAsia="仿宋" w:cs="仿宋"/>
          <w:b w:val="0"/>
          <w:bCs/>
          <w:i w:val="0"/>
          <w:iCs w:val="0"/>
          <w:caps w:val="0"/>
          <w:color w:val="auto"/>
          <w:spacing w:val="0"/>
          <w:kern w:val="0"/>
          <w:sz w:val="24"/>
          <w:szCs w:val="24"/>
          <w:highlight w:val="none"/>
          <w:shd w:val="clear" w:fill="FFFFFF"/>
          <w:lang w:val="en-US" w:eastAsia="zh-CN" w:bidi="ar-SA"/>
        </w:rPr>
      </w:pPr>
      <w:r>
        <w:rPr>
          <w:rFonts w:hint="eastAsia" w:ascii="仿宋" w:hAnsi="仿宋" w:eastAsia="仿宋" w:cs="仿宋"/>
          <w:b w:val="0"/>
          <w:bCs/>
          <w:i w:val="0"/>
          <w:iCs w:val="0"/>
          <w:caps w:val="0"/>
          <w:color w:val="auto"/>
          <w:spacing w:val="0"/>
          <w:kern w:val="0"/>
          <w:sz w:val="24"/>
          <w:szCs w:val="24"/>
          <w:highlight w:val="none"/>
          <w:shd w:val="clear" w:fill="FFFFFF"/>
          <w:lang w:val="en-US" w:eastAsia="zh-CN" w:bidi="ar-SA"/>
        </w:rPr>
        <w:t>（2）为本项目提供整体设计、规范编制或者项目管理、监理、检测等服务的供应商，不得再参加该采购项目的其他采购活动。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460" w:lineRule="exact"/>
        <w:ind w:left="0" w:right="0" w:firstLine="0"/>
        <w:jc w:val="left"/>
        <w:textAlignment w:val="auto"/>
        <w:rPr>
          <w:rFonts w:hint="eastAsia" w:ascii="仿宋" w:hAnsi="仿宋" w:eastAsia="仿宋" w:cs="仿宋"/>
          <w:b w:val="0"/>
          <w:bCs w:val="0"/>
          <w:i w:val="0"/>
          <w:iCs w:val="0"/>
          <w:caps w:val="0"/>
          <w:color w:val="auto"/>
          <w:spacing w:val="0"/>
          <w:sz w:val="24"/>
          <w:szCs w:val="24"/>
          <w:highlight w:val="none"/>
        </w:rPr>
      </w:pPr>
      <w:r>
        <w:rPr>
          <w:rStyle w:val="53"/>
          <w:rFonts w:hint="eastAsia" w:ascii="仿宋" w:hAnsi="仿宋" w:eastAsia="仿宋" w:cs="仿宋"/>
          <w:b/>
          <w:bCs/>
          <w:i w:val="0"/>
          <w:iCs w:val="0"/>
          <w:caps w:val="0"/>
          <w:color w:val="auto"/>
          <w:spacing w:val="0"/>
          <w:sz w:val="24"/>
          <w:szCs w:val="24"/>
          <w:highlight w:val="none"/>
          <w:shd w:val="clear" w:fill="FFFFFF"/>
        </w:rPr>
        <w:t>三、获取采购文件</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时间： 2022年08月</w:t>
      </w:r>
      <w:r>
        <w:rPr>
          <w:rFonts w:hint="eastAsia" w:ascii="仿宋" w:hAnsi="仿宋" w:eastAsia="仿宋" w:cs="仿宋"/>
          <w:i w:val="0"/>
          <w:iCs w:val="0"/>
          <w:caps w:val="0"/>
          <w:color w:val="auto"/>
          <w:spacing w:val="0"/>
          <w:sz w:val="24"/>
          <w:szCs w:val="24"/>
          <w:highlight w:val="none"/>
          <w:shd w:val="clear" w:fill="FFFFFF"/>
          <w:lang w:val="en-US" w:eastAsia="zh-CN"/>
        </w:rPr>
        <w:t>30</w:t>
      </w:r>
      <w:r>
        <w:rPr>
          <w:rFonts w:hint="eastAsia" w:ascii="仿宋" w:hAnsi="仿宋" w:eastAsia="仿宋" w:cs="仿宋"/>
          <w:i w:val="0"/>
          <w:iCs w:val="0"/>
          <w:caps w:val="0"/>
          <w:color w:val="auto"/>
          <w:spacing w:val="0"/>
          <w:sz w:val="24"/>
          <w:szCs w:val="24"/>
          <w:highlight w:val="none"/>
          <w:shd w:val="clear" w:fill="FFFFFF"/>
        </w:rPr>
        <w:t>日 至 2022年09月0</w:t>
      </w:r>
      <w:r>
        <w:rPr>
          <w:rFonts w:hint="eastAsia" w:ascii="仿宋" w:hAnsi="仿宋" w:eastAsia="仿宋" w:cs="仿宋"/>
          <w:i w:val="0"/>
          <w:iCs w:val="0"/>
          <w:caps w:val="0"/>
          <w:color w:val="auto"/>
          <w:spacing w:val="0"/>
          <w:sz w:val="24"/>
          <w:szCs w:val="24"/>
          <w:highlight w:val="none"/>
          <w:shd w:val="clear" w:fill="FFFFFF"/>
          <w:lang w:val="en-US" w:eastAsia="zh-CN"/>
        </w:rPr>
        <w:t>5</w:t>
      </w:r>
      <w:r>
        <w:rPr>
          <w:rFonts w:hint="eastAsia" w:ascii="仿宋" w:hAnsi="仿宋" w:eastAsia="仿宋" w:cs="仿宋"/>
          <w:i w:val="0"/>
          <w:iCs w:val="0"/>
          <w:caps w:val="0"/>
          <w:color w:val="auto"/>
          <w:spacing w:val="0"/>
          <w:sz w:val="24"/>
          <w:szCs w:val="24"/>
          <w:highlight w:val="none"/>
          <w:shd w:val="clear" w:fill="FFFFFF"/>
        </w:rPr>
        <w:t>日 ，每天上午 08:00:00 至 12:00:00 ，下午 12:00:00 至 18:00:00 （北京时间,法定节假日除外）</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地点：西安市高新区沣惠南路唐沣国际D座13楼1301室</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方式：现场获取</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售价： 免费获取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460" w:lineRule="exact"/>
        <w:ind w:left="0" w:right="0" w:firstLine="0"/>
        <w:jc w:val="left"/>
        <w:textAlignment w:val="auto"/>
        <w:rPr>
          <w:rFonts w:hint="eastAsia" w:ascii="仿宋" w:hAnsi="仿宋" w:eastAsia="仿宋" w:cs="仿宋"/>
          <w:b w:val="0"/>
          <w:bCs w:val="0"/>
          <w:i w:val="0"/>
          <w:iCs w:val="0"/>
          <w:caps w:val="0"/>
          <w:color w:val="auto"/>
          <w:spacing w:val="0"/>
          <w:sz w:val="24"/>
          <w:szCs w:val="24"/>
          <w:highlight w:val="none"/>
        </w:rPr>
      </w:pPr>
      <w:r>
        <w:rPr>
          <w:rStyle w:val="53"/>
          <w:rFonts w:hint="eastAsia" w:ascii="仿宋" w:hAnsi="仿宋" w:eastAsia="仿宋" w:cs="仿宋"/>
          <w:b/>
          <w:bCs/>
          <w:i w:val="0"/>
          <w:iCs w:val="0"/>
          <w:caps w:val="0"/>
          <w:color w:val="auto"/>
          <w:spacing w:val="0"/>
          <w:sz w:val="24"/>
          <w:szCs w:val="24"/>
          <w:highlight w:val="none"/>
          <w:shd w:val="clear" w:fill="FFFFFF"/>
        </w:rPr>
        <w:t>四、响应文件提交</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截止时间： 2022年09月</w:t>
      </w:r>
      <w:r>
        <w:rPr>
          <w:rFonts w:hint="eastAsia" w:ascii="仿宋" w:hAnsi="仿宋" w:eastAsia="仿宋" w:cs="仿宋"/>
          <w:i w:val="0"/>
          <w:iCs w:val="0"/>
          <w:caps w:val="0"/>
          <w:color w:val="auto"/>
          <w:spacing w:val="0"/>
          <w:sz w:val="24"/>
          <w:szCs w:val="24"/>
          <w:highlight w:val="none"/>
          <w:shd w:val="clear" w:fill="FFFFFF"/>
          <w:lang w:val="en-US" w:eastAsia="zh-CN"/>
        </w:rPr>
        <w:t>09</w:t>
      </w:r>
      <w:r>
        <w:rPr>
          <w:rFonts w:hint="eastAsia" w:ascii="仿宋" w:hAnsi="仿宋" w:eastAsia="仿宋" w:cs="仿宋"/>
          <w:i w:val="0"/>
          <w:iCs w:val="0"/>
          <w:caps w:val="0"/>
          <w:color w:val="auto"/>
          <w:spacing w:val="0"/>
          <w:sz w:val="24"/>
          <w:szCs w:val="24"/>
          <w:highlight w:val="none"/>
          <w:shd w:val="clear" w:fill="FFFFFF"/>
        </w:rPr>
        <w:t>日 14时30分00秒 （北京时间）</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i w:val="0"/>
          <w:iCs w:val="0"/>
          <w:caps w:val="0"/>
          <w:color w:val="auto"/>
          <w:spacing w:val="0"/>
          <w:sz w:val="24"/>
          <w:szCs w:val="24"/>
          <w:highlight w:val="none"/>
          <w:lang w:eastAsia="zh-CN"/>
        </w:rPr>
      </w:pPr>
      <w:r>
        <w:rPr>
          <w:rFonts w:hint="eastAsia" w:ascii="仿宋" w:hAnsi="仿宋" w:eastAsia="仿宋" w:cs="仿宋"/>
          <w:i w:val="0"/>
          <w:iCs w:val="0"/>
          <w:caps w:val="0"/>
          <w:color w:val="auto"/>
          <w:spacing w:val="0"/>
          <w:sz w:val="24"/>
          <w:szCs w:val="24"/>
          <w:highlight w:val="none"/>
          <w:shd w:val="clear" w:fill="FFFFFF"/>
        </w:rPr>
        <w:t>地点：西安市高新区沣惠南路唐沣国际D座13楼</w:t>
      </w:r>
      <w:r>
        <w:rPr>
          <w:rFonts w:hint="eastAsia" w:ascii="仿宋" w:hAnsi="仿宋" w:eastAsia="仿宋" w:cs="仿宋"/>
          <w:i w:val="0"/>
          <w:iCs w:val="0"/>
          <w:caps w:val="0"/>
          <w:color w:val="auto"/>
          <w:spacing w:val="0"/>
          <w:sz w:val="24"/>
          <w:szCs w:val="24"/>
          <w:highlight w:val="none"/>
          <w:shd w:val="clear" w:fill="FFFFFF"/>
          <w:lang w:val="en-US" w:eastAsia="zh-CN"/>
        </w:rPr>
        <w:t>第一会议室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460" w:lineRule="exact"/>
        <w:ind w:left="0" w:right="0" w:firstLine="0"/>
        <w:jc w:val="left"/>
        <w:textAlignment w:val="auto"/>
        <w:rPr>
          <w:rFonts w:hint="eastAsia" w:ascii="仿宋" w:hAnsi="仿宋" w:eastAsia="仿宋" w:cs="仿宋"/>
          <w:b w:val="0"/>
          <w:bCs w:val="0"/>
          <w:i w:val="0"/>
          <w:iCs w:val="0"/>
          <w:caps w:val="0"/>
          <w:color w:val="auto"/>
          <w:spacing w:val="0"/>
          <w:sz w:val="24"/>
          <w:szCs w:val="24"/>
          <w:highlight w:val="none"/>
        </w:rPr>
      </w:pPr>
      <w:r>
        <w:rPr>
          <w:rStyle w:val="53"/>
          <w:rFonts w:hint="eastAsia" w:ascii="仿宋" w:hAnsi="仿宋" w:eastAsia="仿宋" w:cs="仿宋"/>
          <w:b/>
          <w:bCs/>
          <w:i w:val="0"/>
          <w:iCs w:val="0"/>
          <w:caps w:val="0"/>
          <w:color w:val="auto"/>
          <w:spacing w:val="0"/>
          <w:sz w:val="24"/>
          <w:szCs w:val="24"/>
          <w:highlight w:val="none"/>
          <w:shd w:val="clear" w:fill="FFFFFF"/>
        </w:rPr>
        <w:t>五、开启</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时间： 2022年09月</w:t>
      </w:r>
      <w:r>
        <w:rPr>
          <w:rFonts w:hint="eastAsia" w:ascii="仿宋" w:hAnsi="仿宋" w:eastAsia="仿宋" w:cs="仿宋"/>
          <w:i w:val="0"/>
          <w:iCs w:val="0"/>
          <w:caps w:val="0"/>
          <w:color w:val="auto"/>
          <w:spacing w:val="0"/>
          <w:sz w:val="24"/>
          <w:szCs w:val="24"/>
          <w:highlight w:val="none"/>
          <w:shd w:val="clear" w:fill="FFFFFF"/>
          <w:lang w:val="en-US" w:eastAsia="zh-CN"/>
        </w:rPr>
        <w:t>09</w:t>
      </w:r>
      <w:r>
        <w:rPr>
          <w:rFonts w:hint="eastAsia" w:ascii="仿宋" w:hAnsi="仿宋" w:eastAsia="仿宋" w:cs="仿宋"/>
          <w:i w:val="0"/>
          <w:iCs w:val="0"/>
          <w:caps w:val="0"/>
          <w:color w:val="auto"/>
          <w:spacing w:val="0"/>
          <w:sz w:val="24"/>
          <w:szCs w:val="24"/>
          <w:highlight w:val="none"/>
          <w:shd w:val="clear" w:fill="FFFFFF"/>
        </w:rPr>
        <w:t>日 14时30分00秒 （北京时间）</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地点：西安市高新区沣惠南路唐沣国际D座13楼</w:t>
      </w:r>
      <w:r>
        <w:rPr>
          <w:rFonts w:hint="eastAsia" w:ascii="仿宋" w:hAnsi="仿宋" w:eastAsia="仿宋" w:cs="仿宋"/>
          <w:i w:val="0"/>
          <w:iCs w:val="0"/>
          <w:caps w:val="0"/>
          <w:color w:val="auto"/>
          <w:spacing w:val="0"/>
          <w:sz w:val="24"/>
          <w:szCs w:val="24"/>
          <w:highlight w:val="none"/>
          <w:shd w:val="clear" w:fill="FFFFFF"/>
          <w:lang w:val="en-US" w:eastAsia="zh-CN"/>
        </w:rPr>
        <w:t>第一会议室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460" w:lineRule="exact"/>
        <w:ind w:left="0" w:right="0" w:firstLine="0"/>
        <w:jc w:val="left"/>
        <w:textAlignment w:val="auto"/>
        <w:rPr>
          <w:rFonts w:hint="eastAsia" w:ascii="仿宋" w:hAnsi="仿宋" w:eastAsia="仿宋" w:cs="仿宋"/>
          <w:b w:val="0"/>
          <w:bCs w:val="0"/>
          <w:i w:val="0"/>
          <w:iCs w:val="0"/>
          <w:caps w:val="0"/>
          <w:color w:val="auto"/>
          <w:spacing w:val="0"/>
          <w:sz w:val="24"/>
          <w:szCs w:val="24"/>
          <w:highlight w:val="none"/>
        </w:rPr>
      </w:pPr>
      <w:r>
        <w:rPr>
          <w:rStyle w:val="53"/>
          <w:rFonts w:hint="eastAsia" w:ascii="仿宋" w:hAnsi="仿宋" w:eastAsia="仿宋" w:cs="仿宋"/>
          <w:b/>
          <w:bCs/>
          <w:i w:val="0"/>
          <w:iCs w:val="0"/>
          <w:caps w:val="0"/>
          <w:color w:val="auto"/>
          <w:spacing w:val="0"/>
          <w:sz w:val="24"/>
          <w:szCs w:val="24"/>
          <w:highlight w:val="none"/>
          <w:shd w:val="clear" w:fill="FFFFFF"/>
        </w:rPr>
        <w:t>六、公告期限</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自本公告发布之日起3个工作日。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460" w:lineRule="exact"/>
        <w:ind w:left="0" w:right="0" w:firstLine="0"/>
        <w:jc w:val="left"/>
        <w:textAlignment w:val="auto"/>
        <w:rPr>
          <w:rFonts w:hint="eastAsia" w:ascii="仿宋" w:hAnsi="仿宋" w:eastAsia="仿宋" w:cs="仿宋"/>
          <w:b w:val="0"/>
          <w:bCs w:val="0"/>
          <w:i w:val="0"/>
          <w:iCs w:val="0"/>
          <w:caps w:val="0"/>
          <w:color w:val="auto"/>
          <w:spacing w:val="0"/>
          <w:sz w:val="24"/>
          <w:szCs w:val="24"/>
          <w:highlight w:val="none"/>
        </w:rPr>
      </w:pPr>
      <w:r>
        <w:rPr>
          <w:rStyle w:val="53"/>
          <w:rFonts w:hint="eastAsia" w:ascii="仿宋" w:hAnsi="仿宋" w:eastAsia="仿宋" w:cs="仿宋"/>
          <w:b/>
          <w:bCs/>
          <w:i w:val="0"/>
          <w:iCs w:val="0"/>
          <w:caps w:val="0"/>
          <w:color w:val="auto"/>
          <w:spacing w:val="0"/>
          <w:sz w:val="24"/>
          <w:szCs w:val="24"/>
          <w:highlight w:val="none"/>
          <w:shd w:val="clear" w:fill="FFFFFF"/>
        </w:rPr>
        <w:t>七、其他补充事宜</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196" w:firstLine="420"/>
        <w:jc w:val="left"/>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1、落实政府采购政策：</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196" w:firstLine="420"/>
        <w:jc w:val="left"/>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1.1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196" w:firstLine="420"/>
        <w:jc w:val="left"/>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196" w:firstLine="420"/>
        <w:jc w:val="left"/>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1.3  《财政部 农业农村部国家乡村振兴局关于运用政府采购政策支持乡村产业振兴的通知》（财库〔2021〕19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196" w:firstLine="420"/>
        <w:jc w:val="left"/>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1.4 《陕西省财政厅关于加快推进我省中小企业政府采购信用融资工作的通知》（陕财办采〔2020〕15 号）、陕西省财政厅关于印发《陕西省中小企业政府采购信用融资办法》（陕财办采〔2018〕23 号）。</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16" w:right="-196" w:firstLine="401"/>
        <w:jc w:val="left"/>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若享受以上政策优惠的企业，提供相应声明函或品目清单范围内产品的有效认证证书。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460" w:lineRule="exact"/>
        <w:ind w:left="0" w:right="0" w:firstLine="0"/>
        <w:jc w:val="left"/>
        <w:textAlignment w:val="auto"/>
        <w:rPr>
          <w:rFonts w:hint="eastAsia" w:ascii="仿宋" w:hAnsi="仿宋" w:eastAsia="仿宋" w:cs="仿宋"/>
          <w:b w:val="0"/>
          <w:bCs w:val="0"/>
          <w:i w:val="0"/>
          <w:iCs w:val="0"/>
          <w:caps w:val="0"/>
          <w:color w:val="auto"/>
          <w:spacing w:val="0"/>
          <w:sz w:val="24"/>
          <w:szCs w:val="24"/>
          <w:highlight w:val="none"/>
        </w:rPr>
      </w:pPr>
      <w:r>
        <w:rPr>
          <w:rStyle w:val="53"/>
          <w:rFonts w:hint="eastAsia" w:ascii="仿宋" w:hAnsi="仿宋" w:eastAsia="仿宋" w:cs="仿宋"/>
          <w:b/>
          <w:bCs/>
          <w:i w:val="0"/>
          <w:iCs w:val="0"/>
          <w:caps w:val="0"/>
          <w:color w:val="auto"/>
          <w:spacing w:val="0"/>
          <w:sz w:val="24"/>
          <w:szCs w:val="24"/>
          <w:highlight w:val="none"/>
          <w:shd w:val="clear" w:fill="FFFFFF"/>
        </w:rPr>
        <w:t>八、凡对本次采购提出询问，请按以下方式联系。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1314" w:leftChars="228" w:right="0" w:hanging="835" w:hangingChars="348"/>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shd w:val="clear" w:fill="FFFFFF"/>
        </w:rPr>
        <w:t>1.采购人信息</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名称：西安市水资源保护中心</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 xml:space="preserve">地址：西安市航天中路129号水务办公大楼 </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联系方式：029-81566450</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1314" w:leftChars="228" w:right="0" w:hanging="835" w:hangingChars="348"/>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shd w:val="clear" w:fill="FFFFFF"/>
        </w:rPr>
        <w:t>2.采购代理机构信息</w:t>
      </w:r>
      <w:bookmarkStart w:id="511" w:name="_GoBack"/>
      <w:bookmarkEnd w:id="511"/>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名称：陕西鸿信泰鼎建设项目管理有限公司</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地址：西安市高新区沣惠南路唐沣国际D座13楼1301室</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联系方式：029-89563670</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1314" w:leftChars="228" w:right="0" w:hanging="835" w:hangingChars="348"/>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shd w:val="clear" w:fill="FFFFFF"/>
        </w:rPr>
        <w:t>3.项目联系方式</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项目联系人：马静</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电话：029-89563670</w:t>
      </w:r>
    </w:p>
    <w:p>
      <w:pPr>
        <w:keepNext w:val="0"/>
        <w:keepLines w:val="0"/>
        <w:pageBreakBefore w:val="0"/>
        <w:widowControl/>
        <w:suppressLineNumbers w:val="0"/>
        <w:kinsoku/>
        <w:wordWrap w:val="0"/>
        <w:overflowPunct/>
        <w:topLinePunct w:val="0"/>
        <w:autoSpaceDE/>
        <w:autoSpaceDN/>
        <w:bidi w:val="0"/>
        <w:adjustRightInd/>
        <w:snapToGrid/>
        <w:spacing w:line="460" w:lineRule="exact"/>
        <w:jc w:val="both"/>
        <w:textAlignment w:val="auto"/>
        <w:rPr>
          <w:rFonts w:hint="eastAsia" w:ascii="仿宋" w:hAnsi="仿宋" w:eastAsia="仿宋" w:cs="仿宋"/>
          <w:color w:val="auto"/>
          <w:sz w:val="24"/>
          <w:szCs w:val="24"/>
        </w:rPr>
      </w:pP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仿宋"/>
          <w:color w:val="auto"/>
          <w:sz w:val="24"/>
          <w:szCs w:val="24"/>
        </w:rPr>
      </w:pPr>
    </w:p>
    <w:p>
      <w:pPr>
        <w:keepNext w:val="0"/>
        <w:keepLines w:val="0"/>
        <w:pageBreakBefore w:val="0"/>
        <w:widowControl/>
        <w:kinsoku/>
        <w:overflowPunct/>
        <w:topLinePunct w:val="0"/>
        <w:autoSpaceDE/>
        <w:autoSpaceDN/>
        <w:bidi w:val="0"/>
        <w:adjustRightInd/>
        <w:snapToGrid w:val="0"/>
        <w:spacing w:line="460" w:lineRule="exact"/>
        <w:ind w:right="-197" w:rightChars="-94" w:firstLine="480" w:firstLineChars="200"/>
        <w:jc w:val="left"/>
        <w:textAlignment w:val="auto"/>
        <w:rPr>
          <w:rFonts w:hint="default" w:ascii="仿宋_GB2312" w:hAnsi="仿宋_GB2312" w:eastAsia="仿宋_GB2312" w:cs="仿宋_GB2312"/>
          <w:color w:val="auto"/>
          <w:kern w:val="0"/>
          <w:sz w:val="24"/>
          <w:highlight w:val="none"/>
          <w:lang w:val="en-US" w:eastAsia="zh-CN"/>
        </w:rPr>
      </w:pPr>
    </w:p>
    <w:p>
      <w:pPr>
        <w:keepNext w:val="0"/>
        <w:keepLines w:val="0"/>
        <w:pageBreakBefore w:val="0"/>
        <w:widowControl/>
        <w:kinsoku/>
        <w:overflowPunct/>
        <w:topLinePunct w:val="0"/>
        <w:autoSpaceDE/>
        <w:autoSpaceDN/>
        <w:bidi w:val="0"/>
        <w:adjustRightInd/>
        <w:snapToGrid w:val="0"/>
        <w:spacing w:line="460" w:lineRule="exact"/>
        <w:ind w:right="-197" w:rightChars="-94" w:firstLine="480" w:firstLineChars="200"/>
        <w:jc w:val="right"/>
        <w:textAlignment w:val="auto"/>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陕西鸿信泰鼎建设项目管理有限公司</w:t>
      </w:r>
    </w:p>
    <w:bookmarkEnd w:id="4"/>
    <w:bookmarkEnd w:id="5"/>
    <w:bookmarkEnd w:id="6"/>
    <w:bookmarkEnd w:id="7"/>
    <w:bookmarkEnd w:id="8"/>
    <w:bookmarkEnd w:id="9"/>
    <w:bookmarkEnd w:id="10"/>
    <w:bookmarkEnd w:id="11"/>
    <w:bookmarkEnd w:id="12"/>
    <w:bookmarkEnd w:id="13"/>
    <w:bookmarkEnd w:id="14"/>
    <w:bookmarkEnd w:id="15"/>
    <w:bookmarkEnd w:id="16"/>
    <w:bookmarkEnd w:id="17"/>
    <w:p>
      <w:pPr>
        <w:keepNext w:val="0"/>
        <w:keepLines w:val="0"/>
        <w:pageBreakBefore w:val="0"/>
        <w:widowControl/>
        <w:kinsoku/>
        <w:overflowPunct/>
        <w:topLinePunct w:val="0"/>
        <w:autoSpaceDE/>
        <w:autoSpaceDN/>
        <w:bidi w:val="0"/>
        <w:adjustRightInd/>
        <w:snapToGrid w:val="0"/>
        <w:spacing w:line="460" w:lineRule="exact"/>
        <w:ind w:right="-197" w:rightChars="-94"/>
        <w:jc w:val="right"/>
        <w:textAlignment w:val="auto"/>
        <w:rPr>
          <w:rStyle w:val="203"/>
          <w:rFonts w:ascii="宋体" w:hAnsi="宋体" w:eastAsia="宋体"/>
          <w:color w:val="auto"/>
          <w:sz w:val="36"/>
          <w:szCs w:val="36"/>
          <w:highlight w:val="none"/>
        </w:rPr>
      </w:pPr>
      <w:bookmarkStart w:id="20" w:name="_Toc232395211"/>
      <w:bookmarkStart w:id="21" w:name="_Toc256342142"/>
      <w:bookmarkStart w:id="22" w:name="_Toc230583540"/>
      <w:bookmarkStart w:id="23" w:name="_Toc415499895"/>
      <w:bookmarkStart w:id="24" w:name="_Toc249515277"/>
      <w:bookmarkStart w:id="25" w:name="_Toc230099796"/>
      <w:bookmarkStart w:id="26" w:name="_Toc230013631"/>
      <w:bookmarkStart w:id="27" w:name="_Toc249515389"/>
      <w:bookmarkStart w:id="28" w:name="_Toc232176271"/>
      <w:bookmarkStart w:id="29" w:name="_Toc21126"/>
      <w:bookmarkStart w:id="30" w:name="_Toc184043011"/>
      <w:bookmarkStart w:id="31" w:name="_Toc58504446"/>
      <w:bookmarkStart w:id="32" w:name="_Toc249525158"/>
      <w:bookmarkStart w:id="33" w:name="_Toc68590966"/>
      <w:bookmarkStart w:id="34" w:name="_Toc499711042"/>
      <w:bookmarkStart w:id="35" w:name="_Toc496324578"/>
      <w:bookmarkStart w:id="36" w:name="_Toc184043012"/>
      <w:bookmarkStart w:id="37" w:name="_Toc256342143"/>
      <w:bookmarkStart w:id="38" w:name="_Toc176882542"/>
      <w:bookmarkStart w:id="39" w:name="_Toc500747061"/>
      <w:bookmarkStart w:id="40" w:name="_Toc500746965"/>
      <w:bookmarkStart w:id="41" w:name="_Toc70687139"/>
      <w:bookmarkStart w:id="42" w:name="_Toc503063421"/>
      <w:bookmarkStart w:id="43" w:name="_Toc500747188"/>
      <w:bookmarkStart w:id="44" w:name="_Toc249525159"/>
      <w:bookmarkStart w:id="45" w:name="_Toc249515278"/>
      <w:bookmarkStart w:id="46" w:name="_Toc232176272"/>
      <w:bookmarkStart w:id="47" w:name="_Toc177189235"/>
      <w:bookmarkStart w:id="48" w:name="_Toc492955414"/>
      <w:bookmarkStart w:id="49" w:name="_Toc177817334"/>
      <w:bookmarkStart w:id="50" w:name="_Toc232395212"/>
      <w:bookmarkStart w:id="51" w:name="_Toc230099797"/>
      <w:bookmarkStart w:id="52" w:name="_Toc230013632"/>
      <w:bookmarkStart w:id="53" w:name="_Toc53722840"/>
      <w:bookmarkStart w:id="54" w:name="_Toc249515390"/>
      <w:bookmarkStart w:id="55" w:name="_Toc230583541"/>
      <w:bookmarkStart w:id="56" w:name="_Toc499711883"/>
      <w:bookmarkStart w:id="57" w:name="_Toc177995473"/>
      <w:r>
        <w:rPr>
          <w:rFonts w:hint="eastAsia" w:ascii="仿宋_GB2312" w:hAnsi="仿宋_GB2312" w:eastAsia="仿宋_GB2312" w:cs="仿宋_GB2312"/>
          <w:color w:val="auto"/>
          <w:kern w:val="0"/>
          <w:sz w:val="24"/>
          <w:highlight w:val="none"/>
          <w:lang w:val="en-US" w:eastAsia="zh-CN"/>
        </w:rPr>
        <w:t>2022年08月29日</w:t>
      </w:r>
    </w:p>
    <w:p>
      <w:pPr>
        <w:rPr>
          <w:rStyle w:val="203"/>
          <w:rFonts w:hint="eastAsia" w:ascii="宋体" w:hAnsi="宋体" w:eastAsia="宋体"/>
          <w:color w:val="auto"/>
          <w:sz w:val="36"/>
          <w:szCs w:val="36"/>
          <w:highlight w:val="none"/>
        </w:rPr>
      </w:pPr>
      <w:r>
        <w:rPr>
          <w:rStyle w:val="203"/>
          <w:rFonts w:hint="eastAsia" w:ascii="宋体" w:hAnsi="宋体" w:eastAsia="宋体"/>
          <w:color w:val="auto"/>
          <w:sz w:val="36"/>
          <w:szCs w:val="36"/>
          <w:highlight w:val="none"/>
        </w:rPr>
        <w:br w:type="page"/>
      </w:r>
    </w:p>
    <w:p>
      <w:pPr>
        <w:pStyle w:val="47"/>
        <w:spacing w:line="360" w:lineRule="auto"/>
        <w:rPr>
          <w:rStyle w:val="203"/>
          <w:rFonts w:ascii="宋体" w:hAnsi="宋体" w:eastAsia="宋体"/>
          <w:color w:val="auto"/>
          <w:sz w:val="36"/>
          <w:szCs w:val="36"/>
          <w:highlight w:val="none"/>
        </w:rPr>
      </w:pPr>
      <w:r>
        <w:rPr>
          <w:rStyle w:val="203"/>
          <w:rFonts w:hint="eastAsia" w:ascii="宋体" w:hAnsi="宋体" w:eastAsia="宋体"/>
          <w:color w:val="auto"/>
          <w:sz w:val="36"/>
          <w:szCs w:val="36"/>
          <w:highlight w:val="none"/>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77"/>
        <w:spacing w:beforeLines="100" w:after="24"/>
        <w:jc w:val="center"/>
        <w:rPr>
          <w:rFonts w:ascii="仿宋_GB2312" w:hAnsi="仿宋_GB2312" w:eastAsia="仿宋_GB2312" w:cs="仿宋_GB2312"/>
          <w:color w:val="auto"/>
          <w:sz w:val="28"/>
          <w:szCs w:val="28"/>
          <w:highlight w:val="none"/>
        </w:rPr>
      </w:pPr>
      <w:bookmarkStart w:id="58" w:name="_Toc68590967"/>
      <w:r>
        <w:rPr>
          <w:rFonts w:hint="eastAsia" w:ascii="仿宋_GB2312" w:hAnsi="仿宋_GB2312" w:eastAsia="仿宋_GB2312" w:cs="仿宋_GB2312"/>
          <w:color w:val="auto"/>
          <w:sz w:val="28"/>
          <w:szCs w:val="28"/>
          <w:highlight w:val="none"/>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ascii="仿宋_GB2312" w:hAnsi="仿宋_GB2312" w:eastAsia="仿宋_GB2312" w:cs="仿宋_GB2312"/>
          <w:color w:val="auto"/>
          <w:highlight w:val="none"/>
        </w:rPr>
      </w:pP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本表是对供应商须知的具体补充和修改，如有矛盾，均以本表为准。</w:t>
      </w:r>
    </w:p>
    <w:p>
      <w:pPr>
        <w:ind w:left="689" w:hanging="689" w:hangingChars="343"/>
        <w:rPr>
          <w:rFonts w:ascii="仿宋_GB2312" w:hAnsi="仿宋_GB2312" w:eastAsia="仿宋_GB2312" w:cs="仿宋_GB2312"/>
          <w:b/>
          <w:color w:val="auto"/>
          <w:sz w:val="20"/>
          <w:szCs w:val="20"/>
          <w:highlight w:val="none"/>
        </w:rPr>
      </w:pPr>
    </w:p>
    <w:bookmarkEnd w:id="18"/>
    <w:tbl>
      <w:tblPr>
        <w:tblStyle w:val="50"/>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b/>
                <w:color w:val="auto"/>
                <w:sz w:val="24"/>
                <w:szCs w:val="24"/>
                <w:highlight w:val="none"/>
              </w:rPr>
            </w:pPr>
            <w:bookmarkStart w:id="59" w:name="_Hlt14560610"/>
            <w:bookmarkEnd w:id="59"/>
            <w:bookmarkStart w:id="60" w:name="_Toc499711044"/>
            <w:bookmarkStart w:id="61" w:name="_Toc500747190"/>
            <w:bookmarkStart w:id="62" w:name="_Toc500746967"/>
            <w:bookmarkStart w:id="63" w:name="_Toc492955416"/>
            <w:bookmarkStart w:id="64" w:name="_Toc503063423"/>
            <w:bookmarkStart w:id="65" w:name="_Toc500747063"/>
            <w:bookmarkStart w:id="66" w:name="_Toc499711885"/>
            <w:bookmarkStart w:id="67" w:name="_Toc496324580"/>
            <w:bookmarkStart w:id="68" w:name="_Toc385992326"/>
            <w:bookmarkStart w:id="69" w:name="_Toc389620165"/>
            <w:r>
              <w:rPr>
                <w:rFonts w:hint="eastAsia" w:ascii="仿宋_GB2312" w:hAnsi="仿宋_GB2312" w:eastAsia="仿宋_GB2312" w:cs="仿宋_GB2312"/>
                <w:b/>
                <w:color w:val="auto"/>
                <w:sz w:val="24"/>
                <w:szCs w:val="24"/>
                <w:highlight w:val="none"/>
              </w:rPr>
              <w:t>条款号</w:t>
            </w:r>
          </w:p>
        </w:tc>
        <w:tc>
          <w:tcPr>
            <w:tcW w:w="7650" w:type="dxa"/>
            <w:vAlign w:val="center"/>
          </w:tcPr>
          <w:p>
            <w:pPr>
              <w:pStyle w:val="29"/>
              <w:adjustRightInd w:val="0"/>
              <w:snapToGrid w:val="0"/>
              <w:spacing w:line="240" w:lineRule="auto"/>
              <w:jc w:val="center"/>
              <w:rPr>
                <w:rFonts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w:t>
            </w:r>
          </w:p>
        </w:tc>
        <w:tc>
          <w:tcPr>
            <w:tcW w:w="7650" w:type="dxa"/>
            <w:vAlign w:val="center"/>
          </w:tcPr>
          <w:p>
            <w:pPr>
              <w:pStyle w:val="29"/>
              <w:adjustRightInd w:val="0"/>
              <w:snapToGrid w:val="0"/>
              <w:spacing w:line="240" w:lineRule="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项目名称：</w:t>
            </w:r>
            <w:r>
              <w:rPr>
                <w:rFonts w:hint="eastAsia" w:ascii="仿宋_GB2312" w:hAnsi="仿宋_GB2312" w:eastAsia="仿宋_GB2312" w:cs="仿宋_GB2312"/>
                <w:color w:val="auto"/>
                <w:sz w:val="24"/>
                <w:szCs w:val="24"/>
                <w:highlight w:val="none"/>
                <w:lang w:eastAsia="zh-CN"/>
              </w:rPr>
              <w:t>13个行政监测断面设施设备运行维护</w:t>
            </w:r>
          </w:p>
          <w:p>
            <w:pPr>
              <w:pStyle w:val="29"/>
              <w:adjustRightInd w:val="0"/>
              <w:snapToGrid w:val="0"/>
              <w:spacing w:line="240" w:lineRule="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项目编号：</w:t>
            </w:r>
            <w:r>
              <w:rPr>
                <w:rFonts w:hint="eastAsia" w:ascii="仿宋_GB2312" w:hAnsi="仿宋_GB2312" w:eastAsia="仿宋_GB2312" w:cs="仿宋_GB2312"/>
                <w:color w:val="auto"/>
                <w:sz w:val="24"/>
                <w:szCs w:val="24"/>
                <w:highlight w:val="none"/>
                <w:lang w:eastAsia="zh-CN"/>
              </w:rPr>
              <w:t>HXTDJC20220210</w:t>
            </w:r>
          </w:p>
          <w:p>
            <w:pPr>
              <w:pStyle w:val="29"/>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资金来源：财政资金</w:t>
            </w:r>
          </w:p>
          <w:p>
            <w:pPr>
              <w:pStyle w:val="29"/>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预算金额：</w:t>
            </w:r>
            <w:r>
              <w:rPr>
                <w:rFonts w:hint="eastAsia" w:ascii="仿宋_GB2312" w:hAnsi="仿宋_GB2312" w:eastAsia="仿宋_GB2312" w:cs="仿宋_GB2312"/>
                <w:color w:val="auto"/>
                <w:sz w:val="24"/>
                <w:szCs w:val="24"/>
                <w:highlight w:val="none"/>
                <w:lang w:val="en-US" w:eastAsia="zh-CN"/>
              </w:rPr>
              <w:t>8</w:t>
            </w:r>
            <w:r>
              <w:rPr>
                <w:rFonts w:hint="eastAsia" w:ascii="仿宋_GB2312" w:hAnsi="仿宋_GB2312" w:eastAsia="仿宋_GB2312" w:cs="仿宋_GB2312"/>
                <w:color w:val="auto"/>
                <w:sz w:val="24"/>
                <w:szCs w:val="24"/>
                <w:highlight w:val="none"/>
              </w:rPr>
              <w:t>00000.00元</w:t>
            </w:r>
          </w:p>
          <w:p>
            <w:pPr>
              <w:pStyle w:val="29"/>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采购方式：竞争性磋商</w:t>
            </w:r>
          </w:p>
          <w:p>
            <w:pPr>
              <w:pStyle w:val="29"/>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采购内容：详见本磋商文件第五章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w:t>
            </w:r>
          </w:p>
        </w:tc>
        <w:tc>
          <w:tcPr>
            <w:tcW w:w="7650" w:type="dxa"/>
            <w:vAlign w:val="center"/>
          </w:tcPr>
          <w:p>
            <w:pPr>
              <w:pStyle w:val="29"/>
              <w:adjustRightInd w:val="0"/>
              <w:snapToGrid w:val="0"/>
              <w:spacing w:line="240" w:lineRule="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采购人：</w:t>
            </w:r>
            <w:r>
              <w:rPr>
                <w:rFonts w:hint="eastAsia" w:ascii="仿宋_GB2312" w:hAnsi="仿宋_GB2312" w:eastAsia="仿宋_GB2312" w:cs="仿宋_GB2312"/>
                <w:color w:val="auto"/>
                <w:kern w:val="0"/>
                <w:sz w:val="24"/>
                <w:highlight w:val="none"/>
                <w:lang w:eastAsia="zh-CN"/>
              </w:rPr>
              <w:t>西安市水资源保护中心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2.2</w:t>
            </w:r>
          </w:p>
        </w:tc>
        <w:tc>
          <w:tcPr>
            <w:tcW w:w="7650" w:type="dxa"/>
            <w:vAlign w:val="center"/>
          </w:tcPr>
          <w:p>
            <w:pPr>
              <w:pStyle w:val="29"/>
              <w:adjustRightInd w:val="0"/>
              <w:snapToGrid w:val="0"/>
              <w:spacing w:line="240" w:lineRule="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采购代理机构：</w:t>
            </w:r>
            <w:r>
              <w:rPr>
                <w:rFonts w:hint="eastAsia" w:ascii="仿宋_GB2312" w:hAnsi="仿宋_GB2312" w:eastAsia="仿宋_GB2312" w:cs="仿宋_GB2312"/>
                <w:color w:val="auto"/>
                <w:sz w:val="24"/>
                <w:szCs w:val="24"/>
                <w:highlight w:val="none"/>
                <w:lang w:eastAsia="zh-CN"/>
              </w:rPr>
              <w:t>陕西鸿信泰鼎建设项目管理有限公司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2.3</w:t>
            </w:r>
          </w:p>
        </w:tc>
        <w:tc>
          <w:tcPr>
            <w:tcW w:w="7650" w:type="dxa"/>
            <w:vAlign w:val="center"/>
          </w:tcPr>
          <w:p>
            <w:pPr>
              <w:pStyle w:val="29"/>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邀请供应商的方式：</w:t>
            </w:r>
          </w:p>
          <w:p>
            <w:pPr>
              <w:pStyle w:val="29"/>
              <w:adjustRightInd w:val="0"/>
              <w:snapToGrid w:val="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（1）发布磋商公告</w:t>
            </w:r>
          </w:p>
          <w:p>
            <w:pPr>
              <w:pStyle w:val="29"/>
              <w:adjustRightInd w:val="0"/>
              <w:snapToGrid w:val="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（2）采购人和评审专家分别书面推荐的方式邀请不少于3 家</w:t>
            </w:r>
          </w:p>
          <w:p>
            <w:pPr>
              <w:pStyle w:val="29"/>
              <w:adjustRightInd w:val="0"/>
              <w:snapToGrid w:val="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符合相应资格条件的供应商</w:t>
            </w:r>
          </w:p>
          <w:p>
            <w:pPr>
              <w:pStyle w:val="29"/>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3.1</w:t>
            </w:r>
          </w:p>
        </w:tc>
        <w:tc>
          <w:tcPr>
            <w:tcW w:w="7650" w:type="dxa"/>
            <w:vAlign w:val="center"/>
          </w:tcPr>
          <w:p>
            <w:pPr>
              <w:pStyle w:val="16"/>
              <w:spacing w:line="360" w:lineRule="auto"/>
              <w:rPr>
                <w:rFonts w:ascii="仿宋_GB2312" w:hAnsi="仿宋_GB2312" w:eastAsia="仿宋_GB2312" w:cs="仿宋_GB2312"/>
                <w:color w:val="auto"/>
                <w:highlight w:val="none"/>
              </w:rPr>
            </w:pPr>
            <w:r>
              <w:rPr>
                <w:rFonts w:hint="eastAsia" w:ascii="仿宋_GB2312" w:hAnsi="仿宋_GB2312" w:eastAsia="仿宋_GB2312" w:cs="仿宋_GB2312"/>
                <w:color w:val="auto"/>
                <w:kern w:val="2"/>
                <w:highlight w:val="none"/>
              </w:rPr>
              <w:t>对供应商的资格要求：见磋商公告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3.6</w:t>
            </w:r>
          </w:p>
        </w:tc>
        <w:tc>
          <w:tcPr>
            <w:tcW w:w="7650" w:type="dxa"/>
            <w:vAlign w:val="center"/>
          </w:tcPr>
          <w:p>
            <w:pPr>
              <w:pStyle w:val="16"/>
              <w:spacing w:line="360" w:lineRule="auto"/>
              <w:rPr>
                <w:rFonts w:ascii="仿宋_GB2312" w:hAnsi="仿宋_GB2312" w:eastAsia="仿宋_GB2312" w:cs="仿宋_GB2312"/>
                <w:color w:val="auto"/>
                <w:kern w:val="2"/>
                <w:highlight w:val="none"/>
              </w:rPr>
            </w:pPr>
            <w:r>
              <w:rPr>
                <w:rFonts w:hint="eastAsia" w:ascii="仿宋_GB2312" w:hAnsi="仿宋_GB2312" w:eastAsia="仿宋_GB2312" w:cs="仿宋_GB2312"/>
                <w:color w:val="auto"/>
                <w:kern w:val="2"/>
                <w:highlight w:val="none"/>
              </w:rPr>
              <w:t>是否允许采购进口产品：</w:t>
            </w:r>
            <w:r>
              <w:rPr>
                <w:rFonts w:hint="eastAsia" w:ascii="仿宋_GB2312" w:hAnsi="仿宋_GB2312" w:eastAsia="仿宋_GB2312" w:cs="仿宋_GB2312"/>
                <w:color w:val="auto"/>
                <w:kern w:val="2"/>
                <w:highlight w:val="none"/>
                <w:u w:val="single"/>
              </w:rPr>
              <w:t>否</w:t>
            </w:r>
            <w:r>
              <w:rPr>
                <w:rFonts w:hint="eastAsia" w:ascii="仿宋_GB2312" w:hAnsi="仿宋_GB2312" w:eastAsia="仿宋_GB2312" w:cs="仿宋_GB2312"/>
                <w:color w:val="auto"/>
                <w:kern w:val="2"/>
                <w:highlight w:val="non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3.7</w:t>
            </w:r>
          </w:p>
        </w:tc>
        <w:tc>
          <w:tcPr>
            <w:tcW w:w="7650" w:type="dxa"/>
            <w:vAlign w:val="center"/>
          </w:tcPr>
          <w:p>
            <w:pPr>
              <w:pStyle w:val="16"/>
              <w:spacing w:line="360" w:lineRule="auto"/>
              <w:rPr>
                <w:rFonts w:ascii="仿宋_GB2312" w:hAnsi="仿宋_GB2312" w:eastAsia="仿宋_GB2312" w:cs="仿宋_GB2312"/>
                <w:color w:val="auto"/>
                <w:kern w:val="2"/>
                <w:highlight w:val="none"/>
              </w:rPr>
            </w:pPr>
            <w:r>
              <w:rPr>
                <w:rFonts w:hint="eastAsia" w:ascii="仿宋_GB2312" w:hAnsi="仿宋_GB2312" w:eastAsia="仿宋_GB2312" w:cs="仿宋_GB2312"/>
                <w:color w:val="auto"/>
                <w:kern w:val="2"/>
                <w:highlight w:val="none"/>
              </w:rPr>
              <w:t xml:space="preserve">是否允许联合体磋商： </w:t>
            </w:r>
            <w:r>
              <w:rPr>
                <w:rFonts w:hint="eastAsia" w:ascii="仿宋_GB2312" w:hAnsi="仿宋_GB2312" w:eastAsia="仿宋_GB2312" w:cs="仿宋_GB2312"/>
                <w:color w:val="auto"/>
                <w:kern w:val="2"/>
                <w:highlight w:val="none"/>
                <w:u w:val="single"/>
              </w:rPr>
              <w:t>否</w:t>
            </w:r>
            <w:r>
              <w:rPr>
                <w:rFonts w:hint="eastAsia" w:ascii="仿宋_GB2312" w:hAnsi="仿宋_GB2312" w:eastAsia="仿宋_GB2312" w:cs="仿宋_GB2312"/>
                <w:color w:val="auto"/>
                <w:kern w:val="2"/>
                <w:highlight w:val="non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3.8</w:t>
            </w:r>
          </w:p>
        </w:tc>
        <w:tc>
          <w:tcPr>
            <w:tcW w:w="7650" w:type="dxa"/>
            <w:vAlign w:val="center"/>
          </w:tcPr>
          <w:p>
            <w:pPr>
              <w:pStyle w:val="16"/>
              <w:spacing w:line="360" w:lineRule="auto"/>
              <w:rPr>
                <w:rFonts w:ascii="仿宋_GB2312" w:hAnsi="仿宋_GB2312" w:eastAsia="仿宋_GB2312" w:cs="仿宋_GB2312"/>
                <w:color w:val="auto"/>
                <w:kern w:val="2"/>
                <w:highlight w:val="none"/>
              </w:rPr>
            </w:pPr>
            <w:r>
              <w:rPr>
                <w:rFonts w:hint="eastAsia" w:ascii="仿宋_GB2312" w:eastAsia="仿宋_GB2312"/>
                <w:color w:val="auto"/>
                <w:highlight w:val="none"/>
              </w:rPr>
              <w:t>是否为专门面向</w:t>
            </w:r>
            <w:r>
              <w:rPr>
                <w:rFonts w:ascii="仿宋_GB2312" w:hAnsi="宋体" w:eastAsia="仿宋_GB2312"/>
                <w:color w:val="auto"/>
                <w:highlight w:val="none"/>
              </w:rPr>
              <w:t>中小企业采购</w:t>
            </w:r>
            <w:r>
              <w:rPr>
                <w:rFonts w:hint="eastAsia" w:ascii="仿宋_GB2312" w:hAnsi="宋体" w:eastAsia="仿宋_GB2312"/>
                <w:color w:val="auto"/>
                <w:highlight w:val="none"/>
              </w:rPr>
              <w:t>：</w:t>
            </w:r>
            <w:r>
              <w:rPr>
                <w:rFonts w:hint="eastAsia" w:ascii="仿宋_GB2312" w:hAnsi="宋体" w:eastAsia="仿宋_GB2312"/>
                <w:color w:val="auto"/>
                <w:highlight w:val="none"/>
                <w:u w:val="single"/>
                <w:lang w:eastAsia="zh-CN"/>
              </w:rPr>
              <w:t>是</w:t>
            </w:r>
            <w:r>
              <w:rPr>
                <w:rFonts w:hint="eastAsia" w:ascii="仿宋_GB2312" w:hAnsi="宋体" w:eastAsia="仿宋_GB2312"/>
                <w:color w:val="auto"/>
                <w:highlight w:val="non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14.1</w:t>
            </w:r>
          </w:p>
        </w:tc>
        <w:tc>
          <w:tcPr>
            <w:tcW w:w="7650" w:type="dxa"/>
            <w:vAlign w:val="center"/>
          </w:tcPr>
          <w:p>
            <w:pPr>
              <w:pStyle w:val="29"/>
              <w:adjustRightInd w:val="0"/>
              <w:snapToGrid w:val="0"/>
              <w:spacing w:line="24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本项目不要求缴纳投标保证金（人民币0.00元）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15.1</w:t>
            </w:r>
          </w:p>
        </w:tc>
        <w:tc>
          <w:tcPr>
            <w:tcW w:w="7650" w:type="dxa"/>
            <w:vAlign w:val="center"/>
          </w:tcPr>
          <w:p>
            <w:pPr>
              <w:pStyle w:val="29"/>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磋商有效期：自响应文件递交之日起</w:t>
            </w:r>
            <w:r>
              <w:rPr>
                <w:rFonts w:hint="eastAsia" w:ascii="仿宋_GB2312" w:hAnsi="仿宋_GB2312" w:eastAsia="仿宋_GB2312" w:cs="仿宋_GB2312"/>
                <w:color w:val="auto"/>
                <w:sz w:val="24"/>
                <w:szCs w:val="24"/>
                <w:highlight w:val="none"/>
                <w:u w:val="single"/>
              </w:rPr>
              <w:t xml:space="preserve">  60  </w:t>
            </w:r>
            <w:r>
              <w:rPr>
                <w:rFonts w:hint="eastAsia" w:ascii="仿宋_GB2312" w:hAnsi="仿宋_GB2312" w:eastAsia="仿宋_GB2312" w:cs="仿宋_GB2312"/>
                <w:color w:val="auto"/>
                <w:sz w:val="24"/>
                <w:szCs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16.1</w:t>
            </w:r>
          </w:p>
        </w:tc>
        <w:tc>
          <w:tcPr>
            <w:tcW w:w="7650" w:type="dxa"/>
            <w:vAlign w:val="center"/>
          </w:tcPr>
          <w:p>
            <w:pPr>
              <w:pStyle w:val="29"/>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响应文件的份数：正本1份，副本2份</w:t>
            </w:r>
            <w:r>
              <w:rPr>
                <w:rFonts w:hint="eastAsia" w:ascii="仿宋_GB2312" w:hAnsi="仿宋_GB2312" w:eastAsia="仿宋_GB2312" w:cs="仿宋_GB2312"/>
                <w:i/>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17.2</w:t>
            </w:r>
          </w:p>
        </w:tc>
        <w:tc>
          <w:tcPr>
            <w:tcW w:w="7650" w:type="dxa"/>
            <w:vAlign w:val="center"/>
          </w:tcPr>
          <w:p>
            <w:pPr>
              <w:pStyle w:val="29"/>
              <w:adjustRightInd w:val="0"/>
              <w:snapToGrid w:val="0"/>
              <w:spacing w:line="240" w:lineRule="auto"/>
              <w:rPr>
                <w:rFonts w:ascii="仿宋_GB2312" w:hAnsi="仿宋_GB2312" w:eastAsia="仿宋_GB2312" w:cs="仿宋_GB2312"/>
                <w:color w:val="auto"/>
                <w:sz w:val="24"/>
                <w:szCs w:val="24"/>
                <w:highlight w:val="none"/>
              </w:rPr>
            </w:pPr>
          </w:p>
          <w:p>
            <w:pPr>
              <w:pStyle w:val="29"/>
              <w:adjustRightInd w:val="0"/>
              <w:snapToGrid w:val="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密封袋（箱）上须标注：</w:t>
            </w:r>
          </w:p>
          <w:p>
            <w:pPr>
              <w:pStyle w:val="29"/>
              <w:adjustRightInd w:val="0"/>
              <w:snapToGrid w:val="0"/>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 xml:space="preserve">    （l）采购项目编号：</w:t>
            </w:r>
            <w:r>
              <w:rPr>
                <w:rFonts w:hint="eastAsia" w:ascii="仿宋_GB2312" w:hAnsi="仿宋_GB2312" w:eastAsia="仿宋_GB2312" w:cs="仿宋_GB2312"/>
                <w:color w:val="auto"/>
                <w:sz w:val="24"/>
                <w:szCs w:val="24"/>
                <w:highlight w:val="none"/>
                <w:lang w:eastAsia="zh-CN"/>
              </w:rPr>
              <w:t>HXTDJC20220210</w:t>
            </w:r>
          </w:p>
          <w:p>
            <w:pPr>
              <w:pStyle w:val="29"/>
              <w:adjustRightInd w:val="0"/>
              <w:snapToGrid w:val="0"/>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 xml:space="preserve">    （2）项目名称：</w:t>
            </w:r>
            <w:r>
              <w:rPr>
                <w:rFonts w:hint="eastAsia" w:ascii="仿宋_GB2312" w:hAnsi="仿宋_GB2312" w:eastAsia="仿宋_GB2312" w:cs="仿宋_GB2312"/>
                <w:color w:val="auto"/>
                <w:sz w:val="24"/>
                <w:szCs w:val="24"/>
                <w:highlight w:val="none"/>
                <w:lang w:eastAsia="zh-CN"/>
              </w:rPr>
              <w:t>13个行政监测断面设施设备运行维护</w:t>
            </w:r>
          </w:p>
          <w:p>
            <w:pPr>
              <w:pStyle w:val="29"/>
              <w:adjustRightInd w:val="0"/>
              <w:snapToGrid w:val="0"/>
              <w:ind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（3）供应商的名称、地址、联系人、电话和传真。</w:t>
            </w:r>
          </w:p>
          <w:p>
            <w:pPr>
              <w:pStyle w:val="29"/>
              <w:adjustRightInd w:val="0"/>
              <w:snapToGrid w:val="0"/>
              <w:ind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（4）在******（北京时间）之前不得启封</w:t>
            </w:r>
          </w:p>
          <w:p>
            <w:pPr>
              <w:pStyle w:val="29"/>
              <w:adjustRightInd w:val="0"/>
              <w:snapToGrid w:val="0"/>
              <w:spacing w:line="240" w:lineRule="auto"/>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17.3</w:t>
            </w:r>
          </w:p>
        </w:tc>
        <w:tc>
          <w:tcPr>
            <w:tcW w:w="7650" w:type="dxa"/>
            <w:vAlign w:val="center"/>
          </w:tcPr>
          <w:p>
            <w:pPr>
              <w:pStyle w:val="29"/>
              <w:adjustRightInd w:val="0"/>
              <w:snapToGrid w:val="0"/>
              <w:ind w:firstLine="120" w:firstLineChars="5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本项目不要求提交样品。</w:t>
            </w:r>
          </w:p>
          <w:p>
            <w:pPr>
              <w:pStyle w:val="29"/>
              <w:adjustRightInd w:val="0"/>
              <w:snapToGrid w:val="0"/>
              <w:ind w:firstLine="120" w:firstLineChars="5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sym w:font="Wingdings 2" w:char="00A3"/>
            </w:r>
            <w:r>
              <w:rPr>
                <w:rFonts w:hint="eastAsia" w:ascii="仿宋_GB2312" w:hAnsi="仿宋_GB2312" w:eastAsia="仿宋_GB2312" w:cs="仿宋_GB2312"/>
                <w:color w:val="auto"/>
                <w:sz w:val="24"/>
                <w:szCs w:val="24"/>
                <w:highlight w:val="none"/>
              </w:rPr>
              <w:t>本项目要求提交样品。样品为响应文件的一部分，随响应文件同时递交。</w:t>
            </w:r>
          </w:p>
          <w:p>
            <w:pPr>
              <w:pStyle w:val="29"/>
              <w:adjustRightInd w:val="0"/>
              <w:snapToGrid w:val="0"/>
              <w:ind w:firstLine="360" w:firstLineChars="15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（1）样品需标明：项目名称、供应商名称、样品名称等内容。</w:t>
            </w:r>
          </w:p>
          <w:p>
            <w:pPr>
              <w:pStyle w:val="29"/>
              <w:adjustRightInd w:val="0"/>
              <w:snapToGrid w:val="0"/>
              <w:ind w:firstLine="360" w:firstLineChars="15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18.1</w:t>
            </w:r>
          </w:p>
        </w:tc>
        <w:tc>
          <w:tcPr>
            <w:tcW w:w="7650" w:type="dxa"/>
            <w:vAlign w:val="center"/>
          </w:tcPr>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响应文件递交截止时间：2022年</w:t>
            </w:r>
            <w:r>
              <w:rPr>
                <w:rFonts w:hint="eastAsia" w:ascii="仿宋_GB2312" w:hAnsi="仿宋_GB2312" w:eastAsia="仿宋_GB2312" w:cs="仿宋_GB2312"/>
                <w:color w:val="auto"/>
                <w:kern w:val="24"/>
                <w:sz w:val="24"/>
                <w:szCs w:val="21"/>
                <w:highlight w:val="none"/>
                <w:lang w:val="en-US" w:eastAsia="zh-CN"/>
              </w:rPr>
              <w:t>**</w:t>
            </w:r>
            <w:r>
              <w:rPr>
                <w:rFonts w:hint="eastAsia" w:ascii="仿宋_GB2312" w:hAnsi="仿宋_GB2312" w:eastAsia="仿宋_GB2312" w:cs="仿宋_GB2312"/>
                <w:color w:val="auto"/>
                <w:kern w:val="24"/>
                <w:sz w:val="24"/>
                <w:szCs w:val="21"/>
                <w:highlight w:val="none"/>
              </w:rPr>
              <w:t>月</w:t>
            </w:r>
            <w:r>
              <w:rPr>
                <w:rFonts w:hint="eastAsia" w:ascii="仿宋_GB2312" w:hAnsi="仿宋_GB2312" w:eastAsia="仿宋_GB2312" w:cs="仿宋_GB2312"/>
                <w:color w:val="auto"/>
                <w:kern w:val="24"/>
                <w:sz w:val="24"/>
                <w:szCs w:val="21"/>
                <w:highlight w:val="none"/>
                <w:lang w:val="en-US" w:eastAsia="zh-CN"/>
              </w:rPr>
              <w:t>**</w:t>
            </w:r>
            <w:r>
              <w:rPr>
                <w:rFonts w:hint="eastAsia" w:ascii="仿宋_GB2312" w:hAnsi="仿宋_GB2312" w:eastAsia="仿宋_GB2312" w:cs="仿宋_GB2312"/>
                <w:color w:val="auto"/>
                <w:kern w:val="24"/>
                <w:sz w:val="24"/>
                <w:szCs w:val="21"/>
                <w:highlight w:val="none"/>
              </w:rPr>
              <w:t>日</w:t>
            </w:r>
            <w:r>
              <w:rPr>
                <w:rFonts w:hint="eastAsia" w:ascii="仿宋_GB2312" w:hAnsi="仿宋_GB2312" w:eastAsia="仿宋_GB2312" w:cs="仿宋_GB2312"/>
                <w:color w:val="auto"/>
                <w:kern w:val="24"/>
                <w:sz w:val="24"/>
                <w:szCs w:val="21"/>
                <w:highlight w:val="none"/>
                <w:lang w:val="en-US" w:eastAsia="zh-CN"/>
              </w:rPr>
              <w:t>00</w:t>
            </w:r>
            <w:r>
              <w:rPr>
                <w:rFonts w:hint="eastAsia" w:ascii="仿宋_GB2312" w:hAnsi="仿宋_GB2312" w:eastAsia="仿宋_GB2312" w:cs="仿宋_GB2312"/>
                <w:color w:val="auto"/>
                <w:kern w:val="24"/>
                <w:sz w:val="24"/>
                <w:szCs w:val="21"/>
                <w:highlight w:val="none"/>
              </w:rPr>
              <w:t>:</w:t>
            </w:r>
            <w:r>
              <w:rPr>
                <w:rFonts w:hint="eastAsia" w:ascii="仿宋_GB2312" w:hAnsi="仿宋_GB2312" w:eastAsia="仿宋_GB2312" w:cs="仿宋_GB2312"/>
                <w:color w:val="auto"/>
                <w:kern w:val="24"/>
                <w:sz w:val="24"/>
                <w:szCs w:val="21"/>
                <w:highlight w:val="none"/>
                <w:lang w:val="en-US" w:eastAsia="zh-CN"/>
              </w:rPr>
              <w:t>00</w:t>
            </w:r>
            <w:r>
              <w:rPr>
                <w:rFonts w:hint="eastAsia" w:ascii="仿宋_GB2312" w:hAnsi="仿宋_GB2312" w:eastAsia="仿宋_GB2312" w:cs="仿宋_GB2312"/>
                <w:color w:val="auto"/>
                <w:kern w:val="24"/>
                <w:sz w:val="24"/>
                <w:szCs w:val="21"/>
                <w:highlight w:val="none"/>
              </w:rPr>
              <w:t>（北京时间）。</w:t>
            </w:r>
          </w:p>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响应文件递交地点：西安市高新区沣惠南路唐沣国际D座13楼1301室。</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24"/>
                <w:sz w:val="24"/>
                <w:szCs w:val="21"/>
                <w:highlight w:val="none"/>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9"/>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21.1</w:t>
            </w:r>
          </w:p>
        </w:tc>
        <w:tc>
          <w:tcPr>
            <w:tcW w:w="7650" w:type="dxa"/>
            <w:vAlign w:val="center"/>
          </w:tcPr>
          <w:p>
            <w:pPr>
              <w:spacing w:line="36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磋商小组由</w:t>
            </w:r>
            <w:r>
              <w:rPr>
                <w:rFonts w:hint="eastAsia" w:ascii="仿宋_GB2312" w:hAnsi="仿宋_GB2312" w:eastAsia="仿宋_GB2312" w:cs="仿宋_GB2312"/>
                <w:b/>
                <w:bCs/>
                <w:color w:val="auto"/>
                <w:sz w:val="24"/>
                <w:highlight w:val="none"/>
                <w:u w:val="single"/>
              </w:rPr>
              <w:t xml:space="preserve"> 3 </w:t>
            </w:r>
            <w:r>
              <w:rPr>
                <w:rFonts w:hint="eastAsia" w:ascii="仿宋_GB2312" w:hAnsi="仿宋_GB2312" w:eastAsia="仿宋_GB2312" w:cs="仿宋_GB2312"/>
                <w:color w:val="auto"/>
                <w:sz w:val="24"/>
                <w:highlight w:val="none"/>
              </w:rPr>
              <w:t>人或以上单数组成。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08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28.1</w:t>
            </w:r>
          </w:p>
        </w:tc>
        <w:tc>
          <w:tcPr>
            <w:tcW w:w="7650" w:type="dxa"/>
            <w:vAlign w:val="center"/>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highlight w:val="none"/>
              </w:rPr>
              <w:t>本项目要求履约保证金，金额为成交合同金额的</w:t>
            </w:r>
            <w:r>
              <w:rPr>
                <w:rFonts w:hint="eastAsia" w:ascii="仿宋_GB2312" w:hAnsi="仿宋_GB2312" w:eastAsia="仿宋_GB2312" w:cs="仿宋_GB2312"/>
                <w:b/>
                <w:color w:val="auto"/>
                <w:sz w:val="24"/>
                <w:highlight w:val="none"/>
                <w:u w:val="single"/>
                <w:lang w:val="en-US" w:eastAsia="zh-CN"/>
              </w:rPr>
              <w:t>10</w:t>
            </w:r>
            <w:r>
              <w:rPr>
                <w:rFonts w:hint="eastAsia" w:ascii="仿宋_GB2312" w:hAnsi="仿宋_GB2312" w:eastAsia="仿宋_GB2312" w:cs="仿宋_GB2312"/>
                <w:b/>
                <w:color w:val="auto"/>
                <w:sz w:val="24"/>
                <w:highlight w:val="none"/>
                <w:u w:val="single"/>
              </w:rPr>
              <w:t xml:space="preserve">% </w:t>
            </w:r>
          </w:p>
          <w:p>
            <w:pPr>
              <w:pStyle w:val="3"/>
              <w:rPr>
                <w:rFonts w:ascii="仿宋_GB2312" w:hAnsi="仿宋_GB2312" w:eastAsia="仿宋_GB2312" w:cs="仿宋_GB2312"/>
                <w:color w:val="auto"/>
                <w:highlight w:val="none"/>
              </w:rPr>
            </w:pPr>
          </w:p>
          <w:p>
            <w:pPr>
              <w:pStyle w:val="67"/>
              <w:numPr>
                <w:ilvl w:val="0"/>
                <w:numId w:val="0"/>
              </w:numPr>
              <w:ind w:leftChars="0"/>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sz w:val="24"/>
                <w:szCs w:val="24"/>
                <w:highlight w:val="none"/>
              </w:rPr>
              <w:sym w:font="Wingdings 2" w:char="00A3"/>
            </w:r>
            <w:r>
              <w:rPr>
                <w:rFonts w:hint="eastAsia" w:ascii="仿宋_GB2312" w:hAnsi="仿宋_GB2312" w:eastAsia="仿宋_GB2312" w:cs="仿宋_GB2312"/>
                <w:color w:val="auto"/>
                <w:sz w:val="24"/>
                <w:highlight w:val="none"/>
              </w:rPr>
              <w:t>本项目不要求履约保证金。</w:t>
            </w:r>
          </w:p>
        </w:tc>
      </w:tr>
    </w:tbl>
    <w:p>
      <w:pPr>
        <w:rPr>
          <w:rFonts w:ascii="仿宋_GB2312" w:hAnsi="仿宋_GB2312" w:eastAsia="仿宋_GB2312" w:cs="仿宋_GB2312"/>
          <w:color w:val="auto"/>
          <w:sz w:val="30"/>
          <w:szCs w:val="30"/>
          <w:highlight w:val="none"/>
        </w:rPr>
      </w:pPr>
      <w:bookmarkStart w:id="70" w:name="_Toc184043013"/>
      <w:bookmarkStart w:id="71" w:name="_Toc256342144"/>
      <w:bookmarkStart w:id="72" w:name="_Toc70687140"/>
      <w:bookmarkStart w:id="73" w:name="_Toc249515391"/>
      <w:bookmarkStart w:id="74" w:name="_Toc232176273"/>
      <w:bookmarkStart w:id="75" w:name="_Toc230583542"/>
      <w:bookmarkStart w:id="76" w:name="_Toc249515279"/>
      <w:bookmarkStart w:id="77" w:name="_Toc177995474"/>
      <w:bookmarkStart w:id="78" w:name="_Toc177817335"/>
      <w:bookmarkStart w:id="79" w:name="_Toc177189236"/>
      <w:bookmarkStart w:id="80" w:name="_Toc176882543"/>
      <w:bookmarkStart w:id="81" w:name="_Toc230099798"/>
      <w:bookmarkStart w:id="82" w:name="_Toc53722841"/>
      <w:bookmarkStart w:id="83" w:name="_Toc230013633"/>
      <w:bookmarkStart w:id="84" w:name="_Toc232395213"/>
      <w:bookmarkStart w:id="85" w:name="_Toc249525160"/>
      <w:r>
        <w:rPr>
          <w:rFonts w:hint="eastAsia" w:ascii="仿宋_GB2312" w:hAnsi="仿宋_GB2312" w:eastAsia="仿宋_GB2312" w:cs="仿宋_GB2312"/>
          <w:color w:val="auto"/>
          <w:sz w:val="30"/>
          <w:szCs w:val="30"/>
          <w:highlight w:val="none"/>
        </w:rPr>
        <w:br w:type="page"/>
      </w:r>
    </w:p>
    <w:p>
      <w:pPr>
        <w:pStyle w:val="77"/>
        <w:spacing w:before="24" w:after="24"/>
        <w:jc w:val="center"/>
        <w:rPr>
          <w:rFonts w:ascii="仿宋_GB2312" w:hAnsi="仿宋_GB2312" w:eastAsia="仿宋_GB2312" w:cs="仿宋_GB2312"/>
          <w:color w:val="auto"/>
          <w:szCs w:val="32"/>
          <w:highlight w:val="none"/>
        </w:rPr>
      </w:pPr>
      <w:bookmarkStart w:id="86" w:name="_Toc68590968"/>
      <w:r>
        <w:rPr>
          <w:rFonts w:hint="eastAsia" w:ascii="仿宋_GB2312" w:hAnsi="仿宋_GB2312" w:eastAsia="仿宋_GB2312" w:cs="仿宋_GB2312"/>
          <w:color w:val="auto"/>
          <w:szCs w:val="32"/>
          <w:highlight w:val="none"/>
        </w:rPr>
        <w:t>（二）供应商须知</w:t>
      </w:r>
      <w:bookmarkEnd w:id="86"/>
    </w:p>
    <w:p>
      <w:pPr>
        <w:pStyle w:val="77"/>
        <w:spacing w:before="24" w:after="24"/>
        <w:jc w:val="center"/>
        <w:rPr>
          <w:rFonts w:ascii="仿宋_GB2312" w:hAnsi="仿宋_GB2312" w:eastAsia="仿宋_GB2312" w:cs="仿宋_GB2312"/>
          <w:color w:val="auto"/>
          <w:sz w:val="30"/>
          <w:szCs w:val="30"/>
          <w:highlight w:val="none"/>
        </w:rPr>
      </w:pPr>
      <w:bookmarkStart w:id="87" w:name="_Toc68590969"/>
      <w:r>
        <w:rPr>
          <w:rFonts w:hint="eastAsia" w:ascii="仿宋_GB2312" w:hAnsi="仿宋_GB2312" w:eastAsia="仿宋_GB2312" w:cs="仿宋_GB2312"/>
          <w:color w:val="auto"/>
          <w:sz w:val="30"/>
          <w:szCs w:val="30"/>
          <w:highlight w:val="none"/>
        </w:rPr>
        <w:t>一、总  则</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7"/>
    </w:p>
    <w:p>
      <w:pPr>
        <w:rPr>
          <w:rFonts w:ascii="仿宋_GB2312" w:hAnsi="仿宋_GB2312" w:eastAsia="仿宋_GB2312" w:cs="仿宋_GB2312"/>
          <w:color w:val="auto"/>
          <w:highlight w:val="none"/>
        </w:rPr>
      </w:pPr>
    </w:p>
    <w:p>
      <w:pPr>
        <w:pStyle w:val="6"/>
        <w:rPr>
          <w:rFonts w:ascii="仿宋_GB2312" w:hAnsi="仿宋_GB2312" w:eastAsia="仿宋_GB2312" w:cs="仿宋_GB2312"/>
          <w:b/>
          <w:color w:val="auto"/>
          <w:sz w:val="24"/>
          <w:szCs w:val="21"/>
          <w:highlight w:val="none"/>
        </w:rPr>
      </w:pPr>
      <w:bookmarkStart w:id="88" w:name="_Hlt14560612"/>
      <w:bookmarkEnd w:id="88"/>
      <w:bookmarkStart w:id="89" w:name="_Toc184043014"/>
      <w:bookmarkStart w:id="90" w:name="_Toc249515392"/>
      <w:bookmarkStart w:id="91" w:name="_Toc249515280"/>
      <w:bookmarkStart w:id="92" w:name="_Toc25504"/>
      <w:bookmarkStart w:id="93" w:name="_Toc249525161"/>
      <w:r>
        <w:rPr>
          <w:rFonts w:hint="eastAsia" w:ascii="仿宋_GB2312" w:hAnsi="仿宋_GB2312" w:eastAsia="仿宋_GB2312" w:cs="仿宋_GB2312"/>
          <w:b/>
          <w:color w:val="auto"/>
          <w:sz w:val="24"/>
          <w:szCs w:val="21"/>
          <w:highlight w:val="none"/>
        </w:rPr>
        <w:t>1.     项目说明</w:t>
      </w:r>
      <w:bookmarkEnd w:id="89"/>
      <w:bookmarkEnd w:id="90"/>
      <w:bookmarkEnd w:id="91"/>
      <w:bookmarkEnd w:id="92"/>
      <w:bookmarkEnd w:id="93"/>
    </w:p>
    <w:p>
      <w:pPr>
        <w:pStyle w:val="63"/>
        <w:widowControl w:val="0"/>
        <w:tabs>
          <w:tab w:val="left" w:pos="588"/>
        </w:tabs>
        <w:spacing w:before="0" w:beforeAutospacing="0" w:after="0" w:afterAutospacing="0"/>
        <w:textAlignment w:val="auto"/>
        <w:rPr>
          <w:rFonts w:ascii="仿宋_GB2312" w:hAnsi="仿宋_GB2312" w:eastAsia="仿宋_GB2312" w:cs="仿宋_GB2312"/>
          <w:color w:val="auto"/>
          <w:kern w:val="24"/>
          <w:szCs w:val="21"/>
          <w:highlight w:val="none"/>
        </w:rPr>
      </w:pPr>
      <w:r>
        <w:rPr>
          <w:rFonts w:hint="eastAsia" w:ascii="仿宋_GB2312" w:hAnsi="仿宋_GB2312" w:eastAsia="仿宋_GB2312" w:cs="仿宋_GB2312"/>
          <w:color w:val="auto"/>
          <w:kern w:val="24"/>
          <w:szCs w:val="21"/>
          <w:highlight w:val="none"/>
        </w:rPr>
        <w:t>1.1    项目说明：</w:t>
      </w:r>
      <w:r>
        <w:rPr>
          <w:rFonts w:hint="eastAsia" w:ascii="仿宋_GB2312" w:hAnsi="仿宋_GB2312" w:eastAsia="仿宋_GB2312" w:cs="仿宋_GB2312"/>
          <w:b/>
          <w:color w:val="auto"/>
          <w:kern w:val="24"/>
          <w:szCs w:val="21"/>
          <w:highlight w:val="none"/>
        </w:rPr>
        <w:t>见供应商须知前附表</w:t>
      </w:r>
      <w:r>
        <w:rPr>
          <w:rFonts w:hint="eastAsia" w:ascii="仿宋_GB2312" w:hAnsi="仿宋_GB2312" w:eastAsia="仿宋_GB2312" w:cs="仿宋_GB2312"/>
          <w:color w:val="auto"/>
          <w:kern w:val="24"/>
          <w:szCs w:val="21"/>
          <w:highlight w:val="none"/>
        </w:rPr>
        <w:t>。</w:t>
      </w:r>
    </w:p>
    <w:p>
      <w:pPr>
        <w:pStyle w:val="6"/>
        <w:rPr>
          <w:rFonts w:ascii="仿宋_GB2312" w:hAnsi="仿宋_GB2312" w:eastAsia="仿宋_GB2312" w:cs="仿宋_GB2312"/>
          <w:b/>
          <w:color w:val="auto"/>
          <w:sz w:val="24"/>
          <w:szCs w:val="21"/>
          <w:highlight w:val="none"/>
        </w:rPr>
      </w:pPr>
      <w:bookmarkStart w:id="94" w:name="_Toc249525162"/>
      <w:bookmarkStart w:id="95" w:name="_Toc249515281"/>
      <w:bookmarkStart w:id="96" w:name="_Toc31509"/>
      <w:bookmarkStart w:id="97" w:name="_Toc249515393"/>
      <w:bookmarkStart w:id="98" w:name="_Toc70687142"/>
      <w:bookmarkStart w:id="99" w:name="_Toc184043015"/>
      <w:r>
        <w:rPr>
          <w:rFonts w:hint="eastAsia" w:ascii="仿宋_GB2312" w:hAnsi="仿宋_GB2312" w:eastAsia="仿宋_GB2312" w:cs="仿宋_GB2312"/>
          <w:b/>
          <w:color w:val="auto"/>
          <w:sz w:val="24"/>
          <w:szCs w:val="21"/>
          <w:highlight w:val="none"/>
        </w:rPr>
        <w:t>2.     定义</w:t>
      </w:r>
      <w:bookmarkEnd w:id="94"/>
      <w:bookmarkEnd w:id="95"/>
      <w:bookmarkEnd w:id="96"/>
      <w:bookmarkEnd w:id="97"/>
      <w:bookmarkEnd w:id="98"/>
      <w:bookmarkEnd w:id="99"/>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    采购人：</w:t>
      </w:r>
      <w:r>
        <w:rPr>
          <w:rFonts w:hint="eastAsia" w:ascii="仿宋_GB2312" w:hAnsi="仿宋_GB2312" w:eastAsia="仿宋_GB2312" w:cs="仿宋_GB2312"/>
          <w:b/>
          <w:color w:val="auto"/>
          <w:sz w:val="24"/>
          <w:highlight w:val="none"/>
        </w:rPr>
        <w:t>见供应商须知前附表</w:t>
      </w:r>
      <w:r>
        <w:rPr>
          <w:rFonts w:hint="eastAsia" w:ascii="仿宋_GB2312" w:hAnsi="仿宋_GB2312" w:eastAsia="仿宋_GB2312" w:cs="仿宋_GB2312"/>
          <w:color w:val="auto"/>
          <w:sz w:val="24"/>
          <w:highlight w:val="none"/>
        </w:rPr>
        <w:t>。</w:t>
      </w:r>
    </w:p>
    <w:p>
      <w:pPr>
        <w:pStyle w:val="3"/>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2.2    采购代理机构：</w:t>
      </w:r>
      <w:r>
        <w:rPr>
          <w:rFonts w:hint="eastAsia" w:ascii="仿宋_GB2312" w:hAnsi="仿宋_GB2312" w:eastAsia="仿宋_GB2312" w:cs="仿宋_GB2312"/>
          <w:b/>
          <w:color w:val="auto"/>
          <w:kern w:val="24"/>
          <w:sz w:val="24"/>
          <w:szCs w:val="21"/>
          <w:highlight w:val="none"/>
        </w:rPr>
        <w:t>见供应商须知前附表</w:t>
      </w:r>
      <w:r>
        <w:rPr>
          <w:rFonts w:hint="eastAsia" w:ascii="仿宋_GB2312" w:hAnsi="仿宋_GB2312" w:eastAsia="仿宋_GB2312" w:cs="仿宋_GB2312"/>
          <w:color w:val="auto"/>
          <w:kern w:val="24"/>
          <w:sz w:val="24"/>
          <w:szCs w:val="21"/>
          <w:highlight w:val="none"/>
        </w:rPr>
        <w:t>。</w:t>
      </w:r>
    </w:p>
    <w:p>
      <w:pPr>
        <w:pStyle w:val="3"/>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    供应商：指响应磋商文件要求、参加竞争性磋商采购的法人、其他组织或者自然人。本次政府采购项目邀请供应商方式见</w:t>
      </w:r>
      <w:r>
        <w:rPr>
          <w:rFonts w:hint="eastAsia" w:ascii="仿宋_GB2312" w:hAnsi="仿宋_GB2312" w:eastAsia="仿宋_GB2312" w:cs="仿宋_GB2312"/>
          <w:b/>
          <w:color w:val="auto"/>
          <w:sz w:val="24"/>
          <w:highlight w:val="none"/>
        </w:rPr>
        <w:t>供应商须知前附表。</w:t>
      </w:r>
    </w:p>
    <w:p>
      <w:pPr>
        <w:pStyle w:val="3"/>
        <w:tabs>
          <w:tab w:val="left" w:pos="360"/>
        </w:tabs>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2.4    磋商小组：指依据《中华人民共和国政府采购法》和财政部《政府采购竞争性磋商采购方式管理暂行办法》有关规定组建，依法依规履行其职责和义务的机构。</w:t>
      </w:r>
    </w:p>
    <w:p>
      <w:pPr>
        <w:pStyle w:val="6"/>
        <w:rPr>
          <w:rFonts w:ascii="仿宋_GB2312" w:hAnsi="仿宋_GB2312" w:eastAsia="仿宋_GB2312" w:cs="仿宋_GB2312"/>
          <w:b/>
          <w:color w:val="auto"/>
          <w:sz w:val="24"/>
          <w:szCs w:val="21"/>
          <w:highlight w:val="none"/>
        </w:rPr>
      </w:pPr>
      <w:bookmarkStart w:id="100" w:name="_Toc23705"/>
      <w:bookmarkStart w:id="101" w:name="_Toc70687143"/>
      <w:bookmarkStart w:id="102" w:name="_Toc385992329"/>
      <w:bookmarkStart w:id="103" w:name="_Toc249515394"/>
      <w:bookmarkStart w:id="104" w:name="_Toc389620168"/>
      <w:bookmarkStart w:id="105" w:name="_Toc249515282"/>
      <w:bookmarkStart w:id="106" w:name="_Toc184043016"/>
      <w:bookmarkStart w:id="107" w:name="_Toc249525163"/>
      <w:r>
        <w:rPr>
          <w:rFonts w:hint="eastAsia" w:ascii="仿宋_GB2312" w:hAnsi="仿宋_GB2312" w:eastAsia="仿宋_GB2312" w:cs="仿宋_GB2312"/>
          <w:b/>
          <w:color w:val="auto"/>
          <w:sz w:val="24"/>
          <w:szCs w:val="21"/>
          <w:highlight w:val="none"/>
        </w:rPr>
        <w:t>3.     合格的供应商</w:t>
      </w:r>
      <w:bookmarkEnd w:id="100"/>
      <w:bookmarkEnd w:id="101"/>
      <w:bookmarkEnd w:id="102"/>
      <w:bookmarkEnd w:id="103"/>
      <w:bookmarkEnd w:id="104"/>
      <w:bookmarkEnd w:id="105"/>
      <w:bookmarkEnd w:id="106"/>
      <w:bookmarkEnd w:id="107"/>
    </w:p>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3.1    供应商基本资质要求详见</w:t>
      </w:r>
      <w:r>
        <w:rPr>
          <w:rFonts w:hint="eastAsia" w:ascii="仿宋_GB2312" w:hAnsi="仿宋_GB2312" w:eastAsia="仿宋_GB2312" w:cs="仿宋_GB2312"/>
          <w:b/>
          <w:color w:val="auto"/>
          <w:kern w:val="24"/>
          <w:sz w:val="24"/>
          <w:szCs w:val="21"/>
          <w:highlight w:val="none"/>
        </w:rPr>
        <w:t>供应商须知前附表</w:t>
      </w:r>
      <w:r>
        <w:rPr>
          <w:rFonts w:hint="eastAsia" w:ascii="仿宋_GB2312" w:hAnsi="仿宋_GB2312" w:eastAsia="仿宋_GB2312" w:cs="仿宋_GB2312"/>
          <w:color w:val="auto"/>
          <w:kern w:val="24"/>
          <w:sz w:val="24"/>
          <w:szCs w:val="21"/>
          <w:highlight w:val="none"/>
        </w:rPr>
        <w:t>。</w:t>
      </w:r>
    </w:p>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3.2    本项目将执行在政府采购活动中查询及使用信用记录的规定，具体要求为：</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3.2.1  供应商应当未被列入失信被执行人、重大税收违法案件当事人名单、政府采购严重违法失信行为记录名单，否则不得参与政府采购活动。</w:t>
      </w:r>
    </w:p>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3.2.2  信用信息查询的时间：响应文件递交截止时间之后至磋商</w:t>
      </w:r>
      <w:r>
        <w:rPr>
          <w:rFonts w:hint="eastAsia" w:ascii="仿宋_GB2312" w:hAnsi="仿宋_GB2312" w:eastAsia="仿宋_GB2312" w:cs="仿宋_GB2312"/>
          <w:color w:val="auto"/>
          <w:sz w:val="24"/>
          <w:highlight w:val="none"/>
        </w:rPr>
        <w:t>资格性检查结束</w:t>
      </w:r>
      <w:r>
        <w:rPr>
          <w:rFonts w:hint="eastAsia" w:ascii="仿宋_GB2312" w:hAnsi="仿宋_GB2312" w:eastAsia="仿宋_GB2312" w:cs="仿宋_GB2312"/>
          <w:color w:val="auto"/>
          <w:kern w:val="24"/>
          <w:sz w:val="24"/>
          <w:szCs w:val="21"/>
          <w:highlight w:val="none"/>
        </w:rPr>
        <w:t xml:space="preserve">。 </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 xml:space="preserve">3.2.3  查询渠道：“信用中国”网站（www.creditchina.gov.cn）和中国政府采购网（www.ccgp.gov.cn）； </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3.3.5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3.4    供应商必须向采购人领取磋商文件并登记备案，未向采购人领取磋商文件并登记备案的潜在供应商均无资格参加本次采购。</w:t>
      </w:r>
    </w:p>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3.5    供应商应遵守《中华人民共和国政府采购法》及其它有关的中国法律和法规。</w:t>
      </w:r>
    </w:p>
    <w:p>
      <w:pPr>
        <w:pStyle w:val="3"/>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3.6    若前附表中写明允许采购进口产品，供应商应保证所投产品可履行合法报通关手续进入中国关境内。</w:t>
      </w:r>
    </w:p>
    <w:p>
      <w:pPr>
        <w:pStyle w:val="3"/>
        <w:ind w:left="838" w:leftChars="399"/>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若前附表中不允许采购进口产品，如供应商所投产品为进口产品，其响应文件将被认定为无效。</w:t>
      </w:r>
    </w:p>
    <w:p>
      <w:pPr>
        <w:pStyle w:val="3"/>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    如须知前附表中允许联合体投标，对联合体规定如下：</w:t>
      </w:r>
    </w:p>
    <w:p>
      <w:pPr>
        <w:pStyle w:val="3"/>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3.7.1  两个及以上供应商可以组成一个投标联合体，以一个供应商的身份投标。</w:t>
      </w:r>
    </w:p>
    <w:p>
      <w:pPr>
        <w:pStyle w:val="3"/>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3.7.2  联合体各方均应符合本须知规定。</w:t>
      </w:r>
    </w:p>
    <w:p>
      <w:pPr>
        <w:pStyle w:val="3"/>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3.7.3  采购人根据采购项目对供应商的特殊要求，联合体中至少应当有一方符合相关规定。</w:t>
      </w:r>
    </w:p>
    <w:p>
      <w:pPr>
        <w:pStyle w:val="3"/>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3.7.4  联合体各方应签订共同磋商响应协议，明确约定联合体各方承担的工作和相应的责任，并将共同响应协议作为响应文件的内容提交。</w:t>
      </w:r>
    </w:p>
    <w:p>
      <w:pPr>
        <w:pStyle w:val="3"/>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3.7.5  大中型企业、其他自然人、法人或者其他组织与小型、微型企业组成联合体共同参加磋商，共同响应协议中应写明小型、微型企业的协议合同金额占到共同响应协议报价总金额的比例。</w:t>
      </w:r>
    </w:p>
    <w:p>
      <w:pPr>
        <w:pStyle w:val="3"/>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3.7.6  以联合体形式参加政府采购活动的，联合体各方不得再单独参加或者与其他供应商另外组成联合体参加本项目同一合同项下的磋商，否则相关响应文件将被认定为无效。</w:t>
      </w:r>
    </w:p>
    <w:p>
      <w:pPr>
        <w:pStyle w:val="3"/>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3.7.7  对联合体磋商的其他资格要求见须知前附表。</w:t>
      </w:r>
    </w:p>
    <w:p>
      <w:pPr>
        <w:pStyle w:val="3"/>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 xml:space="preserve">3.8   </w:t>
      </w:r>
      <w:r>
        <w:rPr>
          <w:rFonts w:hint="eastAsia" w:ascii="仿宋_GB2312" w:hAnsi="宋体" w:eastAsia="仿宋_GB2312"/>
          <w:color w:val="auto"/>
          <w:sz w:val="24"/>
          <w:highlight w:val="none"/>
        </w:rPr>
        <w:t>若前附表中写明</w:t>
      </w:r>
      <w:r>
        <w:rPr>
          <w:rFonts w:ascii="仿宋_GB2312" w:hAnsi="宋体" w:eastAsia="仿宋_GB2312"/>
          <w:color w:val="auto"/>
          <w:sz w:val="24"/>
          <w:highlight w:val="none"/>
        </w:rPr>
        <w:t>专门面向中小企业采购</w:t>
      </w:r>
      <w:r>
        <w:rPr>
          <w:rFonts w:hint="eastAsia" w:ascii="仿宋_GB2312" w:hAnsi="宋体" w:eastAsia="仿宋_GB2312"/>
          <w:color w:val="auto"/>
          <w:sz w:val="24"/>
          <w:highlight w:val="none"/>
        </w:rPr>
        <w:t>的，如供应商为</w:t>
      </w:r>
      <w:r>
        <w:rPr>
          <w:rFonts w:ascii="仿宋_GB2312" w:hAnsi="宋体" w:eastAsia="仿宋_GB2312"/>
          <w:color w:val="auto"/>
          <w:sz w:val="24"/>
          <w:highlight w:val="none"/>
        </w:rPr>
        <w:t>非中小企业</w:t>
      </w:r>
      <w:r>
        <w:rPr>
          <w:rFonts w:hint="eastAsia" w:ascii="仿宋_GB2312" w:hAnsi="宋体" w:eastAsia="仿宋_GB2312"/>
          <w:color w:val="auto"/>
          <w:sz w:val="24"/>
          <w:highlight w:val="none"/>
        </w:rPr>
        <w:t>或所投产品为非中小企业产品，其响应文件将被认定为无效。</w:t>
      </w:r>
    </w:p>
    <w:p>
      <w:pPr>
        <w:pStyle w:val="6"/>
        <w:rPr>
          <w:rFonts w:ascii="仿宋_GB2312" w:hAnsi="仿宋_GB2312" w:eastAsia="仿宋_GB2312" w:cs="仿宋_GB2312"/>
          <w:b/>
          <w:color w:val="auto"/>
          <w:sz w:val="24"/>
          <w:szCs w:val="21"/>
          <w:highlight w:val="none"/>
        </w:rPr>
      </w:pPr>
      <w:bookmarkStart w:id="108" w:name="_Toc389620169"/>
      <w:bookmarkStart w:id="109" w:name="_Toc249525164"/>
      <w:bookmarkStart w:id="110" w:name="_Toc184043017"/>
      <w:bookmarkStart w:id="111" w:name="_Toc70687144"/>
      <w:bookmarkStart w:id="112" w:name="_Toc385992330"/>
      <w:bookmarkStart w:id="113" w:name="_Toc26580"/>
      <w:bookmarkStart w:id="114" w:name="_Toc249515395"/>
      <w:bookmarkStart w:id="115" w:name="_Toc249515283"/>
      <w:r>
        <w:rPr>
          <w:rFonts w:hint="eastAsia" w:ascii="仿宋_GB2312" w:hAnsi="仿宋_GB2312" w:eastAsia="仿宋_GB2312" w:cs="仿宋_GB2312"/>
          <w:b/>
          <w:color w:val="auto"/>
          <w:sz w:val="24"/>
          <w:szCs w:val="21"/>
          <w:highlight w:val="none"/>
        </w:rPr>
        <w:t>4.     磋商费用</w:t>
      </w:r>
      <w:bookmarkEnd w:id="108"/>
      <w:bookmarkEnd w:id="109"/>
      <w:bookmarkEnd w:id="110"/>
      <w:bookmarkEnd w:id="111"/>
      <w:bookmarkEnd w:id="112"/>
      <w:bookmarkEnd w:id="113"/>
      <w:bookmarkEnd w:id="114"/>
      <w:bookmarkEnd w:id="115"/>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4.1    供应商应承担所有与编写和提交响应文件有关的费用，无论磋商过程和结果如何，采购人在任何情况下均无义务和责任承担这些费用。</w:t>
      </w:r>
    </w:p>
    <w:p>
      <w:pPr>
        <w:pStyle w:val="3"/>
        <w:rPr>
          <w:rFonts w:ascii="仿宋_GB2312" w:hAnsi="仿宋_GB2312" w:eastAsia="仿宋_GB2312" w:cs="仿宋_GB2312"/>
          <w:color w:val="auto"/>
          <w:highlight w:val="none"/>
        </w:rPr>
      </w:pPr>
    </w:p>
    <w:p>
      <w:pPr>
        <w:pStyle w:val="77"/>
        <w:spacing w:before="24" w:after="24"/>
        <w:ind w:left="3313"/>
        <w:rPr>
          <w:rFonts w:hint="eastAsia" w:ascii="仿宋_GB2312" w:hAnsi="仿宋_GB2312" w:eastAsia="仿宋_GB2312" w:cs="仿宋_GB2312"/>
          <w:color w:val="auto"/>
          <w:sz w:val="30"/>
          <w:szCs w:val="30"/>
          <w:highlight w:val="none"/>
        </w:rPr>
      </w:pPr>
      <w:bookmarkStart w:id="116" w:name="_Toc68590970"/>
    </w:p>
    <w:p>
      <w:pPr>
        <w:pStyle w:val="77"/>
        <w:spacing w:before="24" w:after="24"/>
        <w:ind w:left="3313"/>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二、磋商文件说明</w:t>
      </w:r>
      <w:bookmarkEnd w:id="116"/>
    </w:p>
    <w:p>
      <w:pPr>
        <w:rPr>
          <w:rFonts w:ascii="仿宋_GB2312" w:hAnsi="仿宋_GB2312" w:eastAsia="仿宋_GB2312" w:cs="仿宋_GB2312"/>
          <w:color w:val="auto"/>
          <w:highlight w:val="none"/>
        </w:rPr>
      </w:pPr>
    </w:p>
    <w:p>
      <w:pPr>
        <w:pStyle w:val="6"/>
        <w:numPr>
          <w:ilvl w:val="0"/>
          <w:numId w:val="5"/>
        </w:numPr>
        <w:rPr>
          <w:rFonts w:ascii="仿宋_GB2312" w:hAnsi="仿宋_GB2312" w:eastAsia="仿宋_GB2312" w:cs="仿宋_GB2312"/>
          <w:b/>
          <w:color w:val="auto"/>
          <w:sz w:val="24"/>
          <w:szCs w:val="21"/>
          <w:highlight w:val="none"/>
        </w:rPr>
      </w:pPr>
      <w:bookmarkStart w:id="117" w:name="_Toc128"/>
      <w:bookmarkStart w:id="118" w:name="_Toc249525166"/>
      <w:bookmarkStart w:id="119" w:name="_Toc70687146"/>
      <w:bookmarkStart w:id="120" w:name="_Toc184043019"/>
      <w:bookmarkStart w:id="121" w:name="_Toc249515285"/>
      <w:bookmarkStart w:id="122" w:name="_Toc249515397"/>
      <w:bookmarkStart w:id="123" w:name="_Toc385992332"/>
      <w:bookmarkStart w:id="124" w:name="_Toc389620171"/>
      <w:r>
        <w:rPr>
          <w:rFonts w:hint="eastAsia" w:ascii="仿宋_GB2312" w:hAnsi="仿宋_GB2312" w:eastAsia="仿宋_GB2312" w:cs="仿宋_GB2312"/>
          <w:b/>
          <w:color w:val="auto"/>
          <w:sz w:val="24"/>
          <w:szCs w:val="21"/>
          <w:highlight w:val="none"/>
        </w:rPr>
        <w:t xml:space="preserve">    通知</w:t>
      </w:r>
      <w:bookmarkEnd w:id="117"/>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5.1    对与本项目有关的通知，采购人或采购代理机构将以书面（包括书面材料、信函、传真、电子邮件等，下同）的形式，送达所有与通知有关的已登记备案并领取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6"/>
        <w:rPr>
          <w:rFonts w:ascii="仿宋_GB2312" w:hAnsi="仿宋_GB2312" w:eastAsia="仿宋_GB2312" w:cs="仿宋_GB2312"/>
          <w:b/>
          <w:color w:val="auto"/>
          <w:sz w:val="24"/>
          <w:szCs w:val="21"/>
          <w:highlight w:val="none"/>
        </w:rPr>
      </w:pPr>
      <w:bookmarkStart w:id="125" w:name="_Toc27223"/>
      <w:r>
        <w:rPr>
          <w:rFonts w:hint="eastAsia" w:ascii="仿宋_GB2312" w:hAnsi="仿宋_GB2312" w:eastAsia="仿宋_GB2312" w:cs="仿宋_GB2312"/>
          <w:b/>
          <w:color w:val="auto"/>
          <w:sz w:val="24"/>
          <w:szCs w:val="21"/>
          <w:highlight w:val="none"/>
        </w:rPr>
        <w:t>6.     磋商文件的构成</w:t>
      </w:r>
      <w:bookmarkEnd w:id="118"/>
      <w:bookmarkEnd w:id="119"/>
      <w:bookmarkEnd w:id="120"/>
      <w:bookmarkEnd w:id="121"/>
      <w:bookmarkEnd w:id="122"/>
      <w:bookmarkEnd w:id="123"/>
      <w:bookmarkEnd w:id="124"/>
      <w:bookmarkEnd w:id="125"/>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6.1    磋商文件用以阐明供应商所需提供的服务、工程或货物以及其它类似的义务、采购响应程序和合同条款。磋商文件包括如下五章内容：</w:t>
      </w:r>
    </w:p>
    <w:p>
      <w:pPr>
        <w:pStyle w:val="3"/>
        <w:ind w:left="838" w:leftChars="399"/>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第一章</w:t>
      </w:r>
      <w:r>
        <w:rPr>
          <w:rFonts w:hint="eastAsia" w:ascii="仿宋_GB2312" w:hAnsi="仿宋_GB2312" w:eastAsia="仿宋_GB2312" w:cs="仿宋_GB2312"/>
          <w:color w:val="auto"/>
          <w:sz w:val="24"/>
          <w:highlight w:val="none"/>
        </w:rPr>
        <w:tab/>
      </w:r>
      <w:r>
        <w:rPr>
          <w:rFonts w:hint="eastAsia" w:ascii="仿宋_GB2312" w:hAnsi="仿宋_GB2312" w:eastAsia="仿宋_GB2312" w:cs="仿宋_GB2312"/>
          <w:color w:val="auto"/>
          <w:sz w:val="24"/>
          <w:highlight w:val="none"/>
        </w:rPr>
        <w:t>磋商公告</w:t>
      </w:r>
    </w:p>
    <w:p>
      <w:pPr>
        <w:pStyle w:val="3"/>
        <w:ind w:left="838" w:leftChars="399"/>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第二章</w:t>
      </w:r>
      <w:r>
        <w:rPr>
          <w:rFonts w:hint="eastAsia" w:ascii="仿宋_GB2312" w:hAnsi="仿宋_GB2312" w:eastAsia="仿宋_GB2312" w:cs="仿宋_GB2312"/>
          <w:color w:val="auto"/>
          <w:sz w:val="24"/>
          <w:highlight w:val="none"/>
        </w:rPr>
        <w:tab/>
      </w:r>
      <w:r>
        <w:rPr>
          <w:rFonts w:hint="eastAsia" w:ascii="仿宋_GB2312" w:hAnsi="仿宋_GB2312" w:eastAsia="仿宋_GB2312" w:cs="仿宋_GB2312"/>
          <w:color w:val="auto"/>
          <w:sz w:val="24"/>
          <w:highlight w:val="none"/>
        </w:rPr>
        <w:t>供应商须知</w:t>
      </w:r>
    </w:p>
    <w:p>
      <w:pPr>
        <w:pStyle w:val="3"/>
        <w:ind w:left="838" w:leftChars="399"/>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第三章</w:t>
      </w:r>
      <w:r>
        <w:rPr>
          <w:rFonts w:hint="eastAsia" w:ascii="仿宋_GB2312" w:hAnsi="仿宋_GB2312" w:eastAsia="仿宋_GB2312" w:cs="仿宋_GB2312"/>
          <w:color w:val="auto"/>
          <w:sz w:val="24"/>
          <w:highlight w:val="none"/>
        </w:rPr>
        <w:tab/>
      </w:r>
      <w:r>
        <w:rPr>
          <w:rFonts w:hint="eastAsia" w:ascii="仿宋_GB2312" w:hAnsi="仿宋_GB2312" w:eastAsia="仿宋_GB2312" w:cs="仿宋_GB2312"/>
          <w:color w:val="auto"/>
          <w:sz w:val="24"/>
          <w:highlight w:val="none"/>
        </w:rPr>
        <w:t>评审办法和标准</w:t>
      </w:r>
    </w:p>
    <w:p>
      <w:pPr>
        <w:pStyle w:val="3"/>
        <w:ind w:left="838" w:leftChars="399"/>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第四章</w:t>
      </w:r>
      <w:r>
        <w:rPr>
          <w:rFonts w:hint="eastAsia" w:ascii="仿宋_GB2312" w:hAnsi="仿宋_GB2312" w:eastAsia="仿宋_GB2312" w:cs="仿宋_GB2312"/>
          <w:color w:val="auto"/>
          <w:sz w:val="24"/>
          <w:highlight w:val="none"/>
        </w:rPr>
        <w:tab/>
      </w:r>
      <w:r>
        <w:rPr>
          <w:rFonts w:hint="eastAsia" w:ascii="仿宋_GB2312" w:hAnsi="仿宋_GB2312" w:eastAsia="仿宋_GB2312" w:cs="仿宋_GB2312"/>
          <w:color w:val="auto"/>
          <w:sz w:val="24"/>
          <w:highlight w:val="none"/>
        </w:rPr>
        <w:t>合同草案条款</w:t>
      </w:r>
    </w:p>
    <w:p>
      <w:pPr>
        <w:pStyle w:val="3"/>
        <w:ind w:left="838" w:leftChars="399"/>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第五章</w:t>
      </w:r>
      <w:r>
        <w:rPr>
          <w:rFonts w:hint="eastAsia" w:ascii="仿宋_GB2312" w:hAnsi="仿宋_GB2312" w:eastAsia="仿宋_GB2312" w:cs="仿宋_GB2312"/>
          <w:color w:val="auto"/>
          <w:sz w:val="24"/>
          <w:highlight w:val="none"/>
        </w:rPr>
        <w:tab/>
      </w:r>
      <w:r>
        <w:rPr>
          <w:rFonts w:hint="eastAsia" w:ascii="仿宋_GB2312" w:hAnsi="仿宋_GB2312" w:eastAsia="仿宋_GB2312" w:cs="仿宋_GB2312"/>
          <w:color w:val="auto"/>
          <w:sz w:val="24"/>
          <w:highlight w:val="none"/>
        </w:rPr>
        <w:t>采购内容及要求</w:t>
      </w:r>
    </w:p>
    <w:p>
      <w:pPr>
        <w:pStyle w:val="3"/>
        <w:ind w:left="838" w:leftChars="399"/>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第六章</w:t>
      </w:r>
      <w:r>
        <w:rPr>
          <w:rFonts w:hint="eastAsia" w:ascii="仿宋_GB2312" w:hAnsi="仿宋_GB2312" w:eastAsia="仿宋_GB2312" w:cs="仿宋_GB2312"/>
          <w:color w:val="auto"/>
          <w:sz w:val="24"/>
          <w:highlight w:val="none"/>
        </w:rPr>
        <w:tab/>
      </w:r>
      <w:r>
        <w:rPr>
          <w:rFonts w:hint="eastAsia" w:ascii="仿宋_GB2312" w:hAnsi="仿宋_GB2312" w:eastAsia="仿宋_GB2312" w:cs="仿宋_GB2312"/>
          <w:color w:val="auto"/>
          <w:sz w:val="24"/>
          <w:highlight w:val="none"/>
        </w:rPr>
        <w:t>磋商响应文件格式</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6"/>
        <w:rPr>
          <w:rFonts w:ascii="仿宋_GB2312" w:hAnsi="仿宋_GB2312" w:eastAsia="仿宋_GB2312" w:cs="仿宋_GB2312"/>
          <w:b/>
          <w:color w:val="auto"/>
          <w:sz w:val="24"/>
          <w:szCs w:val="21"/>
          <w:highlight w:val="none"/>
        </w:rPr>
      </w:pPr>
      <w:bookmarkStart w:id="126" w:name="_Toc70687147"/>
      <w:bookmarkStart w:id="127" w:name="_Toc249515286"/>
      <w:bookmarkStart w:id="128" w:name="_Toc389620172"/>
      <w:bookmarkStart w:id="129" w:name="_Toc249515398"/>
      <w:bookmarkStart w:id="130" w:name="_Toc249525167"/>
      <w:bookmarkStart w:id="131" w:name="_Toc385992333"/>
      <w:bookmarkStart w:id="132" w:name="_Toc184043020"/>
      <w:bookmarkStart w:id="133" w:name="_Toc10350"/>
      <w:r>
        <w:rPr>
          <w:rFonts w:hint="eastAsia" w:ascii="仿宋_GB2312" w:hAnsi="仿宋_GB2312" w:eastAsia="仿宋_GB2312" w:cs="仿宋_GB2312"/>
          <w:b/>
          <w:color w:val="auto"/>
          <w:sz w:val="24"/>
          <w:szCs w:val="21"/>
          <w:highlight w:val="none"/>
        </w:rPr>
        <w:t>7.     磋商文件的澄清</w:t>
      </w:r>
      <w:bookmarkEnd w:id="126"/>
      <w:bookmarkEnd w:id="127"/>
      <w:bookmarkEnd w:id="128"/>
      <w:bookmarkEnd w:id="129"/>
      <w:bookmarkEnd w:id="130"/>
      <w:bookmarkEnd w:id="131"/>
      <w:bookmarkEnd w:id="132"/>
      <w:r>
        <w:rPr>
          <w:rFonts w:hint="eastAsia" w:ascii="仿宋_GB2312" w:hAnsi="仿宋_GB2312" w:eastAsia="仿宋_GB2312" w:cs="仿宋_GB2312"/>
          <w:b/>
          <w:color w:val="auto"/>
          <w:sz w:val="24"/>
          <w:szCs w:val="21"/>
          <w:highlight w:val="none"/>
        </w:rPr>
        <w:t>和修改</w:t>
      </w:r>
      <w:bookmarkEnd w:id="133"/>
    </w:p>
    <w:p>
      <w:pPr>
        <w:tabs>
          <w:tab w:val="left" w:pos="588"/>
        </w:tabs>
        <w:spacing w:line="360" w:lineRule="auto"/>
        <w:ind w:left="840" w:hanging="840" w:hangingChars="350"/>
        <w:rPr>
          <w:rFonts w:ascii="仿宋_GB2312" w:hAnsi="仿宋_GB2312" w:eastAsia="仿宋_GB2312" w:cs="仿宋_GB2312"/>
          <w:color w:val="auto"/>
          <w:sz w:val="24"/>
          <w:highlight w:val="none"/>
        </w:rPr>
      </w:pPr>
      <w:bookmarkStart w:id="134" w:name="_Toc70687148"/>
      <w:bookmarkStart w:id="135" w:name="_Toc385992334"/>
      <w:bookmarkStart w:id="136" w:name="_Toc389620173"/>
      <w:r>
        <w:rPr>
          <w:rFonts w:hint="eastAsia" w:ascii="仿宋_GB2312" w:hAnsi="仿宋_GB2312" w:eastAsia="仿宋_GB2312" w:cs="仿宋_GB2312"/>
          <w:color w:val="auto"/>
          <w:sz w:val="24"/>
          <w:highlight w:val="none"/>
        </w:rPr>
        <w:t xml:space="preserve">7.1    </w:t>
      </w:r>
      <w:bookmarkEnd w:id="134"/>
      <w:bookmarkEnd w:id="135"/>
      <w:bookmarkEnd w:id="136"/>
      <w:bookmarkStart w:id="137" w:name="_Toc496324582"/>
      <w:bookmarkStart w:id="138" w:name="_Toc70687149"/>
      <w:bookmarkStart w:id="139" w:name="_Toc385992335"/>
      <w:bookmarkStart w:id="140" w:name="_Toc53722843"/>
      <w:bookmarkStart w:id="141" w:name="_Toc499711887"/>
      <w:bookmarkStart w:id="142" w:name="_Toc500747192"/>
      <w:bookmarkStart w:id="143" w:name="_Toc389620174"/>
      <w:bookmarkStart w:id="144" w:name="_Toc500747065"/>
      <w:bookmarkStart w:id="145" w:name="_Toc499711046"/>
      <w:bookmarkStart w:id="146" w:name="_Toc503063425"/>
      <w:bookmarkStart w:id="147" w:name="_Toc492955418"/>
      <w:bookmarkStart w:id="148" w:name="_Toc500746969"/>
      <w:r>
        <w:rPr>
          <w:rFonts w:hint="eastAsia" w:ascii="仿宋_GB2312" w:hAnsi="仿宋_GB2312" w:eastAsia="仿宋_GB2312" w:cs="仿宋_GB2312"/>
          <w:color w:val="auto"/>
          <w:sz w:val="24"/>
          <w:highlight w:val="none"/>
        </w:rPr>
        <w:t>在首次响应文件递交截止时间前，采购人或采购代理机构可以对已发出的磋商文件进行必要的澄清或修改，澄清或修改的内容为磋商文件的组成部分。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7.2    磋商文件的修改将以书面形式通知所有领取磋商文件的供应商，并对其具有约束力。供应商在收到上述通知后，应立即向采购人回函确认。</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7.3    澄清或修改的内容可能影响响应文件编制的，采购人或采购代理机构可适当延长首次响应文件递交截止时间，并以书面形式通知所有领取磋商文件的供应商。</w:t>
      </w:r>
    </w:p>
    <w:p>
      <w:pPr>
        <w:pStyle w:val="77"/>
        <w:spacing w:before="24" w:after="24"/>
        <w:ind w:left="3313"/>
        <w:rPr>
          <w:rFonts w:ascii="仿宋_GB2312" w:hAnsi="仿宋_GB2312" w:eastAsia="仿宋_GB2312" w:cs="仿宋_GB2312"/>
          <w:color w:val="auto"/>
          <w:sz w:val="30"/>
          <w:szCs w:val="30"/>
          <w:highlight w:val="none"/>
        </w:rPr>
      </w:pPr>
      <w:bookmarkStart w:id="149" w:name="_Toc177189238"/>
      <w:bookmarkStart w:id="150" w:name="_Toc249515400"/>
      <w:bookmarkStart w:id="151" w:name="_Toc232176275"/>
      <w:bookmarkStart w:id="152" w:name="_Toc230583544"/>
      <w:bookmarkStart w:id="153" w:name="_Toc176882545"/>
      <w:bookmarkStart w:id="154" w:name="_Toc230099800"/>
      <w:bookmarkStart w:id="155" w:name="_Toc256342146"/>
      <w:bookmarkStart w:id="156" w:name="_Toc177995476"/>
      <w:bookmarkStart w:id="157" w:name="_Toc230013635"/>
      <w:bookmarkStart w:id="158" w:name="_Toc232395215"/>
      <w:bookmarkStart w:id="159" w:name="_Toc177817337"/>
      <w:bookmarkStart w:id="160" w:name="_Toc68590971"/>
      <w:bookmarkStart w:id="161" w:name="_Toc184043022"/>
      <w:bookmarkStart w:id="162" w:name="_Toc249515288"/>
      <w:bookmarkStart w:id="163" w:name="_Toc249525169"/>
      <w:r>
        <w:rPr>
          <w:rFonts w:hint="eastAsia" w:ascii="仿宋_GB2312" w:hAnsi="仿宋_GB2312" w:eastAsia="仿宋_GB2312" w:cs="仿宋_GB2312"/>
          <w:color w:val="auto"/>
          <w:sz w:val="30"/>
          <w:szCs w:val="30"/>
          <w:highlight w:val="none"/>
        </w:rPr>
        <w:t>三、响应文件的编写</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6"/>
        <w:rPr>
          <w:rFonts w:ascii="仿宋_GB2312" w:hAnsi="仿宋_GB2312" w:eastAsia="仿宋_GB2312" w:cs="仿宋_GB2312"/>
          <w:b/>
          <w:color w:val="auto"/>
          <w:sz w:val="24"/>
          <w:szCs w:val="21"/>
          <w:highlight w:val="none"/>
        </w:rPr>
      </w:pPr>
      <w:bookmarkStart w:id="164" w:name="_Toc249515401"/>
      <w:bookmarkStart w:id="165" w:name="_Toc249515289"/>
      <w:bookmarkStart w:id="166" w:name="_Toc70687150"/>
      <w:bookmarkStart w:id="167" w:name="_Toc184043023"/>
      <w:bookmarkStart w:id="168" w:name="_Toc30150"/>
      <w:bookmarkStart w:id="169" w:name="_Toc249525170"/>
      <w:bookmarkStart w:id="170" w:name="_Toc389620176"/>
      <w:bookmarkStart w:id="171" w:name="_Toc385992337"/>
      <w:r>
        <w:rPr>
          <w:rFonts w:hint="eastAsia" w:ascii="仿宋_GB2312" w:hAnsi="仿宋_GB2312" w:eastAsia="仿宋_GB2312" w:cs="仿宋_GB2312"/>
          <w:b/>
          <w:color w:val="auto"/>
          <w:sz w:val="24"/>
          <w:szCs w:val="21"/>
          <w:highlight w:val="none"/>
        </w:rPr>
        <w:t>8.     响应文件语言</w:t>
      </w:r>
      <w:bookmarkEnd w:id="164"/>
      <w:bookmarkEnd w:id="165"/>
      <w:bookmarkEnd w:id="166"/>
      <w:bookmarkEnd w:id="167"/>
      <w:bookmarkEnd w:id="168"/>
      <w:bookmarkEnd w:id="169"/>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8.1    响应文件及与响应相关的所有文件均应以中文书写。</w:t>
      </w:r>
    </w:p>
    <w:p>
      <w:pPr>
        <w:pStyle w:val="6"/>
        <w:rPr>
          <w:rFonts w:ascii="仿宋_GB2312" w:hAnsi="仿宋_GB2312" w:eastAsia="仿宋_GB2312" w:cs="仿宋_GB2312"/>
          <w:b/>
          <w:color w:val="auto"/>
          <w:sz w:val="24"/>
          <w:szCs w:val="21"/>
          <w:highlight w:val="none"/>
        </w:rPr>
      </w:pPr>
      <w:bookmarkStart w:id="172" w:name="_Toc249515290"/>
      <w:bookmarkStart w:id="173" w:name="_Toc18327"/>
      <w:bookmarkStart w:id="174" w:name="_Toc184043024"/>
      <w:bookmarkStart w:id="175" w:name="_Toc70687151"/>
      <w:bookmarkStart w:id="176" w:name="_Toc249515402"/>
      <w:bookmarkStart w:id="177" w:name="_Toc249525171"/>
      <w:r>
        <w:rPr>
          <w:rFonts w:hint="eastAsia" w:ascii="仿宋_GB2312" w:hAnsi="仿宋_GB2312" w:eastAsia="仿宋_GB2312" w:cs="仿宋_GB2312"/>
          <w:b/>
          <w:color w:val="auto"/>
          <w:sz w:val="24"/>
          <w:szCs w:val="21"/>
          <w:highlight w:val="none"/>
        </w:rPr>
        <w:t>9.     计量单位</w:t>
      </w:r>
      <w:bookmarkEnd w:id="170"/>
      <w:bookmarkEnd w:id="171"/>
      <w:bookmarkEnd w:id="172"/>
      <w:bookmarkEnd w:id="173"/>
      <w:bookmarkEnd w:id="174"/>
      <w:bookmarkEnd w:id="175"/>
      <w:bookmarkEnd w:id="176"/>
      <w:bookmarkEnd w:id="177"/>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9.1    除在磋商文件的技术规格中另有规定外，计量单位应使用中华人民共和国法定计量单位。</w:t>
      </w:r>
    </w:p>
    <w:p>
      <w:pPr>
        <w:pStyle w:val="6"/>
        <w:rPr>
          <w:rFonts w:ascii="仿宋_GB2312" w:hAnsi="仿宋_GB2312" w:eastAsia="仿宋_GB2312" w:cs="仿宋_GB2312"/>
          <w:b/>
          <w:color w:val="auto"/>
          <w:sz w:val="24"/>
          <w:szCs w:val="21"/>
          <w:highlight w:val="none"/>
        </w:rPr>
      </w:pPr>
      <w:bookmarkStart w:id="178" w:name="_Toc184043025"/>
      <w:bookmarkStart w:id="179" w:name="_Toc249515291"/>
      <w:bookmarkStart w:id="180" w:name="_Toc249515403"/>
      <w:bookmarkStart w:id="181" w:name="_Toc29318"/>
      <w:bookmarkStart w:id="182" w:name="_Toc389620177"/>
      <w:bookmarkStart w:id="183" w:name="_Toc249525172"/>
      <w:bookmarkStart w:id="184" w:name="_Toc385992338"/>
      <w:bookmarkStart w:id="185" w:name="_Toc70687152"/>
      <w:r>
        <w:rPr>
          <w:rFonts w:hint="eastAsia" w:ascii="仿宋_GB2312" w:hAnsi="仿宋_GB2312" w:eastAsia="仿宋_GB2312" w:cs="仿宋_GB2312"/>
          <w:b/>
          <w:color w:val="auto"/>
          <w:sz w:val="24"/>
          <w:szCs w:val="21"/>
          <w:highlight w:val="none"/>
        </w:rPr>
        <w:t>10.    响应文件的组成</w:t>
      </w:r>
      <w:bookmarkEnd w:id="178"/>
      <w:bookmarkEnd w:id="179"/>
      <w:bookmarkEnd w:id="180"/>
      <w:bookmarkEnd w:id="181"/>
      <w:bookmarkEnd w:id="182"/>
      <w:bookmarkEnd w:id="183"/>
      <w:bookmarkEnd w:id="184"/>
      <w:bookmarkEnd w:id="185"/>
    </w:p>
    <w:p>
      <w:pPr>
        <w:tabs>
          <w:tab w:val="left" w:pos="588"/>
        </w:tabs>
        <w:spacing w:line="360" w:lineRule="auto"/>
        <w:ind w:left="840" w:hanging="840" w:hangingChars="350"/>
        <w:rPr>
          <w:rFonts w:ascii="仿宋_GB2312" w:hAnsi="仿宋_GB2312" w:eastAsia="仿宋_GB2312" w:cs="仿宋_GB2312"/>
          <w:i/>
          <w:color w:val="auto"/>
          <w:sz w:val="24"/>
          <w:highlight w:val="none"/>
        </w:rPr>
      </w:pPr>
      <w:r>
        <w:rPr>
          <w:rFonts w:hint="eastAsia" w:ascii="仿宋_GB2312" w:hAnsi="仿宋_GB2312" w:eastAsia="仿宋_GB2312" w:cs="仿宋_GB2312"/>
          <w:color w:val="auto"/>
          <w:sz w:val="24"/>
          <w:highlight w:val="none"/>
        </w:rPr>
        <w:t>10.1   供应商编写的响应文件</w:t>
      </w:r>
      <w:r>
        <w:rPr>
          <w:rFonts w:hint="eastAsia" w:ascii="仿宋_GB2312" w:hAnsi="仿宋_GB2312" w:eastAsia="仿宋_GB2312" w:cs="仿宋_GB2312"/>
          <w:b/>
          <w:color w:val="auto"/>
          <w:sz w:val="24"/>
          <w:highlight w:val="none"/>
        </w:rPr>
        <w:t>由《资格证明文件》、《商务及技术文件》两部分</w:t>
      </w:r>
      <w:r>
        <w:rPr>
          <w:rFonts w:hint="eastAsia" w:ascii="仿宋_GB2312" w:hAnsi="仿宋_GB2312" w:eastAsia="仿宋_GB2312" w:cs="仿宋_GB2312"/>
          <w:color w:val="auto"/>
          <w:sz w:val="24"/>
          <w:highlight w:val="none"/>
        </w:rPr>
        <w:t>组成。供应商应完整地按照磋商文件提供的响应文件格式及要求编写响应文件。响应文件中资格审查和符合性审查涉及的事项不满足要求的，其响应文件将被认定为无效。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10.2   供应商提供的以上材料必须真实有效，任何一项的虚假将导致其响应被拒绝。</w:t>
      </w:r>
    </w:p>
    <w:p>
      <w:pPr>
        <w:pStyle w:val="6"/>
        <w:rPr>
          <w:rFonts w:ascii="仿宋_GB2312" w:hAnsi="仿宋_GB2312" w:eastAsia="仿宋_GB2312" w:cs="仿宋_GB2312"/>
          <w:b/>
          <w:color w:val="auto"/>
          <w:sz w:val="24"/>
          <w:szCs w:val="21"/>
          <w:highlight w:val="none"/>
        </w:rPr>
      </w:pPr>
      <w:bookmarkStart w:id="186" w:name="_Toc389620178"/>
      <w:bookmarkStart w:id="187" w:name="_Toc184043026"/>
      <w:bookmarkStart w:id="188" w:name="_Toc249515292"/>
      <w:bookmarkStart w:id="189" w:name="_Toc26312"/>
      <w:bookmarkStart w:id="190" w:name="_Toc385992339"/>
      <w:bookmarkStart w:id="191" w:name="_Toc249515404"/>
      <w:bookmarkStart w:id="192" w:name="_Toc70687153"/>
      <w:bookmarkStart w:id="193" w:name="_Toc249525173"/>
      <w:r>
        <w:rPr>
          <w:rFonts w:hint="eastAsia" w:ascii="仿宋_GB2312" w:hAnsi="仿宋_GB2312" w:eastAsia="仿宋_GB2312" w:cs="仿宋_GB2312"/>
          <w:b/>
          <w:color w:val="auto"/>
          <w:sz w:val="24"/>
          <w:highlight w:val="none"/>
        </w:rPr>
        <w:t>11.    响应文件格式</w:t>
      </w:r>
      <w:bookmarkEnd w:id="186"/>
      <w:bookmarkEnd w:id="187"/>
      <w:bookmarkEnd w:id="188"/>
      <w:bookmarkEnd w:id="189"/>
      <w:bookmarkEnd w:id="190"/>
      <w:bookmarkEnd w:id="191"/>
      <w:bookmarkEnd w:id="192"/>
      <w:bookmarkEnd w:id="193"/>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11.1   对于磋商文件第六章中已经提供了格式的响应文件内容，供应商必须按提供的响应文件格式进行填写和编制，没有提供格式的可自行设计。</w:t>
      </w:r>
    </w:p>
    <w:p>
      <w:pPr>
        <w:pStyle w:val="6"/>
        <w:rPr>
          <w:rFonts w:ascii="仿宋_GB2312" w:hAnsi="仿宋_GB2312" w:eastAsia="仿宋_GB2312" w:cs="仿宋_GB2312"/>
          <w:b/>
          <w:color w:val="auto"/>
          <w:sz w:val="24"/>
          <w:szCs w:val="21"/>
          <w:highlight w:val="none"/>
        </w:rPr>
      </w:pPr>
      <w:bookmarkStart w:id="194" w:name="_Toc26688"/>
      <w:r>
        <w:rPr>
          <w:rFonts w:hint="eastAsia" w:ascii="仿宋_GB2312" w:hAnsi="仿宋_GB2312" w:eastAsia="仿宋_GB2312" w:cs="仿宋_GB2312"/>
          <w:b/>
          <w:color w:val="auto"/>
          <w:sz w:val="24"/>
          <w:szCs w:val="21"/>
          <w:highlight w:val="none"/>
        </w:rPr>
        <w:t>12.    响应报价</w:t>
      </w:r>
      <w:bookmarkEnd w:id="194"/>
    </w:p>
    <w:p>
      <w:pPr>
        <w:tabs>
          <w:tab w:val="left" w:pos="0"/>
          <w:tab w:val="left" w:pos="540"/>
          <w:tab w:val="left" w:pos="720"/>
        </w:tabs>
        <w:spacing w:line="360" w:lineRule="auto"/>
        <w:ind w:left="840" w:hanging="840" w:hangingChars="350"/>
        <w:rPr>
          <w:rFonts w:ascii="仿宋_GB2312" w:hAnsi="仿宋_GB2312" w:eastAsia="仿宋_GB2312" w:cs="仿宋_GB2312"/>
          <w:color w:val="auto"/>
          <w:highlight w:val="none"/>
        </w:rPr>
      </w:pPr>
      <w:r>
        <w:rPr>
          <w:rFonts w:hint="eastAsia" w:ascii="仿宋_GB2312" w:hAnsi="仿宋_GB2312" w:eastAsia="仿宋_GB2312" w:cs="仿宋_GB2312"/>
          <w:color w:val="auto"/>
          <w:kern w:val="24"/>
          <w:sz w:val="24"/>
          <w:szCs w:val="21"/>
          <w:highlight w:val="none"/>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hint="eastAsia" w:ascii="仿宋_GB2312" w:hAnsi="仿宋_GB2312" w:eastAsia="仿宋_GB2312" w:cs="仿宋_GB2312"/>
          <w:b/>
          <w:color w:val="auto"/>
          <w:kern w:val="24"/>
          <w:sz w:val="24"/>
          <w:szCs w:val="21"/>
          <w:highlight w:val="none"/>
        </w:rPr>
        <w:t>供应商须知前附表。</w:t>
      </w:r>
    </w:p>
    <w:p>
      <w:pPr>
        <w:tabs>
          <w:tab w:val="left" w:pos="540"/>
          <w:tab w:val="left" w:pos="840"/>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12.2   供应商应在响应分项报价表中详细列出所报货物和</w:t>
      </w:r>
      <w:r>
        <w:rPr>
          <w:rFonts w:hint="eastAsia" w:ascii="仿宋_GB2312" w:hAnsi="仿宋_GB2312" w:eastAsia="仿宋_GB2312" w:cs="仿宋_GB2312"/>
          <w:color w:val="auto"/>
          <w:sz w:val="24"/>
          <w:highlight w:val="none"/>
        </w:rPr>
        <w:t>服务</w:t>
      </w:r>
      <w:r>
        <w:rPr>
          <w:rFonts w:hint="eastAsia" w:ascii="仿宋_GB2312" w:hAnsi="仿宋_GB2312" w:eastAsia="仿宋_GB2312" w:cs="仿宋_GB2312"/>
          <w:color w:val="auto"/>
          <w:kern w:val="24"/>
          <w:sz w:val="24"/>
          <w:szCs w:val="21"/>
          <w:highlight w:val="none"/>
        </w:rPr>
        <w:t>的单价（如适用）和总价，并由法定代表人或其授权代表签署并加盖公章。响应分项报价表上的价格应按磋商文件第六章的格式填写。</w:t>
      </w:r>
    </w:p>
    <w:p>
      <w:pPr>
        <w:tabs>
          <w:tab w:val="left" w:pos="180"/>
          <w:tab w:val="left" w:pos="540"/>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12.5   供应商每次对每种</w:t>
      </w:r>
      <w:r>
        <w:rPr>
          <w:rFonts w:hint="eastAsia" w:ascii="仿宋_GB2312" w:hAnsi="仿宋_GB2312" w:eastAsia="仿宋_GB2312" w:cs="仿宋_GB2312"/>
          <w:color w:val="auto"/>
          <w:kern w:val="24"/>
          <w:sz w:val="24"/>
          <w:szCs w:val="21"/>
          <w:highlight w:val="none"/>
          <w:u w:val="single"/>
        </w:rPr>
        <w:t xml:space="preserve"> 服务（或工程、或产品）</w:t>
      </w:r>
      <w:r>
        <w:rPr>
          <w:rFonts w:hint="eastAsia" w:ascii="仿宋_GB2312" w:hAnsi="仿宋_GB2312" w:eastAsia="仿宋_GB2312" w:cs="仿宋_GB2312"/>
          <w:color w:val="auto"/>
          <w:kern w:val="24"/>
          <w:sz w:val="24"/>
          <w:szCs w:val="21"/>
          <w:highlight w:val="none"/>
        </w:rPr>
        <w:t>只允许有一个报价，采购人不接受有任何选择的报价。</w:t>
      </w:r>
    </w:p>
    <w:p>
      <w:pPr>
        <w:tabs>
          <w:tab w:val="left" w:pos="180"/>
          <w:tab w:val="left" w:pos="540"/>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sz w:val="24"/>
          <w:highlight w:val="none"/>
        </w:rPr>
        <w:t>12.6   供应商根据本须知12.2条规定将响应报价分成几部分并按</w:t>
      </w:r>
      <w:r>
        <w:rPr>
          <w:rFonts w:hint="eastAsia" w:ascii="仿宋_GB2312" w:hAnsi="仿宋_GB2312" w:eastAsia="仿宋_GB2312" w:cs="仿宋_GB2312"/>
          <w:color w:val="auto"/>
          <w:kern w:val="24"/>
          <w:sz w:val="24"/>
          <w:szCs w:val="21"/>
          <w:highlight w:val="none"/>
        </w:rPr>
        <w:t>磋商文件第六章提供的格式填写“响应分项报价表”，只是为了方便采购人对响应文件进行比较，并不限制采购人以其它方式签订合同的权力。</w:t>
      </w:r>
    </w:p>
    <w:p>
      <w:pPr>
        <w:pStyle w:val="6"/>
        <w:rPr>
          <w:rFonts w:ascii="仿宋_GB2312" w:hAnsi="仿宋_GB2312" w:eastAsia="仿宋_GB2312" w:cs="仿宋_GB2312"/>
          <w:b/>
          <w:color w:val="auto"/>
          <w:sz w:val="24"/>
          <w:szCs w:val="21"/>
          <w:highlight w:val="none"/>
        </w:rPr>
      </w:pPr>
      <w:bookmarkStart w:id="195" w:name="_Toc249515294"/>
      <w:bookmarkStart w:id="196" w:name="_Toc385992341"/>
      <w:bookmarkStart w:id="197" w:name="_Toc389620180"/>
      <w:bookmarkStart w:id="198" w:name="_Toc184043028"/>
      <w:bookmarkStart w:id="199" w:name="_Toc249515406"/>
      <w:bookmarkStart w:id="200" w:name="_Toc20687"/>
      <w:bookmarkStart w:id="201" w:name="_Toc70687155"/>
      <w:bookmarkStart w:id="202" w:name="_Toc249525175"/>
      <w:r>
        <w:rPr>
          <w:rFonts w:hint="eastAsia" w:ascii="仿宋_GB2312" w:hAnsi="仿宋_GB2312" w:eastAsia="仿宋_GB2312" w:cs="仿宋_GB2312"/>
          <w:b/>
          <w:color w:val="auto"/>
          <w:sz w:val="24"/>
          <w:szCs w:val="21"/>
          <w:highlight w:val="none"/>
        </w:rPr>
        <w:t>13.    报价货币</w:t>
      </w:r>
      <w:bookmarkEnd w:id="195"/>
      <w:bookmarkEnd w:id="196"/>
      <w:bookmarkEnd w:id="197"/>
      <w:bookmarkEnd w:id="198"/>
      <w:bookmarkEnd w:id="199"/>
      <w:bookmarkEnd w:id="200"/>
      <w:bookmarkEnd w:id="201"/>
      <w:bookmarkEnd w:id="202"/>
    </w:p>
    <w:p>
      <w:pPr>
        <w:tabs>
          <w:tab w:val="left" w:pos="180"/>
          <w:tab w:val="left" w:pos="540"/>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12.3   磋商响应函、响应报价一览表、响应分项报价表、最后报价表等所有报价一律用人民币填报。采购人不接受任何非人民币币种的报价。</w:t>
      </w:r>
      <w:bookmarkStart w:id="203" w:name="_Toc385992342"/>
      <w:bookmarkStart w:id="204" w:name="_Toc389620181"/>
    </w:p>
    <w:bookmarkEnd w:id="203"/>
    <w:bookmarkEnd w:id="204"/>
    <w:p>
      <w:pPr>
        <w:pStyle w:val="6"/>
        <w:rPr>
          <w:rFonts w:ascii="仿宋_GB2312" w:hAnsi="仿宋_GB2312" w:eastAsia="仿宋_GB2312" w:cs="仿宋_GB2312"/>
          <w:b/>
          <w:color w:val="auto"/>
          <w:kern w:val="24"/>
          <w:sz w:val="24"/>
          <w:szCs w:val="21"/>
          <w:highlight w:val="none"/>
        </w:rPr>
      </w:pPr>
      <w:bookmarkStart w:id="205" w:name="止观"/>
      <w:bookmarkEnd w:id="205"/>
      <w:r>
        <w:rPr>
          <w:rFonts w:hint="eastAsia" w:ascii="仿宋_GB2312" w:hAnsi="仿宋_GB2312" w:eastAsia="仿宋_GB2312" w:cs="仿宋_GB2312"/>
          <w:b/>
          <w:color w:val="auto"/>
          <w:sz w:val="24"/>
          <w:szCs w:val="21"/>
          <w:highlight w:val="none"/>
        </w:rPr>
        <w:t>14.    磋商保证金</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sz w:val="24"/>
          <w:szCs w:val="21"/>
          <w:highlight w:val="none"/>
        </w:rPr>
        <w:t>14.1   本项目须在磋商前向采购代理机构提供</w:t>
      </w:r>
      <w:r>
        <w:rPr>
          <w:rFonts w:hint="eastAsia" w:ascii="仿宋_GB2312" w:hAnsi="仿宋_GB2312" w:eastAsia="仿宋_GB2312" w:cs="仿宋_GB2312"/>
          <w:b/>
          <w:color w:val="auto"/>
          <w:sz w:val="24"/>
          <w:szCs w:val="21"/>
          <w:highlight w:val="none"/>
        </w:rPr>
        <w:t>供应商须知前附表</w:t>
      </w:r>
      <w:r>
        <w:rPr>
          <w:rFonts w:hint="eastAsia" w:ascii="仿宋_GB2312" w:hAnsi="仿宋_GB2312" w:eastAsia="仿宋_GB2312" w:cs="仿宋_GB2312"/>
          <w:color w:val="auto"/>
          <w:sz w:val="24"/>
          <w:szCs w:val="21"/>
          <w:highlight w:val="none"/>
        </w:rPr>
        <w:t>规定金额的保证金，并作为其响应文件的一部分。</w:t>
      </w:r>
    </w:p>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14.2   保证金的货币为人民币，并采用下列任何一种非现金形式向采购代理机构递交：</w:t>
      </w:r>
    </w:p>
    <w:p>
      <w:pPr>
        <w:numPr>
          <w:ilvl w:val="0"/>
          <w:numId w:val="6"/>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电汇；</w:t>
      </w:r>
    </w:p>
    <w:p>
      <w:pPr>
        <w:numPr>
          <w:ilvl w:val="0"/>
          <w:numId w:val="6"/>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银行转账；</w:t>
      </w:r>
    </w:p>
    <w:p>
      <w:pPr>
        <w:numPr>
          <w:ilvl w:val="0"/>
          <w:numId w:val="6"/>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支票、汇票、本票、金融机构或担保机构出具的保函等非现金形式。</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14.4   凡没有根据本须知第14.1条的规定随附保证金的响应文件，将被视为非响应性予以拒绝。</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14.5   未成交供应商的保证金, 采购代理机构将在成交通知书发出后5个工作日内退还。</w:t>
      </w:r>
    </w:p>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14.6   成交供应商的保证金在按本须知第26条规定签订合同后5个工作日退还。</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numPr>
          <w:ilvl w:val="0"/>
          <w:numId w:val="7"/>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供应商在提交响应文件截止时间后撤销响应文件的；</w:t>
      </w:r>
    </w:p>
    <w:p>
      <w:pPr>
        <w:numPr>
          <w:ilvl w:val="0"/>
          <w:numId w:val="7"/>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供应商在响应文件中提供虚假材料的；</w:t>
      </w:r>
    </w:p>
    <w:p>
      <w:pPr>
        <w:numPr>
          <w:ilvl w:val="0"/>
          <w:numId w:val="7"/>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 xml:space="preserve">除因不可抗力外，成交供应商在规定期限内未能根据本须知第26条规定签订合同； </w:t>
      </w:r>
    </w:p>
    <w:p>
      <w:pPr>
        <w:numPr>
          <w:ilvl w:val="0"/>
          <w:numId w:val="7"/>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供应商与采购人、其他供应商或者采购代理机构恶意串通的；</w:t>
      </w:r>
    </w:p>
    <w:p>
      <w:pPr>
        <w:numPr>
          <w:ilvl w:val="0"/>
          <w:numId w:val="7"/>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成交供应商未按本须知第29条规定缴纳服务费。</w:t>
      </w:r>
    </w:p>
    <w:p>
      <w:pPr>
        <w:pStyle w:val="6"/>
        <w:rPr>
          <w:rFonts w:ascii="仿宋_GB2312" w:hAnsi="仿宋_GB2312" w:eastAsia="仿宋_GB2312" w:cs="仿宋_GB2312"/>
          <w:b/>
          <w:color w:val="auto"/>
          <w:sz w:val="24"/>
          <w:szCs w:val="21"/>
          <w:highlight w:val="none"/>
        </w:rPr>
      </w:pPr>
      <w:bookmarkStart w:id="206" w:name="_Toc7949"/>
      <w:bookmarkStart w:id="207" w:name="_Toc249515296"/>
      <w:bookmarkStart w:id="208" w:name="_Toc249515408"/>
      <w:bookmarkStart w:id="209" w:name="_Toc249525177"/>
      <w:r>
        <w:rPr>
          <w:rFonts w:hint="eastAsia" w:ascii="仿宋_GB2312" w:hAnsi="仿宋_GB2312" w:eastAsia="仿宋_GB2312" w:cs="仿宋_GB2312"/>
          <w:b/>
          <w:color w:val="auto"/>
          <w:sz w:val="24"/>
          <w:szCs w:val="21"/>
          <w:highlight w:val="none"/>
        </w:rPr>
        <w:t>15.    磋商有效期</w:t>
      </w:r>
      <w:bookmarkEnd w:id="206"/>
      <w:bookmarkEnd w:id="207"/>
      <w:bookmarkEnd w:id="208"/>
      <w:bookmarkEnd w:id="209"/>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15.1   磋商有效期见</w:t>
      </w:r>
      <w:r>
        <w:rPr>
          <w:rFonts w:hint="eastAsia" w:ascii="仿宋_GB2312" w:hAnsi="仿宋_GB2312" w:eastAsia="仿宋_GB2312" w:cs="仿宋_GB2312"/>
          <w:b/>
          <w:color w:val="auto"/>
          <w:sz w:val="24"/>
          <w:highlight w:val="none"/>
        </w:rPr>
        <w:t>本须知前附表</w:t>
      </w:r>
      <w:r>
        <w:rPr>
          <w:rFonts w:hint="eastAsia" w:ascii="仿宋_GB2312" w:hAnsi="仿宋_GB2312" w:eastAsia="仿宋_GB2312" w:cs="仿宋_GB2312"/>
          <w:color w:val="auto"/>
          <w:sz w:val="24"/>
          <w:highlight w:val="none"/>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pStyle w:val="6"/>
        <w:rPr>
          <w:rFonts w:ascii="仿宋_GB2312" w:hAnsi="仿宋_GB2312" w:eastAsia="仿宋_GB2312" w:cs="仿宋_GB2312"/>
          <w:b/>
          <w:color w:val="auto"/>
          <w:sz w:val="24"/>
          <w:szCs w:val="21"/>
          <w:highlight w:val="none"/>
        </w:rPr>
      </w:pPr>
      <w:bookmarkStart w:id="210" w:name="_Toc249515409"/>
      <w:bookmarkStart w:id="211" w:name="_Toc385992346"/>
      <w:bookmarkStart w:id="212" w:name="_Toc184043033"/>
      <w:bookmarkStart w:id="213" w:name="_Toc16612"/>
      <w:bookmarkStart w:id="214" w:name="_Toc249515297"/>
      <w:bookmarkStart w:id="215" w:name="_Toc249525178"/>
      <w:bookmarkStart w:id="216" w:name="_Toc70687160"/>
      <w:bookmarkStart w:id="217" w:name="_Toc389620185"/>
      <w:r>
        <w:rPr>
          <w:rFonts w:hint="eastAsia" w:ascii="仿宋_GB2312" w:hAnsi="仿宋_GB2312" w:eastAsia="仿宋_GB2312" w:cs="仿宋_GB2312"/>
          <w:b/>
          <w:color w:val="auto"/>
          <w:sz w:val="24"/>
          <w:szCs w:val="21"/>
          <w:highlight w:val="none"/>
        </w:rPr>
        <w:t>16.    响应文件的制作和签署</w:t>
      </w:r>
      <w:bookmarkEnd w:id="210"/>
      <w:bookmarkEnd w:id="211"/>
      <w:bookmarkEnd w:id="212"/>
      <w:bookmarkEnd w:id="213"/>
      <w:bookmarkEnd w:id="214"/>
      <w:bookmarkEnd w:id="215"/>
      <w:bookmarkEnd w:id="216"/>
      <w:bookmarkEnd w:id="217"/>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16.1   供应商应准备一份响应文件正本和“</w:t>
      </w:r>
      <w:r>
        <w:rPr>
          <w:rFonts w:hint="eastAsia" w:ascii="仿宋_GB2312" w:hAnsi="仿宋_GB2312" w:eastAsia="仿宋_GB2312" w:cs="仿宋_GB2312"/>
          <w:b/>
          <w:color w:val="auto"/>
          <w:sz w:val="24"/>
          <w:highlight w:val="none"/>
        </w:rPr>
        <w:t>供应商须知前附表</w:t>
      </w:r>
      <w:r>
        <w:rPr>
          <w:rFonts w:hint="eastAsia" w:ascii="仿宋_GB2312" w:hAnsi="仿宋_GB2312" w:eastAsia="仿宋_GB2312" w:cs="仿宋_GB2312"/>
          <w:color w:val="auto"/>
          <w:sz w:val="24"/>
          <w:highlight w:val="none"/>
        </w:rPr>
        <w:t>”中规定数目的副本，每套响应文件须清楚地标明“正本”、“副本”。若正本和副本不符，以正本为准。</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16.3   响应文件的正本，一律用不褪色的墨水书写或打印，签字页加盖供应商单位公章，并由供应商的法定代表人或其授权的代理人签署。响应文件的副本可采用正本的复印件。</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16.4   任何行间插字、涂改或增删，必须由响应文件签字人将姓或首字母在旁边签字才有效。</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16.5   采购人不接受以电报、电话、传真、电子邮件形式递交的响应文件。</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ascii="仿宋_GB2312" w:hAnsi="仿宋_GB2312" w:eastAsia="仿宋_GB2312" w:cs="仿宋_GB2312"/>
          <w:color w:val="auto"/>
          <w:sz w:val="24"/>
          <w:highlight w:val="none"/>
        </w:rPr>
      </w:pPr>
      <w:bookmarkStart w:id="218" w:name="_Hlt491765640"/>
      <w:bookmarkEnd w:id="218"/>
      <w:bookmarkStart w:id="219" w:name="_Toc70687161"/>
      <w:bookmarkStart w:id="220" w:name="_Toc230013636"/>
      <w:bookmarkStart w:id="221" w:name="_Toc249515298"/>
      <w:bookmarkStart w:id="222" w:name="_Toc230099801"/>
      <w:bookmarkStart w:id="223" w:name="_Toc177817338"/>
      <w:bookmarkStart w:id="224" w:name="_Toc500747193"/>
      <w:bookmarkStart w:id="225" w:name="_Toc176882546"/>
      <w:bookmarkStart w:id="226" w:name="_Toc184043034"/>
      <w:bookmarkStart w:id="227" w:name="_Toc385992347"/>
      <w:bookmarkStart w:id="228" w:name="_Toc389620186"/>
      <w:bookmarkStart w:id="229" w:name="_Toc232395216"/>
      <w:bookmarkStart w:id="230" w:name="_Toc500746970"/>
      <w:bookmarkStart w:id="231" w:name="_Toc177995477"/>
      <w:bookmarkStart w:id="232" w:name="_Toc503063426"/>
      <w:bookmarkStart w:id="233" w:name="_Toc177189239"/>
      <w:bookmarkStart w:id="234" w:name="_Toc249515410"/>
      <w:bookmarkStart w:id="235" w:name="_Toc499711888"/>
      <w:bookmarkStart w:id="236" w:name="_Toc500747066"/>
      <w:bookmarkStart w:id="237" w:name="_Toc492955419"/>
      <w:bookmarkStart w:id="238" w:name="_Toc53722844"/>
      <w:bookmarkStart w:id="239" w:name="_Toc496324583"/>
      <w:bookmarkStart w:id="240" w:name="_Toc499711047"/>
      <w:bookmarkStart w:id="241" w:name="_Toc232176276"/>
      <w:bookmarkStart w:id="242" w:name="_Toc256342147"/>
      <w:bookmarkStart w:id="243" w:name="_Toc230583545"/>
      <w:bookmarkStart w:id="244" w:name="_Toc249525179"/>
      <w:r>
        <w:rPr>
          <w:rFonts w:hint="eastAsia" w:ascii="仿宋_GB2312" w:hAnsi="仿宋_GB2312" w:eastAsia="仿宋_GB2312" w:cs="仿宋_GB2312"/>
          <w:color w:val="auto"/>
          <w:sz w:val="24"/>
          <w:highlight w:val="none"/>
        </w:rPr>
        <w:t>16.7   响应文件应按照“资格证明文件”和“商务及技术文件”分成两部分，并用不可拆装的方式分别装订成册。</w:t>
      </w:r>
    </w:p>
    <w:p>
      <w:pPr>
        <w:pStyle w:val="77"/>
        <w:spacing w:before="24" w:after="24"/>
        <w:jc w:val="center"/>
        <w:rPr>
          <w:rFonts w:ascii="仿宋_GB2312" w:hAnsi="仿宋_GB2312" w:eastAsia="仿宋_GB2312" w:cs="仿宋_GB2312"/>
          <w:color w:val="auto"/>
          <w:sz w:val="30"/>
          <w:szCs w:val="30"/>
          <w:highlight w:val="none"/>
        </w:rPr>
      </w:pPr>
      <w:bookmarkStart w:id="245" w:name="_Toc68590972"/>
      <w:r>
        <w:rPr>
          <w:rFonts w:hint="eastAsia" w:ascii="仿宋_GB2312" w:hAnsi="仿宋_GB2312" w:eastAsia="仿宋_GB2312" w:cs="仿宋_GB2312"/>
          <w:color w:val="auto"/>
          <w:sz w:val="30"/>
          <w:szCs w:val="30"/>
          <w:highlight w:val="none"/>
        </w:rPr>
        <w:t>四、响应文件的密封和递交</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ascii="仿宋_GB2312" w:hAnsi="仿宋_GB2312" w:eastAsia="仿宋_GB2312" w:cs="仿宋_GB2312"/>
          <w:color w:val="auto"/>
          <w:highlight w:val="none"/>
        </w:rPr>
      </w:pPr>
    </w:p>
    <w:p>
      <w:pPr>
        <w:pStyle w:val="6"/>
        <w:rPr>
          <w:rFonts w:ascii="仿宋_GB2312" w:hAnsi="仿宋_GB2312" w:eastAsia="仿宋_GB2312" w:cs="仿宋_GB2312"/>
          <w:b/>
          <w:color w:val="auto"/>
          <w:sz w:val="24"/>
          <w:szCs w:val="21"/>
          <w:highlight w:val="none"/>
        </w:rPr>
      </w:pPr>
      <w:bookmarkStart w:id="246" w:name="_Toc249515411"/>
      <w:bookmarkStart w:id="247" w:name="_Toc249525180"/>
      <w:bookmarkStart w:id="248" w:name="_Toc4042"/>
      <w:bookmarkStart w:id="249" w:name="_Toc70687162"/>
      <w:bookmarkStart w:id="250" w:name="_Toc249515299"/>
      <w:bookmarkStart w:id="251" w:name="_Toc389620187"/>
      <w:bookmarkStart w:id="252" w:name="_Toc184043035"/>
      <w:bookmarkStart w:id="253" w:name="_Toc385992348"/>
      <w:r>
        <w:rPr>
          <w:rFonts w:hint="eastAsia" w:ascii="仿宋_GB2312" w:hAnsi="仿宋_GB2312" w:eastAsia="仿宋_GB2312" w:cs="仿宋_GB2312"/>
          <w:b/>
          <w:color w:val="auto"/>
          <w:sz w:val="24"/>
          <w:szCs w:val="21"/>
          <w:highlight w:val="none"/>
        </w:rPr>
        <w:t>17.    响应文件的密封和标记</w:t>
      </w:r>
      <w:bookmarkEnd w:id="246"/>
      <w:bookmarkEnd w:id="247"/>
      <w:bookmarkEnd w:id="248"/>
      <w:bookmarkEnd w:id="249"/>
      <w:bookmarkEnd w:id="250"/>
      <w:bookmarkEnd w:id="251"/>
      <w:bookmarkEnd w:id="252"/>
      <w:bookmarkEnd w:id="253"/>
    </w:p>
    <w:p>
      <w:pPr>
        <w:tabs>
          <w:tab w:val="left" w:pos="588"/>
        </w:tabs>
        <w:spacing w:line="360" w:lineRule="auto"/>
        <w:ind w:left="840" w:hanging="840" w:hangingChars="350"/>
        <w:rPr>
          <w:rFonts w:ascii="仿宋_GB2312" w:hAnsi="仿宋_GB2312" w:eastAsia="仿宋_GB2312" w:cs="仿宋_GB2312"/>
          <w:color w:val="auto"/>
          <w:sz w:val="24"/>
          <w:highlight w:val="none"/>
        </w:rPr>
      </w:pPr>
      <w:bookmarkStart w:id="254" w:name="_Toc389620188"/>
      <w:bookmarkStart w:id="255" w:name="_Toc385992349"/>
      <w:bookmarkStart w:id="256" w:name="_Toc70687163"/>
      <w:bookmarkStart w:id="257" w:name="_Toc184043036"/>
      <w:r>
        <w:rPr>
          <w:rFonts w:hint="eastAsia" w:ascii="仿宋_GB2312" w:hAnsi="仿宋_GB2312" w:eastAsia="仿宋_GB2312" w:cs="仿宋_GB2312"/>
          <w:color w:val="auto"/>
          <w:kern w:val="0"/>
          <w:sz w:val="24"/>
          <w:szCs w:val="21"/>
          <w:highlight w:val="none"/>
        </w:rPr>
        <w:t>17.1   供应商应将响应文件“资格证明文件”和“商务及技术文件”分别密封在两个密封袋（箱）中，并在密封袋（箱）上标明“资格证明文件”和“商务及技术文件”字样，封口处应加盖公章或授权代表签字。</w:t>
      </w:r>
    </w:p>
    <w:p>
      <w:pPr>
        <w:tabs>
          <w:tab w:val="left" w:pos="588"/>
        </w:tabs>
        <w:autoSpaceDE w:val="0"/>
        <w:autoSpaceDN w:val="0"/>
        <w:adjustRightInd w:val="0"/>
        <w:spacing w:line="360" w:lineRule="auto"/>
        <w:ind w:left="840" w:hanging="840" w:hangingChars="350"/>
        <w:rPr>
          <w:rFonts w:ascii="仿宋_GB2312" w:hAnsi="仿宋_GB2312" w:eastAsia="仿宋_GB2312" w:cs="仿宋_GB2312"/>
          <w:color w:val="auto"/>
          <w:sz w:val="24"/>
          <w:szCs w:val="21"/>
          <w:highlight w:val="none"/>
        </w:rPr>
      </w:pPr>
      <w:r>
        <w:rPr>
          <w:rFonts w:hint="eastAsia" w:ascii="仿宋_GB2312" w:hAnsi="仿宋_GB2312" w:eastAsia="仿宋_GB2312" w:cs="仿宋_GB2312"/>
          <w:color w:val="auto"/>
          <w:kern w:val="0"/>
          <w:sz w:val="24"/>
          <w:szCs w:val="21"/>
          <w:highlight w:val="none"/>
        </w:rPr>
        <w:t>17.2   密封袋（箱）上标识的内容见</w:t>
      </w:r>
      <w:r>
        <w:rPr>
          <w:rFonts w:hint="eastAsia" w:ascii="仿宋_GB2312" w:hAnsi="仿宋_GB2312" w:eastAsia="仿宋_GB2312" w:cs="仿宋_GB2312"/>
          <w:b/>
          <w:color w:val="auto"/>
          <w:sz w:val="24"/>
          <w:highlight w:val="none"/>
        </w:rPr>
        <w:t>供应商须知前附表。</w:t>
      </w:r>
      <w:r>
        <w:rPr>
          <w:rFonts w:hint="eastAsia" w:ascii="仿宋_GB2312" w:hAnsi="仿宋_GB2312" w:eastAsia="仿宋_GB2312" w:cs="仿宋_GB2312"/>
          <w:color w:val="auto"/>
          <w:sz w:val="24"/>
          <w:szCs w:val="21"/>
          <w:highlight w:val="none"/>
        </w:rPr>
        <w:t>响应文件</w:t>
      </w:r>
      <w:r>
        <w:rPr>
          <w:rFonts w:hint="eastAsia" w:ascii="仿宋_GB2312" w:hAnsi="仿宋_GB2312" w:eastAsia="仿宋_GB2312" w:cs="仿宋_GB2312"/>
          <w:color w:val="auto"/>
          <w:kern w:val="0"/>
          <w:sz w:val="24"/>
          <w:szCs w:val="21"/>
          <w:highlight w:val="none"/>
        </w:rPr>
        <w:t>如果</w:t>
      </w:r>
      <w:r>
        <w:rPr>
          <w:rFonts w:hint="eastAsia" w:ascii="仿宋_GB2312" w:hAnsi="仿宋_GB2312" w:eastAsia="仿宋_GB2312" w:cs="仿宋_GB2312"/>
          <w:color w:val="auto"/>
          <w:sz w:val="24"/>
          <w:szCs w:val="21"/>
          <w:highlight w:val="none"/>
        </w:rPr>
        <w:t>未按上述规定密封和标记，采购代理机构应当拒绝接收。</w:t>
      </w:r>
    </w:p>
    <w:p>
      <w:pPr>
        <w:pStyle w:val="3"/>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17.3   书面方式不能准确描述采购需求或者需要对样品进行主观判断以确认是否满足采购需求的情况下需提交样品。成交单位样品不予退还，成为合同内容的一部分，做为验收依据。样品的要求见</w:t>
      </w:r>
      <w:r>
        <w:rPr>
          <w:rFonts w:hint="eastAsia" w:ascii="仿宋_GB2312" w:hAnsi="仿宋_GB2312" w:eastAsia="仿宋_GB2312" w:cs="仿宋_GB2312"/>
          <w:b/>
          <w:color w:val="auto"/>
          <w:sz w:val="24"/>
          <w:highlight w:val="none"/>
        </w:rPr>
        <w:t>供应商须知前附表</w:t>
      </w:r>
      <w:r>
        <w:rPr>
          <w:rFonts w:hint="eastAsia" w:ascii="仿宋_GB2312" w:hAnsi="仿宋_GB2312" w:eastAsia="仿宋_GB2312" w:cs="仿宋_GB2312"/>
          <w:color w:val="auto"/>
          <w:sz w:val="24"/>
          <w:highlight w:val="none"/>
        </w:rPr>
        <w:t>。</w:t>
      </w:r>
    </w:p>
    <w:bookmarkEnd w:id="254"/>
    <w:bookmarkEnd w:id="255"/>
    <w:p>
      <w:pPr>
        <w:pStyle w:val="6"/>
        <w:rPr>
          <w:rFonts w:ascii="仿宋_GB2312" w:hAnsi="仿宋_GB2312" w:eastAsia="仿宋_GB2312" w:cs="仿宋_GB2312"/>
          <w:b/>
          <w:color w:val="auto"/>
          <w:sz w:val="24"/>
          <w:szCs w:val="21"/>
          <w:highlight w:val="none"/>
        </w:rPr>
      </w:pPr>
      <w:bookmarkStart w:id="258" w:name="_Toc249515412"/>
      <w:bookmarkStart w:id="259" w:name="_Toc249525181"/>
      <w:bookmarkStart w:id="260" w:name="_Toc31171"/>
      <w:bookmarkStart w:id="261" w:name="_Toc249515300"/>
      <w:r>
        <w:rPr>
          <w:rFonts w:hint="eastAsia" w:ascii="仿宋_GB2312" w:hAnsi="仿宋_GB2312" w:eastAsia="仿宋_GB2312" w:cs="仿宋_GB2312"/>
          <w:b/>
          <w:color w:val="auto"/>
          <w:sz w:val="24"/>
          <w:szCs w:val="21"/>
          <w:highlight w:val="none"/>
        </w:rPr>
        <w:t>18.    响应文件递交截止时间</w:t>
      </w:r>
      <w:bookmarkEnd w:id="256"/>
      <w:bookmarkEnd w:id="257"/>
      <w:bookmarkEnd w:id="258"/>
      <w:bookmarkEnd w:id="259"/>
      <w:bookmarkEnd w:id="260"/>
      <w:bookmarkEnd w:id="261"/>
    </w:p>
    <w:p>
      <w:pPr>
        <w:tabs>
          <w:tab w:val="left" w:pos="588"/>
        </w:tabs>
        <w:spacing w:line="360" w:lineRule="auto"/>
        <w:rPr>
          <w:rFonts w:ascii="仿宋_GB2312" w:hAnsi="仿宋_GB2312" w:eastAsia="仿宋_GB2312" w:cs="仿宋_GB2312"/>
          <w:color w:val="auto"/>
          <w:sz w:val="24"/>
          <w:highlight w:val="none"/>
        </w:rPr>
      </w:pPr>
      <w:bookmarkStart w:id="262" w:name="_Toc184043037"/>
      <w:bookmarkStart w:id="263" w:name="_Toc389620189"/>
      <w:bookmarkStart w:id="264" w:name="_Toc385992350"/>
      <w:bookmarkStart w:id="265" w:name="_Toc70687164"/>
      <w:r>
        <w:rPr>
          <w:rFonts w:hint="eastAsia" w:ascii="仿宋_GB2312" w:hAnsi="仿宋_GB2312" w:eastAsia="仿宋_GB2312" w:cs="仿宋_GB2312"/>
          <w:color w:val="auto"/>
          <w:sz w:val="24"/>
          <w:highlight w:val="none"/>
        </w:rPr>
        <w:t>18.1   响应文件递交截止时间和地点见</w:t>
      </w:r>
      <w:r>
        <w:rPr>
          <w:rFonts w:hint="eastAsia" w:ascii="仿宋_GB2312" w:hAnsi="仿宋_GB2312" w:eastAsia="仿宋_GB2312" w:cs="仿宋_GB2312"/>
          <w:b/>
          <w:color w:val="auto"/>
          <w:sz w:val="24"/>
          <w:highlight w:val="none"/>
        </w:rPr>
        <w:t>供应商须知前附表</w:t>
      </w:r>
      <w:r>
        <w:rPr>
          <w:rFonts w:hint="eastAsia" w:ascii="仿宋_GB2312" w:hAnsi="仿宋_GB2312" w:eastAsia="仿宋_GB2312" w:cs="仿宋_GB2312"/>
          <w:color w:val="auto"/>
          <w:sz w:val="24"/>
          <w:highlight w:val="none"/>
        </w:rPr>
        <w:t>。</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18.3   采购人可以按本须知第7条规定，通知修改磋商文件，适当延长响应文件递交截止时间。在此情况下，采购人和供应商受响应文件递交截止时间制约的所有权利和义务均应延长至新的截止期。</w:t>
      </w:r>
    </w:p>
    <w:p>
      <w:pPr>
        <w:pStyle w:val="6"/>
        <w:rPr>
          <w:rFonts w:ascii="仿宋_GB2312" w:hAnsi="仿宋_GB2312" w:eastAsia="仿宋_GB2312" w:cs="仿宋_GB2312"/>
          <w:b/>
          <w:color w:val="auto"/>
          <w:sz w:val="24"/>
          <w:szCs w:val="21"/>
          <w:highlight w:val="none"/>
        </w:rPr>
      </w:pPr>
      <w:bookmarkStart w:id="266" w:name="_Toc7175"/>
      <w:bookmarkStart w:id="267" w:name="_Toc249525182"/>
      <w:bookmarkStart w:id="268" w:name="_Toc249515301"/>
      <w:bookmarkStart w:id="269" w:name="_Toc249515413"/>
      <w:r>
        <w:rPr>
          <w:rFonts w:hint="eastAsia" w:ascii="仿宋_GB2312" w:hAnsi="仿宋_GB2312" w:eastAsia="仿宋_GB2312" w:cs="仿宋_GB2312"/>
          <w:b/>
          <w:color w:val="auto"/>
          <w:sz w:val="24"/>
          <w:szCs w:val="21"/>
          <w:highlight w:val="none"/>
        </w:rPr>
        <w:t>19.    迟交的响应文件</w:t>
      </w:r>
      <w:bookmarkEnd w:id="262"/>
      <w:bookmarkEnd w:id="263"/>
      <w:bookmarkEnd w:id="264"/>
      <w:bookmarkEnd w:id="265"/>
      <w:bookmarkEnd w:id="266"/>
      <w:bookmarkEnd w:id="267"/>
      <w:bookmarkEnd w:id="268"/>
      <w:bookmarkEnd w:id="269"/>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19.1   采购人将拒绝接收第18条规定的响应文件递交截止时间后递交的任何响应文件。</w:t>
      </w:r>
    </w:p>
    <w:p>
      <w:pPr>
        <w:pStyle w:val="6"/>
        <w:rPr>
          <w:rFonts w:ascii="仿宋_GB2312" w:hAnsi="仿宋_GB2312" w:eastAsia="仿宋_GB2312" w:cs="仿宋_GB2312"/>
          <w:b/>
          <w:color w:val="auto"/>
          <w:sz w:val="24"/>
          <w:szCs w:val="21"/>
          <w:highlight w:val="none"/>
        </w:rPr>
      </w:pPr>
      <w:bookmarkStart w:id="270" w:name="_Toc249515414"/>
      <w:bookmarkStart w:id="271" w:name="_Toc249525183"/>
      <w:bookmarkStart w:id="272" w:name="_Toc249515302"/>
      <w:bookmarkStart w:id="273" w:name="_Toc70687165"/>
      <w:bookmarkStart w:id="274" w:name="_Toc184043038"/>
      <w:bookmarkStart w:id="275" w:name="_Toc10272"/>
      <w:bookmarkStart w:id="276" w:name="_Toc385992351"/>
      <w:bookmarkStart w:id="277" w:name="_Toc389620190"/>
      <w:r>
        <w:rPr>
          <w:rFonts w:hint="eastAsia" w:ascii="仿宋_GB2312" w:hAnsi="仿宋_GB2312" w:eastAsia="仿宋_GB2312" w:cs="仿宋_GB2312"/>
          <w:b/>
          <w:color w:val="auto"/>
          <w:sz w:val="24"/>
          <w:szCs w:val="21"/>
          <w:highlight w:val="none"/>
        </w:rPr>
        <w:t>20.    响应文件的修改和撤</w:t>
      </w:r>
      <w:bookmarkEnd w:id="270"/>
      <w:bookmarkEnd w:id="271"/>
      <w:bookmarkEnd w:id="272"/>
      <w:bookmarkEnd w:id="273"/>
      <w:bookmarkEnd w:id="274"/>
      <w:bookmarkEnd w:id="275"/>
      <w:bookmarkEnd w:id="276"/>
      <w:bookmarkEnd w:id="277"/>
      <w:r>
        <w:rPr>
          <w:rFonts w:hint="eastAsia" w:ascii="仿宋_GB2312" w:hAnsi="仿宋_GB2312" w:eastAsia="仿宋_GB2312" w:cs="仿宋_GB2312"/>
          <w:b/>
          <w:color w:val="auto"/>
          <w:sz w:val="24"/>
          <w:szCs w:val="21"/>
          <w:highlight w:val="none"/>
        </w:rPr>
        <w:t>回</w:t>
      </w:r>
    </w:p>
    <w:p>
      <w:pPr>
        <w:tabs>
          <w:tab w:val="left" w:pos="588"/>
        </w:tabs>
        <w:spacing w:line="360" w:lineRule="auto"/>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20.2   在响应文件递交截止时间之后，供应商不得对其响应文件做任何修改。</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20.3   供应商不得在响应文件递交截止时间起至响应文件有效期期满前撤销其响应文件。</w:t>
      </w:r>
    </w:p>
    <w:p>
      <w:pPr>
        <w:pStyle w:val="77"/>
        <w:spacing w:before="24" w:after="24"/>
        <w:ind w:left="3313"/>
        <w:rPr>
          <w:rFonts w:ascii="仿宋_GB2312" w:hAnsi="仿宋_GB2312" w:eastAsia="仿宋_GB2312" w:cs="仿宋_GB2312"/>
          <w:color w:val="auto"/>
          <w:sz w:val="30"/>
          <w:szCs w:val="30"/>
          <w:highlight w:val="none"/>
        </w:rPr>
      </w:pPr>
      <w:bookmarkStart w:id="278" w:name="_Hlt491765712"/>
      <w:bookmarkEnd w:id="278"/>
      <w:bookmarkStart w:id="279" w:name="_Hlt497729441"/>
      <w:bookmarkEnd w:id="279"/>
      <w:bookmarkStart w:id="280" w:name="_Toc249525184"/>
      <w:bookmarkStart w:id="281" w:name="_Toc249515303"/>
      <w:bookmarkStart w:id="282" w:name="_Toc256342148"/>
      <w:bookmarkStart w:id="283" w:name="_Toc249515415"/>
      <w:bookmarkStart w:id="284" w:name="_Toc68590973"/>
      <w:bookmarkStart w:id="285" w:name="_Toc176882547"/>
      <w:bookmarkStart w:id="286" w:name="_Toc177189240"/>
      <w:bookmarkStart w:id="287" w:name="_Toc389620191"/>
      <w:bookmarkStart w:id="288" w:name="_Toc500747194"/>
      <w:bookmarkStart w:id="289" w:name="_Toc500747067"/>
      <w:bookmarkStart w:id="290" w:name="_Toc177995478"/>
      <w:bookmarkStart w:id="291" w:name="_Toc500746971"/>
      <w:bookmarkStart w:id="292" w:name="_Toc499711048"/>
      <w:bookmarkStart w:id="293" w:name="_Toc385992352"/>
      <w:bookmarkStart w:id="294" w:name="_Toc177817339"/>
      <w:bookmarkStart w:id="295" w:name="_Toc492955420"/>
      <w:bookmarkStart w:id="296" w:name="_Toc184043039"/>
      <w:bookmarkStart w:id="297" w:name="_Toc503063427"/>
      <w:bookmarkStart w:id="298" w:name="_Toc496324584"/>
      <w:bookmarkStart w:id="299" w:name="_Toc53722845"/>
      <w:bookmarkStart w:id="300" w:name="_Toc70687166"/>
      <w:bookmarkStart w:id="301" w:name="_Toc499711889"/>
      <w:r>
        <w:rPr>
          <w:rFonts w:hint="eastAsia" w:ascii="仿宋_GB2312" w:hAnsi="仿宋_GB2312" w:eastAsia="仿宋_GB2312" w:cs="仿宋_GB2312"/>
          <w:color w:val="auto"/>
          <w:sz w:val="30"/>
          <w:szCs w:val="30"/>
          <w:highlight w:val="none"/>
        </w:rPr>
        <w:t>五、评审与</w:t>
      </w:r>
      <w:bookmarkEnd w:id="280"/>
      <w:bookmarkEnd w:id="281"/>
      <w:bookmarkEnd w:id="282"/>
      <w:bookmarkEnd w:id="283"/>
      <w:r>
        <w:rPr>
          <w:rFonts w:hint="eastAsia" w:ascii="仿宋_GB2312" w:hAnsi="仿宋_GB2312" w:eastAsia="仿宋_GB2312" w:cs="仿宋_GB2312"/>
          <w:color w:val="auto"/>
          <w:sz w:val="30"/>
          <w:szCs w:val="30"/>
          <w:highlight w:val="none"/>
        </w:rPr>
        <w:t>磋商</w:t>
      </w:r>
      <w:bookmarkEnd w:id="284"/>
    </w:p>
    <w:p>
      <w:pPr>
        <w:pStyle w:val="6"/>
        <w:numPr>
          <w:ilvl w:val="0"/>
          <w:numId w:val="8"/>
        </w:numPr>
        <w:rPr>
          <w:rFonts w:ascii="仿宋_GB2312" w:hAnsi="仿宋_GB2312" w:eastAsia="仿宋_GB2312" w:cs="仿宋_GB2312"/>
          <w:b/>
          <w:color w:val="auto"/>
          <w:sz w:val="24"/>
          <w:highlight w:val="none"/>
        </w:rPr>
      </w:pPr>
      <w:bookmarkStart w:id="302" w:name="_Toc16042"/>
      <w:bookmarkStart w:id="303" w:name="_Toc249525186"/>
      <w:bookmarkStart w:id="304" w:name="_Toc249515305"/>
      <w:bookmarkStart w:id="305" w:name="_Toc249515417"/>
      <w:r>
        <w:rPr>
          <w:rFonts w:hint="eastAsia" w:ascii="仿宋_GB2312" w:hAnsi="仿宋_GB2312" w:eastAsia="仿宋_GB2312" w:cs="仿宋_GB2312"/>
          <w:b/>
          <w:color w:val="auto"/>
          <w:sz w:val="24"/>
          <w:highlight w:val="none"/>
        </w:rPr>
        <w:t xml:space="preserve">   磋商小组</w:t>
      </w:r>
      <w:bookmarkEnd w:id="302"/>
      <w:bookmarkEnd w:id="303"/>
      <w:bookmarkEnd w:id="304"/>
      <w:bookmarkEnd w:id="305"/>
    </w:p>
    <w:p>
      <w:pPr>
        <w:pStyle w:val="29"/>
        <w:adjustRightInd w:val="0"/>
        <w:snapToGrid w:val="0"/>
        <w:ind w:left="840" w:hanging="840" w:hangingChars="350"/>
        <w:rPr>
          <w:rFonts w:ascii="仿宋_GB2312" w:hAnsi="仿宋_GB2312" w:eastAsia="仿宋_GB2312" w:cs="仿宋_GB2312"/>
          <w:b/>
          <w:color w:val="auto"/>
          <w:sz w:val="24"/>
          <w:highlight w:val="none"/>
        </w:rPr>
      </w:pPr>
      <w:r>
        <w:rPr>
          <w:rFonts w:hint="eastAsia" w:ascii="仿宋_GB2312" w:hAnsi="仿宋_GB2312" w:eastAsia="仿宋_GB2312" w:cs="仿宋_GB2312"/>
          <w:color w:val="auto"/>
          <w:sz w:val="24"/>
          <w:szCs w:val="24"/>
          <w:highlight w:val="none"/>
        </w:rPr>
        <w:t>21.1   在磋商开始前组建磋商小组，磋商小组由采购人代表和有关专家组成。专家从政府采购评审专家库相关专业中随机抽取。磋商小组组成见</w:t>
      </w:r>
      <w:r>
        <w:rPr>
          <w:rFonts w:hint="eastAsia" w:ascii="仿宋_GB2312" w:hAnsi="仿宋_GB2312" w:eastAsia="仿宋_GB2312" w:cs="仿宋_GB2312"/>
          <w:b/>
          <w:color w:val="auto"/>
          <w:sz w:val="24"/>
          <w:highlight w:val="none"/>
        </w:rPr>
        <w:t>供应商须知前附表。</w:t>
      </w:r>
    </w:p>
    <w:p>
      <w:pPr>
        <w:pStyle w:val="29"/>
        <w:adjustRightInd w:val="0"/>
        <w:snapToGrid w:val="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21.2   磋商小组职责</w:t>
      </w:r>
    </w:p>
    <w:p>
      <w:pPr>
        <w:pStyle w:val="29"/>
        <w:adjustRightInd w:val="0"/>
        <w:snapToGrid w:val="0"/>
        <w:ind w:left="840" w:leftChars="4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（1）确认竞争性磋商文件；</w:t>
      </w:r>
    </w:p>
    <w:p>
      <w:pPr>
        <w:pStyle w:val="29"/>
        <w:adjustRightInd w:val="0"/>
        <w:snapToGrid w:val="0"/>
        <w:ind w:left="840" w:leftChars="4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（2）审查通过了资格审查的供应商响应文件并做出评价；</w:t>
      </w:r>
    </w:p>
    <w:p>
      <w:pPr>
        <w:pStyle w:val="29"/>
        <w:adjustRightInd w:val="0"/>
        <w:snapToGrid w:val="0"/>
        <w:ind w:left="840" w:leftChars="4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（3）要求供应商解释或者澄清其响应文件；</w:t>
      </w:r>
    </w:p>
    <w:p>
      <w:pPr>
        <w:pStyle w:val="29"/>
        <w:adjustRightInd w:val="0"/>
        <w:snapToGrid w:val="0"/>
        <w:ind w:left="840" w:leftChars="4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（4）编写评审报告；</w:t>
      </w:r>
    </w:p>
    <w:p>
      <w:pPr>
        <w:pStyle w:val="29"/>
        <w:adjustRightInd w:val="0"/>
        <w:snapToGrid w:val="0"/>
        <w:ind w:left="840" w:leftChars="4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（5）告知采购人、采购代理机构在评审过程中发现的供应商的违法违规行为。</w:t>
      </w:r>
    </w:p>
    <w:p>
      <w:pPr>
        <w:pStyle w:val="29"/>
        <w:adjustRightInd w:val="0"/>
        <w:snapToGrid w:val="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21.3   磋商小组义务</w:t>
      </w:r>
    </w:p>
    <w:p>
      <w:pPr>
        <w:pStyle w:val="29"/>
        <w:adjustRightInd w:val="0"/>
        <w:snapToGrid w:val="0"/>
        <w:ind w:left="838" w:leftChars="399"/>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（1）遵纪客观、公正、审慎的原则；</w:t>
      </w:r>
    </w:p>
    <w:p>
      <w:pPr>
        <w:pStyle w:val="29"/>
        <w:adjustRightInd w:val="0"/>
        <w:snapToGrid w:val="0"/>
        <w:ind w:left="838" w:leftChars="399"/>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（2）根据磋商文件的规定评审程序、评审方法和评审标准独立进行评审，对个人的评审意见承担法律责任；</w:t>
      </w:r>
    </w:p>
    <w:p>
      <w:pPr>
        <w:pStyle w:val="29"/>
        <w:adjustRightInd w:val="0"/>
        <w:snapToGrid w:val="0"/>
        <w:ind w:left="838" w:leftChars="399"/>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（3）参与评审报告的起草；</w:t>
      </w:r>
    </w:p>
    <w:p>
      <w:pPr>
        <w:pStyle w:val="29"/>
        <w:adjustRightInd w:val="0"/>
        <w:snapToGrid w:val="0"/>
        <w:ind w:left="838" w:leftChars="399"/>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（4）配合采购人、采购代理机构答复供应商提出的质疑；</w:t>
      </w:r>
    </w:p>
    <w:p>
      <w:pPr>
        <w:pStyle w:val="29"/>
        <w:adjustRightInd w:val="0"/>
        <w:snapToGrid w:val="0"/>
        <w:ind w:left="838" w:leftChars="399"/>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（5）配合财政部门的投诉处理和监督检查工作。</w:t>
      </w:r>
    </w:p>
    <w:p>
      <w:pPr>
        <w:pStyle w:val="29"/>
        <w:adjustRightInd w:val="0"/>
        <w:snapToGrid w:val="0"/>
        <w:ind w:left="840" w:hanging="840" w:hangingChars="35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21.4   确认磋商文件：磋商小组对磋商文件进行审阅，无修改进行签字确认，有修改，修改内容经采购人确认后，磋商小组以书面形式通知所有供应商。</w:t>
      </w:r>
    </w:p>
    <w:p>
      <w:pPr>
        <w:pStyle w:val="6"/>
        <w:rPr>
          <w:rFonts w:ascii="仿宋_GB2312" w:hAnsi="仿宋_GB2312" w:eastAsia="仿宋_GB2312" w:cs="仿宋_GB2312"/>
          <w:b/>
          <w:color w:val="auto"/>
          <w:sz w:val="24"/>
          <w:szCs w:val="21"/>
          <w:highlight w:val="none"/>
        </w:rPr>
      </w:pPr>
      <w:r>
        <w:rPr>
          <w:rFonts w:hint="eastAsia" w:ascii="仿宋_GB2312" w:hAnsi="仿宋_GB2312" w:eastAsia="仿宋_GB2312" w:cs="仿宋_GB2312"/>
          <w:b/>
          <w:color w:val="auto"/>
          <w:sz w:val="24"/>
          <w:szCs w:val="21"/>
          <w:highlight w:val="none"/>
        </w:rPr>
        <w:t>22.    磋商小组成员有下列情形之一的，应当回避：</w:t>
      </w:r>
    </w:p>
    <w:p>
      <w:pPr>
        <w:pStyle w:val="6"/>
        <w:tabs>
          <w:tab w:val="left" w:pos="360"/>
        </w:tabs>
        <w:rPr>
          <w:rFonts w:ascii="仿宋_GB2312" w:hAnsi="仿宋_GB2312" w:eastAsia="仿宋_GB2312" w:cs="仿宋_GB2312"/>
          <w:color w:val="auto"/>
          <w:sz w:val="24"/>
          <w:szCs w:val="21"/>
          <w:highlight w:val="none"/>
        </w:rPr>
      </w:pPr>
      <w:r>
        <w:rPr>
          <w:rFonts w:hint="eastAsia" w:ascii="仿宋_GB2312" w:hAnsi="仿宋_GB2312" w:eastAsia="仿宋_GB2312" w:cs="仿宋_GB2312"/>
          <w:color w:val="auto"/>
          <w:sz w:val="24"/>
          <w:szCs w:val="21"/>
          <w:highlight w:val="none"/>
        </w:rPr>
        <w:t>22.1   参加采购活动前3年内与供应商存在劳动关系；</w:t>
      </w:r>
    </w:p>
    <w:p>
      <w:pPr>
        <w:pStyle w:val="6"/>
        <w:tabs>
          <w:tab w:val="left" w:pos="360"/>
        </w:tabs>
        <w:rPr>
          <w:rFonts w:ascii="仿宋_GB2312" w:hAnsi="仿宋_GB2312" w:eastAsia="仿宋_GB2312" w:cs="仿宋_GB2312"/>
          <w:color w:val="auto"/>
          <w:sz w:val="24"/>
          <w:szCs w:val="21"/>
          <w:highlight w:val="none"/>
        </w:rPr>
      </w:pPr>
      <w:r>
        <w:rPr>
          <w:rFonts w:hint="eastAsia" w:ascii="仿宋_GB2312" w:hAnsi="仿宋_GB2312" w:eastAsia="仿宋_GB2312" w:cs="仿宋_GB2312"/>
          <w:color w:val="auto"/>
          <w:sz w:val="24"/>
          <w:szCs w:val="21"/>
          <w:highlight w:val="none"/>
        </w:rPr>
        <w:t>22.2   参加采购活动前3年内担任供应商的董事、监事；</w:t>
      </w:r>
    </w:p>
    <w:p>
      <w:pPr>
        <w:pStyle w:val="6"/>
        <w:tabs>
          <w:tab w:val="left" w:pos="360"/>
        </w:tabs>
        <w:rPr>
          <w:rFonts w:ascii="仿宋_GB2312" w:hAnsi="仿宋_GB2312" w:eastAsia="仿宋_GB2312" w:cs="仿宋_GB2312"/>
          <w:color w:val="auto"/>
          <w:sz w:val="24"/>
          <w:szCs w:val="21"/>
          <w:highlight w:val="none"/>
        </w:rPr>
      </w:pPr>
      <w:r>
        <w:rPr>
          <w:rFonts w:hint="eastAsia" w:ascii="仿宋_GB2312" w:hAnsi="仿宋_GB2312" w:eastAsia="仿宋_GB2312" w:cs="仿宋_GB2312"/>
          <w:color w:val="auto"/>
          <w:sz w:val="24"/>
          <w:szCs w:val="21"/>
          <w:highlight w:val="none"/>
        </w:rPr>
        <w:t>22.3   参加采购活动前3年内是供应商的控股股东或者实际控制人；</w:t>
      </w:r>
    </w:p>
    <w:p>
      <w:pPr>
        <w:pStyle w:val="6"/>
        <w:tabs>
          <w:tab w:val="left" w:pos="360"/>
        </w:tabs>
        <w:ind w:left="840" w:hanging="840" w:hangingChars="350"/>
        <w:rPr>
          <w:rFonts w:ascii="仿宋_GB2312" w:hAnsi="仿宋_GB2312" w:eastAsia="仿宋_GB2312" w:cs="仿宋_GB2312"/>
          <w:color w:val="auto"/>
          <w:sz w:val="24"/>
          <w:szCs w:val="21"/>
          <w:highlight w:val="none"/>
        </w:rPr>
      </w:pPr>
      <w:r>
        <w:rPr>
          <w:rFonts w:hint="eastAsia" w:ascii="仿宋_GB2312" w:hAnsi="仿宋_GB2312" w:eastAsia="仿宋_GB2312" w:cs="仿宋_GB2312"/>
          <w:color w:val="auto"/>
          <w:sz w:val="24"/>
          <w:szCs w:val="21"/>
          <w:highlight w:val="none"/>
        </w:rPr>
        <w:t>22.4   与供应商的法定代表人或者负责人有夫妻、直系血亲、三代以内旁系血亲或者近姻亲关系；</w:t>
      </w:r>
    </w:p>
    <w:p>
      <w:pPr>
        <w:pStyle w:val="6"/>
        <w:tabs>
          <w:tab w:val="left" w:pos="360"/>
        </w:tabs>
        <w:rPr>
          <w:rFonts w:ascii="仿宋_GB2312" w:hAnsi="仿宋_GB2312" w:eastAsia="仿宋_GB2312" w:cs="仿宋_GB2312"/>
          <w:color w:val="auto"/>
          <w:sz w:val="24"/>
          <w:szCs w:val="21"/>
          <w:highlight w:val="none"/>
        </w:rPr>
      </w:pPr>
      <w:r>
        <w:rPr>
          <w:rFonts w:hint="eastAsia" w:ascii="仿宋_GB2312" w:hAnsi="仿宋_GB2312" w:eastAsia="仿宋_GB2312" w:cs="仿宋_GB2312"/>
          <w:color w:val="auto"/>
          <w:sz w:val="24"/>
          <w:szCs w:val="21"/>
          <w:highlight w:val="none"/>
        </w:rPr>
        <w:t>22.5   与供应商有其他可能影响政府采购活动公平、公正进行的关系。</w:t>
      </w:r>
    </w:p>
    <w:p>
      <w:pPr>
        <w:pStyle w:val="6"/>
        <w:rPr>
          <w:rFonts w:ascii="仿宋_GB2312" w:hAnsi="仿宋_GB2312" w:eastAsia="仿宋_GB2312" w:cs="仿宋_GB2312"/>
          <w:b/>
          <w:color w:val="auto"/>
          <w:sz w:val="24"/>
          <w:szCs w:val="21"/>
          <w:highlight w:val="none"/>
        </w:rPr>
      </w:pPr>
      <w:bookmarkStart w:id="306" w:name="_Toc83547667"/>
      <w:bookmarkStart w:id="307" w:name="_Toc249515306"/>
      <w:bookmarkStart w:id="308" w:name="_Toc249525187"/>
      <w:bookmarkStart w:id="309" w:name="_Toc249515418"/>
      <w:bookmarkStart w:id="310" w:name="_Toc20608"/>
      <w:r>
        <w:rPr>
          <w:rFonts w:hint="eastAsia" w:ascii="仿宋_GB2312" w:hAnsi="仿宋_GB2312" w:eastAsia="仿宋_GB2312" w:cs="仿宋_GB2312"/>
          <w:b/>
          <w:color w:val="auto"/>
          <w:sz w:val="24"/>
          <w:szCs w:val="21"/>
          <w:highlight w:val="none"/>
        </w:rPr>
        <w:t>23.    磋商程序</w:t>
      </w:r>
    </w:p>
    <w:p>
      <w:pPr>
        <w:pStyle w:val="6"/>
        <w:tabs>
          <w:tab w:val="left" w:pos="360"/>
        </w:tabs>
        <w:rPr>
          <w:rFonts w:ascii="仿宋_GB2312" w:hAnsi="仿宋_GB2312" w:eastAsia="仿宋_GB2312" w:cs="仿宋_GB2312"/>
          <w:b/>
          <w:color w:val="auto"/>
          <w:sz w:val="24"/>
          <w:szCs w:val="21"/>
          <w:highlight w:val="none"/>
        </w:rPr>
      </w:pPr>
      <w:bookmarkStart w:id="311" w:name="_Toc58504507"/>
      <w:r>
        <w:rPr>
          <w:rFonts w:hint="eastAsia" w:ascii="仿宋_GB2312" w:hAnsi="仿宋_GB2312" w:eastAsia="仿宋_GB2312" w:cs="仿宋_GB2312"/>
          <w:b/>
          <w:color w:val="auto"/>
          <w:sz w:val="24"/>
          <w:szCs w:val="21"/>
          <w:highlight w:val="none"/>
        </w:rPr>
        <w:t>23.1   磋商会议</w:t>
      </w:r>
      <w:bookmarkEnd w:id="311"/>
    </w:p>
    <w:p>
      <w:pPr>
        <w:pStyle w:val="3"/>
        <w:ind w:left="840" w:leftChars="400"/>
        <w:rPr>
          <w:rFonts w:ascii="仿宋_GB2312" w:hAnsi="仿宋_GB2312" w:eastAsia="仿宋_GB2312" w:cs="仿宋_GB2312"/>
          <w:color w:val="auto"/>
          <w:sz w:val="24"/>
          <w:szCs w:val="32"/>
          <w:highlight w:val="none"/>
        </w:rPr>
      </w:pPr>
      <w:bookmarkStart w:id="312" w:name="_Toc58504508"/>
      <w:r>
        <w:rPr>
          <w:rFonts w:hint="eastAsia" w:ascii="仿宋_GB2312" w:hAnsi="仿宋_GB2312" w:eastAsia="仿宋_GB2312" w:cs="仿宋_GB2312"/>
          <w:color w:val="auto"/>
          <w:sz w:val="24"/>
          <w:szCs w:val="32"/>
          <w:highlight w:val="none"/>
        </w:rPr>
        <w:t>（1）在磋商文件规定的时间和地点，由采购代理机构组织磋商工作，供应商须委派代表参加，签名以证明其出席。</w:t>
      </w:r>
      <w:bookmarkEnd w:id="312"/>
    </w:p>
    <w:p>
      <w:pPr>
        <w:pStyle w:val="3"/>
        <w:ind w:left="840" w:leftChars="400"/>
        <w:rPr>
          <w:rFonts w:ascii="仿宋_GB2312" w:hAnsi="仿宋_GB2312" w:eastAsia="仿宋_GB2312" w:cs="仿宋_GB2312"/>
          <w:color w:val="auto"/>
          <w:sz w:val="24"/>
          <w:szCs w:val="32"/>
          <w:highlight w:val="none"/>
        </w:rPr>
      </w:pPr>
      <w:bookmarkStart w:id="313" w:name="_Toc58504509"/>
      <w:r>
        <w:rPr>
          <w:rFonts w:hint="eastAsia" w:ascii="仿宋_GB2312" w:hAnsi="仿宋_GB2312" w:eastAsia="仿宋_GB2312" w:cs="仿宋_GB2312"/>
          <w:color w:val="auto"/>
          <w:sz w:val="24"/>
          <w:szCs w:val="32"/>
          <w:highlight w:val="none"/>
        </w:rPr>
        <w:t>（2）各供应商或其推荐的代表与采购监督人共同检查响应文件的密封情况，经检查无误后，签字确认。</w:t>
      </w:r>
      <w:bookmarkEnd w:id="313"/>
    </w:p>
    <w:p>
      <w:pPr>
        <w:pStyle w:val="3"/>
        <w:ind w:left="840" w:leftChars="400"/>
        <w:rPr>
          <w:rFonts w:ascii="仿宋_GB2312" w:hAnsi="仿宋_GB2312" w:eastAsia="仿宋_GB2312" w:cs="仿宋_GB2312"/>
          <w:color w:val="auto"/>
          <w:sz w:val="24"/>
          <w:szCs w:val="32"/>
          <w:highlight w:val="none"/>
        </w:rPr>
      </w:pPr>
      <w:bookmarkStart w:id="314" w:name="_Toc58504510"/>
      <w:r>
        <w:rPr>
          <w:rFonts w:hint="eastAsia" w:ascii="仿宋_GB2312" w:hAnsi="仿宋_GB2312" w:eastAsia="仿宋_GB2312" w:cs="仿宋_GB2312"/>
          <w:color w:val="auto"/>
          <w:sz w:val="24"/>
          <w:szCs w:val="32"/>
          <w:highlight w:val="none"/>
        </w:rPr>
        <w:t>（3）采购代理机构工作人员按照顺序，将各供应商首次响应文件的份数等内容公布，无异议后，由供应商法定代表人（或授权代表人）和监督人签字确认。</w:t>
      </w:r>
      <w:bookmarkEnd w:id="314"/>
    </w:p>
    <w:p>
      <w:pPr>
        <w:pStyle w:val="6"/>
        <w:tabs>
          <w:tab w:val="left" w:pos="360"/>
        </w:tabs>
        <w:rPr>
          <w:rFonts w:ascii="仿宋_GB2312" w:hAnsi="仿宋_GB2312" w:eastAsia="仿宋_GB2312" w:cs="仿宋_GB2312"/>
          <w:b/>
          <w:color w:val="auto"/>
          <w:sz w:val="24"/>
          <w:szCs w:val="21"/>
          <w:highlight w:val="none"/>
        </w:rPr>
      </w:pPr>
      <w:bookmarkStart w:id="315" w:name="_Toc58504511"/>
      <w:r>
        <w:rPr>
          <w:rFonts w:hint="eastAsia" w:ascii="仿宋_GB2312" w:hAnsi="仿宋_GB2312" w:eastAsia="仿宋_GB2312" w:cs="仿宋_GB2312"/>
          <w:b/>
          <w:color w:val="auto"/>
          <w:sz w:val="24"/>
          <w:szCs w:val="21"/>
          <w:highlight w:val="none"/>
        </w:rPr>
        <w:t>23.2   响应文件</w:t>
      </w:r>
      <w:bookmarkEnd w:id="306"/>
      <w:bookmarkEnd w:id="307"/>
      <w:bookmarkEnd w:id="308"/>
      <w:bookmarkEnd w:id="309"/>
      <w:bookmarkEnd w:id="310"/>
      <w:r>
        <w:rPr>
          <w:rFonts w:hint="eastAsia" w:ascii="仿宋_GB2312" w:hAnsi="仿宋_GB2312" w:eastAsia="仿宋_GB2312" w:cs="仿宋_GB2312"/>
          <w:b/>
          <w:color w:val="auto"/>
          <w:sz w:val="24"/>
          <w:szCs w:val="21"/>
          <w:highlight w:val="none"/>
        </w:rPr>
        <w:t>评审</w:t>
      </w:r>
      <w:bookmarkEnd w:id="315"/>
    </w:p>
    <w:p>
      <w:pPr>
        <w:tabs>
          <w:tab w:val="left" w:pos="360"/>
          <w:tab w:val="left" w:pos="588"/>
        </w:tabs>
        <w:spacing w:line="360" w:lineRule="auto"/>
        <w:ind w:left="843" w:hanging="843" w:hangingChars="350"/>
        <w:rPr>
          <w:rFonts w:ascii="仿宋_GB2312" w:hAnsi="仿宋_GB2312" w:eastAsia="仿宋_GB2312" w:cs="仿宋_GB2312"/>
          <w:color w:val="auto"/>
          <w:sz w:val="24"/>
          <w:highlight w:val="none"/>
        </w:rPr>
      </w:pPr>
      <w:bookmarkStart w:id="316" w:name="_Toc83547671"/>
      <w:r>
        <w:rPr>
          <w:rFonts w:hint="eastAsia" w:ascii="仿宋_GB2312" w:hAnsi="仿宋_GB2312" w:eastAsia="仿宋_GB2312" w:cs="仿宋_GB2312"/>
          <w:b/>
          <w:color w:val="auto"/>
          <w:sz w:val="24"/>
          <w:highlight w:val="none"/>
        </w:rPr>
        <w:t>23.2.1响应文件的资格性审查</w:t>
      </w:r>
      <w:r>
        <w:rPr>
          <w:rFonts w:hint="eastAsia" w:ascii="仿宋_GB2312" w:hAnsi="仿宋_GB2312" w:eastAsia="仿宋_GB2312" w:cs="仿宋_GB2312"/>
          <w:color w:val="auto"/>
          <w:sz w:val="24"/>
          <w:highlight w:val="none"/>
        </w:rPr>
        <w:t>。依据《政府采购法》第二十三条和磋商文件的规定，</w:t>
      </w:r>
      <w:r>
        <w:rPr>
          <w:rFonts w:hint="eastAsia" w:ascii="仿宋_GB2312" w:hAnsi="仿宋_GB2312" w:eastAsia="仿宋_GB2312" w:cs="仿宋_GB2312"/>
          <w:b/>
          <w:color w:val="auto"/>
          <w:sz w:val="24"/>
          <w:highlight w:val="none"/>
        </w:rPr>
        <w:t>采购人或采购代理机构负责</w:t>
      </w:r>
      <w:r>
        <w:rPr>
          <w:rFonts w:hint="eastAsia" w:ascii="仿宋_GB2312" w:hAnsi="仿宋_GB2312" w:eastAsia="仿宋_GB2312" w:cs="仿宋_GB2312"/>
          <w:color w:val="auto"/>
          <w:sz w:val="24"/>
          <w:highlight w:val="none"/>
        </w:rPr>
        <w:t>对响应文件中的资格证明文件、信用查询记录等进行审查，以确认供应商具备相应资格。资格性审查出现下列情况者（但不限于），按无效文件处理：</w:t>
      </w:r>
    </w:p>
    <w:p>
      <w:pPr>
        <w:pStyle w:val="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sz w:val="24"/>
          <w:highlight w:val="none"/>
        </w:rPr>
        <w:t>1）供应商不符合《中华人民共和国政府采购法》第二十二条的规定和特定资格条件要求的。</w:t>
      </w:r>
    </w:p>
    <w:p>
      <w:pPr>
        <w:pStyle w:val="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（2）供应商没有经过正常渠道购买或免费领取磋商文件或供应商的名称与登记领取磋商文件单位的名称不符。</w:t>
      </w:r>
    </w:p>
    <w:p>
      <w:pPr>
        <w:pStyle w:val="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（4）信用查询中列入失信被执行人、重大税收违法案件当事人名单、政府采购严重违法失信行为记录名单及其他不符合《中华人民共和国政府采购法》第二十二条规定条件的供应商。</w:t>
      </w:r>
    </w:p>
    <w:p>
      <w:pPr>
        <w:pStyle w:val="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（5）采购人或采购代理机构通过“信用中国”网站(www.creditchina.gov.cn)、中国政府采购网(www.ccgp.gov.cn) 等查询相关主体信用记录，并将查询网页打印、存档备查。</w:t>
      </w:r>
    </w:p>
    <w:p>
      <w:pPr>
        <w:pStyle w:val="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（6）查询时间为磋商文件发售期至评审截止时间前，此段时间段外，网站信息发生的任何变更均不作为资格审查依据。</w:t>
      </w:r>
    </w:p>
    <w:p>
      <w:pPr>
        <w:pStyle w:val="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供应商不良信用记录以采购人或采购代理机构查询结果为准。供应商自行提供的与网站信息不一致的其他证明材料亦不作为资格审查依据。</w:t>
      </w:r>
    </w:p>
    <w:p>
      <w:pPr>
        <w:pStyle w:val="3"/>
        <w:ind w:left="840" w:leftChars="400"/>
        <w:rPr>
          <w:rFonts w:ascii="仿宋_GB2312" w:hAnsi="仿宋_GB2312" w:eastAsia="仿宋_GB2312" w:cs="仿宋_GB2312"/>
          <w:i/>
          <w:color w:val="auto"/>
          <w:sz w:val="24"/>
          <w:highlight w:val="none"/>
        </w:rPr>
      </w:pPr>
      <w:r>
        <w:rPr>
          <w:rFonts w:hint="eastAsia" w:ascii="仿宋_GB2312" w:hAnsi="仿宋_GB2312" w:eastAsia="仿宋_GB2312" w:cs="仿宋_GB2312"/>
          <w:color w:val="auto"/>
          <w:sz w:val="24"/>
          <w:highlight w:val="none"/>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
        <w:ind w:left="843" w:hanging="843" w:hangingChars="350"/>
        <w:rPr>
          <w:rFonts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23.2.2 磋商响应文件有效性、完整性和响应程度审查：磋商小组</w:t>
      </w:r>
      <w:r>
        <w:rPr>
          <w:rFonts w:hint="eastAsia" w:ascii="仿宋_GB2312" w:hAnsi="仿宋_GB2312" w:eastAsia="仿宋_GB2312" w:cs="仿宋_GB2312"/>
          <w:color w:val="auto"/>
          <w:sz w:val="24"/>
          <w:highlight w:val="none"/>
        </w:rPr>
        <w:t>负责对通过资格审查的响应文件的有效性、完整性和响应性进行审查，以确定是否满足磋商文件要求，出现下列情况者（但不限于），按无效文件处理。</w:t>
      </w:r>
    </w:p>
    <w:p>
      <w:pPr>
        <w:pStyle w:val="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（1）供应商未按磋商文件要求加盖单位公章；</w:t>
      </w:r>
    </w:p>
    <w:p>
      <w:pPr>
        <w:pStyle w:val="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（2）磋商响应文件未按磋商文件要求进行法定代表人或其授权代表签字；</w:t>
      </w:r>
    </w:p>
    <w:p>
      <w:pPr>
        <w:pStyle w:val="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（3）无有效期或有效期达不到磋商文件的要求。</w:t>
      </w:r>
    </w:p>
    <w:p>
      <w:pPr>
        <w:pStyle w:val="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（4）供应商首次磋商报价出现选择性报价。</w:t>
      </w:r>
    </w:p>
    <w:p>
      <w:pPr>
        <w:pStyle w:val="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（5）首次磋商报价超出采购预算；</w:t>
      </w:r>
    </w:p>
    <w:p>
      <w:pPr>
        <w:pStyle w:val="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（6）响应文件中对合同草案条款附加了采购人难以接受的条件。</w:t>
      </w:r>
    </w:p>
    <w:p>
      <w:pPr>
        <w:pStyle w:val="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（7）磋商内容出现漏项或数量与要求不符，出现重大负偏差。</w:t>
      </w:r>
    </w:p>
    <w:p>
      <w:pPr>
        <w:pStyle w:val="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（8）响应文件中技术指标达不到采购要求，降低了产品档次或影响产品性能、功能。</w:t>
      </w:r>
    </w:p>
    <w:p>
      <w:pPr>
        <w:pStyle w:val="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（9）响应报价与市场价偏离较大，低于成本，形成不正当竞争。</w:t>
      </w:r>
    </w:p>
    <w:p>
      <w:pPr>
        <w:pStyle w:val="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（10）供应商提供虚假证明，开具虚假资质，出现虚假应答或故意隐瞒行为。</w:t>
      </w:r>
    </w:p>
    <w:p>
      <w:pPr>
        <w:pStyle w:val="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（11）保证金未提交或未提交至指定账户、或提交保证金不符合磋商文件要求的。 </w:t>
      </w:r>
    </w:p>
    <w:p>
      <w:pPr>
        <w:pStyle w:val="6"/>
        <w:tabs>
          <w:tab w:val="left" w:pos="360"/>
        </w:tabs>
        <w:rPr>
          <w:rFonts w:ascii="仿宋_GB2312" w:hAnsi="仿宋_GB2312" w:eastAsia="仿宋_GB2312" w:cs="仿宋_GB2312"/>
          <w:b/>
          <w:color w:val="auto"/>
          <w:sz w:val="24"/>
          <w:szCs w:val="21"/>
          <w:highlight w:val="none"/>
        </w:rPr>
      </w:pPr>
      <w:bookmarkStart w:id="317" w:name="_Toc58504512"/>
      <w:r>
        <w:rPr>
          <w:rFonts w:hint="eastAsia" w:ascii="仿宋_GB2312" w:hAnsi="仿宋_GB2312" w:eastAsia="仿宋_GB2312" w:cs="仿宋_GB2312"/>
          <w:b/>
          <w:color w:val="auto"/>
          <w:sz w:val="24"/>
          <w:szCs w:val="21"/>
          <w:highlight w:val="none"/>
        </w:rPr>
        <w:t>23.3   磋商</w:t>
      </w:r>
      <w:bookmarkEnd w:id="317"/>
    </w:p>
    <w:p>
      <w:pPr>
        <w:pStyle w:val="3"/>
        <w:ind w:left="840" w:hanging="840" w:hangingChars="350"/>
        <w:rPr>
          <w:rFonts w:ascii="仿宋_GB2312" w:hAnsi="仿宋_GB2312" w:eastAsia="仿宋_GB2312" w:cs="仿宋_GB2312"/>
          <w:color w:val="auto"/>
          <w:sz w:val="24"/>
          <w:highlight w:val="none"/>
        </w:rPr>
      </w:pPr>
      <w:bookmarkStart w:id="318" w:name="_Toc58504513"/>
      <w:r>
        <w:rPr>
          <w:rFonts w:hint="eastAsia" w:ascii="仿宋_GB2312" w:hAnsi="仿宋_GB2312" w:eastAsia="仿宋_GB2312" w:cs="仿宋_GB2312"/>
          <w:color w:val="auto"/>
          <w:sz w:val="24"/>
          <w:highlight w:val="none"/>
        </w:rPr>
        <w:t>23.3.1 磋商小组集中与各供应商分别进行磋商，并给所有参加磋商供应商平等的磋商机会。</w:t>
      </w:r>
      <w:bookmarkEnd w:id="318"/>
    </w:p>
    <w:p>
      <w:pPr>
        <w:pStyle w:val="3"/>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23.3.2 磋商小组在对响应文件的有效性、完整性和响应程度进行审核时，以</w:t>
      </w:r>
      <w:r>
        <w:rPr>
          <w:rFonts w:hint="eastAsia" w:ascii="仿宋_GB2312" w:hAnsi="仿宋_GB2312" w:eastAsia="仿宋_GB2312" w:cs="仿宋_GB2312"/>
          <w:b/>
          <w:color w:val="auto"/>
          <w:sz w:val="24"/>
          <w:highlight w:val="none"/>
        </w:rPr>
        <w:t>书面形式</w:t>
      </w:r>
      <w:r>
        <w:rPr>
          <w:rFonts w:hint="eastAsia" w:ascii="仿宋_GB2312" w:hAnsi="仿宋_GB2312" w:eastAsia="仿宋_GB2312" w:cs="仿宋_GB2312"/>
          <w:color w:val="auto"/>
          <w:sz w:val="24"/>
          <w:highlight w:val="none"/>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3"/>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23.3.3 磋商过程中，磋商小组可以根据磋商文件和磋商情况实质性变动采购需求中的技术、服务要求以及合同草案条款，但不得变动磋商文件中的其他内容。实质性变动的内容，须经采购人代表确认，并成为磋商文件的有效组成部分。</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23.3.4 如出现下述情形之一的，视为供应商主动退出磋商，其响应将被拒绝：</w:t>
      </w:r>
    </w:p>
    <w:p>
      <w:pPr>
        <w:pStyle w:val="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（1）供应商未按要求确认磋商小组确定的本项目最终技术需求的；</w:t>
      </w:r>
    </w:p>
    <w:p>
      <w:pPr>
        <w:pStyle w:val="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（2）最后报价未实质性响应磋商小组确定的本项目最终技术需求的，或附有采购人无法接受的条件的。</w:t>
      </w:r>
    </w:p>
    <w:p>
      <w:pPr>
        <w:pStyle w:val="3"/>
        <w:rPr>
          <w:rFonts w:ascii="仿宋_GB2312" w:hAnsi="仿宋_GB2312" w:eastAsia="仿宋_GB2312" w:cs="仿宋_GB2312"/>
          <w:b/>
          <w:color w:val="auto"/>
          <w:sz w:val="24"/>
          <w:szCs w:val="21"/>
          <w:highlight w:val="none"/>
        </w:rPr>
      </w:pPr>
      <w:r>
        <w:rPr>
          <w:rFonts w:hint="eastAsia" w:ascii="仿宋_GB2312" w:hAnsi="仿宋_GB2312" w:eastAsia="仿宋_GB2312" w:cs="仿宋_GB2312"/>
          <w:b/>
          <w:color w:val="auto"/>
          <w:sz w:val="24"/>
          <w:szCs w:val="21"/>
          <w:highlight w:val="none"/>
        </w:rPr>
        <w:t>23.4   最后报价</w:t>
      </w:r>
    </w:p>
    <w:p>
      <w:pPr>
        <w:pStyle w:val="3"/>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23.4.1 磋商结束后，磋商小组要求所有实质性响应的供应商在规定时间内提交最后报价，提交最后报价的供应商不少于3家。最后报价是供应商响应文件的有效组成部分。</w:t>
      </w:r>
    </w:p>
    <w:p>
      <w:pPr>
        <w:pStyle w:val="3"/>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23.4.2 最后报价应按报价的格式内容填写，并且同时提交最后响应报价表、最后报价明细表、最后节能、环境标志产品明细表等内容。各供应商在提交响应文件时，应对最后报价加盖供应商红色公章，且由法定代表人（或授权代表人）签字。</w:t>
      </w:r>
    </w:p>
    <w:p>
      <w:pPr>
        <w:pStyle w:val="6"/>
        <w:rPr>
          <w:rFonts w:ascii="仿宋_GB2312" w:hAnsi="仿宋_GB2312" w:eastAsia="仿宋_GB2312" w:cs="仿宋_GB2312"/>
          <w:b/>
          <w:bCs/>
          <w:color w:val="auto"/>
          <w:sz w:val="24"/>
          <w:szCs w:val="21"/>
          <w:highlight w:val="none"/>
        </w:rPr>
      </w:pPr>
      <w:bookmarkStart w:id="319" w:name="_Toc142311048"/>
      <w:bookmarkStart w:id="320" w:name="_Toc127151747"/>
      <w:bookmarkStart w:id="321" w:name="_Toc151193716"/>
      <w:bookmarkStart w:id="322" w:name="_Toc151190173"/>
      <w:bookmarkStart w:id="323" w:name="_Toc151193934"/>
      <w:bookmarkStart w:id="324" w:name="_Toc164351640"/>
      <w:bookmarkStart w:id="325" w:name="_Toc164229387"/>
      <w:bookmarkStart w:id="326" w:name="_Toc249515310"/>
      <w:bookmarkStart w:id="327" w:name="_Toc13753"/>
      <w:bookmarkStart w:id="328" w:name="_Toc127151546"/>
      <w:bookmarkStart w:id="329" w:name="_Toc249515422"/>
      <w:bookmarkStart w:id="330" w:name="_Toc520356170"/>
      <w:bookmarkStart w:id="331" w:name="_Toc151193860"/>
      <w:bookmarkStart w:id="332" w:name="_Ref467307010"/>
      <w:bookmarkStart w:id="333" w:name="_Toc150774646"/>
      <w:bookmarkStart w:id="334" w:name="_Toc150480784"/>
      <w:bookmarkStart w:id="335" w:name="_Toc151193788"/>
      <w:bookmarkStart w:id="336" w:name="_Toc127161460"/>
      <w:bookmarkStart w:id="337" w:name="_Toc164229241"/>
      <w:bookmarkStart w:id="338" w:name="_Toc195842911"/>
      <w:bookmarkStart w:id="339" w:name="_Toc164608660"/>
      <w:bookmarkStart w:id="340" w:name="_Toc164608815"/>
      <w:bookmarkStart w:id="341" w:name="_Toc150774751"/>
      <w:bookmarkStart w:id="342" w:name="_Toc150509297"/>
      <w:bookmarkStart w:id="343" w:name="_Toc149720839"/>
      <w:bookmarkStart w:id="344" w:name="_Toc249525191"/>
      <w:bookmarkStart w:id="345" w:name="_Toc151193644"/>
      <w:r>
        <w:rPr>
          <w:rFonts w:hint="eastAsia" w:ascii="仿宋_GB2312" w:hAnsi="仿宋_GB2312" w:eastAsia="仿宋_GB2312" w:cs="仿宋_GB2312"/>
          <w:b/>
          <w:bCs/>
          <w:color w:val="auto"/>
          <w:sz w:val="24"/>
          <w:szCs w:val="21"/>
          <w:highlight w:val="none"/>
        </w:rPr>
        <w:t>24.    评审办法及</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hint="eastAsia" w:ascii="仿宋_GB2312" w:hAnsi="仿宋_GB2312" w:eastAsia="仿宋_GB2312" w:cs="仿宋_GB2312"/>
          <w:b/>
          <w:bCs/>
          <w:color w:val="auto"/>
          <w:sz w:val="24"/>
          <w:szCs w:val="21"/>
          <w:highlight w:val="none"/>
        </w:rPr>
        <w:t>落实政府采购政策，详见第三章。</w:t>
      </w:r>
    </w:p>
    <w:p>
      <w:pPr>
        <w:rPr>
          <w:rFonts w:ascii="仿宋_GB2312" w:hAnsi="仿宋_GB2312" w:eastAsia="仿宋_GB2312" w:cs="仿宋_GB2312"/>
          <w:color w:val="auto"/>
          <w:highlight w:val="none"/>
        </w:rPr>
      </w:pPr>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6"/>
    <w:p>
      <w:pPr>
        <w:pStyle w:val="77"/>
        <w:spacing w:before="24" w:after="24"/>
        <w:jc w:val="center"/>
        <w:rPr>
          <w:rFonts w:ascii="仿宋_GB2312" w:hAnsi="仿宋_GB2312" w:eastAsia="仿宋_GB2312" w:cs="仿宋_GB2312"/>
          <w:color w:val="auto"/>
          <w:sz w:val="30"/>
          <w:szCs w:val="30"/>
          <w:highlight w:val="none"/>
        </w:rPr>
      </w:pPr>
      <w:bookmarkStart w:id="346" w:name="_Hlt497729446"/>
      <w:bookmarkEnd w:id="346"/>
      <w:bookmarkStart w:id="347" w:name="_Hlt491765714"/>
      <w:bookmarkEnd w:id="347"/>
      <w:bookmarkStart w:id="348" w:name="_Toc232395218"/>
      <w:bookmarkStart w:id="349" w:name="_Toc249525192"/>
      <w:bookmarkStart w:id="350" w:name="_Toc68590974"/>
      <w:bookmarkStart w:id="351" w:name="_Toc232176278"/>
      <w:bookmarkStart w:id="352" w:name="_Toc256342149"/>
      <w:bookmarkStart w:id="353" w:name="_Toc249515423"/>
      <w:bookmarkStart w:id="354" w:name="_Toc249515311"/>
      <w:bookmarkStart w:id="355" w:name="_Toc500747068"/>
      <w:bookmarkStart w:id="356" w:name="_Toc385992360"/>
      <w:bookmarkStart w:id="357" w:name="_Toc496324585"/>
      <w:bookmarkStart w:id="358" w:name="_Toc499711890"/>
      <w:bookmarkStart w:id="359" w:name="_Toc53722846"/>
      <w:bookmarkStart w:id="360" w:name="_Toc184043047"/>
      <w:bookmarkStart w:id="361" w:name="_Toc177995479"/>
      <w:bookmarkStart w:id="362" w:name="_Toc177189241"/>
      <w:bookmarkStart w:id="363" w:name="_Toc389620199"/>
      <w:bookmarkStart w:id="364" w:name="_Toc503063428"/>
      <w:bookmarkStart w:id="365" w:name="_Toc177817340"/>
      <w:bookmarkStart w:id="366" w:name="_Toc500747195"/>
      <w:bookmarkStart w:id="367" w:name="_Toc70687174"/>
      <w:bookmarkStart w:id="368" w:name="_Toc492955421"/>
      <w:bookmarkStart w:id="369" w:name="_Toc499711049"/>
      <w:bookmarkStart w:id="370" w:name="_Toc500746972"/>
      <w:bookmarkStart w:id="371" w:name="_Toc176882548"/>
      <w:r>
        <w:rPr>
          <w:rFonts w:hint="eastAsia" w:ascii="仿宋_GB2312" w:hAnsi="仿宋_GB2312" w:eastAsia="仿宋_GB2312" w:cs="仿宋_GB2312"/>
          <w:color w:val="auto"/>
          <w:sz w:val="30"/>
          <w:szCs w:val="30"/>
          <w:highlight w:val="none"/>
        </w:rPr>
        <w:t>六、确定成交单位、授予合同</w:t>
      </w:r>
      <w:bookmarkEnd w:id="348"/>
      <w:bookmarkEnd w:id="349"/>
      <w:bookmarkEnd w:id="350"/>
      <w:bookmarkEnd w:id="351"/>
      <w:bookmarkEnd w:id="352"/>
      <w:bookmarkEnd w:id="353"/>
      <w:bookmarkEnd w:id="354"/>
    </w:p>
    <w:p>
      <w:pPr>
        <w:rPr>
          <w:rFonts w:ascii="仿宋_GB2312" w:hAnsi="仿宋_GB2312" w:eastAsia="仿宋_GB2312" w:cs="仿宋_GB2312"/>
          <w:color w:val="auto"/>
          <w:highlight w:val="none"/>
        </w:rPr>
      </w:pPr>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Pr>
        <w:pStyle w:val="6"/>
        <w:numPr>
          <w:ilvl w:val="0"/>
          <w:numId w:val="9"/>
        </w:numPr>
        <w:rPr>
          <w:rFonts w:ascii="仿宋_GB2312" w:hAnsi="仿宋_GB2312" w:eastAsia="仿宋_GB2312" w:cs="仿宋_GB2312"/>
          <w:b/>
          <w:bCs/>
          <w:color w:val="auto"/>
          <w:sz w:val="24"/>
          <w:szCs w:val="21"/>
          <w:highlight w:val="none"/>
        </w:rPr>
      </w:pPr>
      <w:bookmarkStart w:id="372" w:name="_Toc249515312"/>
      <w:bookmarkStart w:id="373" w:name="_Toc385992361"/>
      <w:bookmarkStart w:id="374" w:name="_Toc184043048"/>
      <w:bookmarkStart w:id="375" w:name="_Toc27151"/>
      <w:bookmarkStart w:id="376" w:name="_Toc70687175"/>
      <w:bookmarkStart w:id="377" w:name="_Toc249525193"/>
      <w:bookmarkStart w:id="378" w:name="_Toc389620200"/>
      <w:bookmarkStart w:id="379" w:name="_Toc249515424"/>
      <w:r>
        <w:rPr>
          <w:rFonts w:hint="eastAsia" w:ascii="仿宋_GB2312" w:hAnsi="仿宋_GB2312" w:eastAsia="仿宋_GB2312" w:cs="仿宋_GB2312"/>
          <w:b/>
          <w:bCs/>
          <w:color w:val="auto"/>
          <w:sz w:val="24"/>
          <w:szCs w:val="21"/>
          <w:highlight w:val="none"/>
        </w:rPr>
        <w:t xml:space="preserve">   确定成交</w:t>
      </w:r>
      <w:bookmarkEnd w:id="372"/>
      <w:bookmarkEnd w:id="373"/>
      <w:bookmarkEnd w:id="374"/>
      <w:bookmarkEnd w:id="375"/>
      <w:bookmarkEnd w:id="376"/>
      <w:bookmarkEnd w:id="377"/>
      <w:bookmarkEnd w:id="378"/>
      <w:bookmarkEnd w:id="379"/>
      <w:r>
        <w:rPr>
          <w:rFonts w:hint="eastAsia" w:ascii="仿宋_GB2312" w:hAnsi="仿宋_GB2312" w:eastAsia="仿宋_GB2312" w:cs="仿宋_GB2312"/>
          <w:b/>
          <w:bCs/>
          <w:color w:val="auto"/>
          <w:sz w:val="24"/>
          <w:szCs w:val="21"/>
          <w:highlight w:val="none"/>
        </w:rPr>
        <w:t>单位</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25.1   采购代理机构应在评审结束后两个工作日内，将评审报告送采购人。</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25.2   采购人在收到评审报告后五个工作日内，根据评审报告对评审过程及结果进行严格审核后确定成交供应商，复函采购代理机构。</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25.3   采购代理机构在接到采购人的成交复函后，在财政部门指定的政府采购信息发布媒体上公告，公告期限为一个工作日，并向成交供应商发出成交通知书。成交通知书是合同文件的组成部分。</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25.4   采购代理机构将评审过程及成交供应商情况书面报监督机构备案。</w:t>
      </w:r>
      <w:bookmarkStart w:id="380" w:name="_Toc385992364"/>
      <w:bookmarkStart w:id="381" w:name="_Toc389620203"/>
    </w:p>
    <w:bookmarkEnd w:id="380"/>
    <w:bookmarkEnd w:id="381"/>
    <w:p>
      <w:pPr>
        <w:pStyle w:val="6"/>
        <w:rPr>
          <w:rFonts w:ascii="仿宋_GB2312" w:hAnsi="仿宋_GB2312" w:eastAsia="仿宋_GB2312" w:cs="仿宋_GB2312"/>
          <w:b/>
          <w:bCs/>
          <w:color w:val="auto"/>
          <w:sz w:val="24"/>
          <w:szCs w:val="21"/>
          <w:highlight w:val="none"/>
        </w:rPr>
      </w:pPr>
      <w:bookmarkStart w:id="382" w:name="_Toc389620204"/>
      <w:bookmarkStart w:id="383" w:name="_Toc385992365"/>
      <w:r>
        <w:rPr>
          <w:rFonts w:hint="eastAsia" w:ascii="仿宋_GB2312" w:hAnsi="仿宋_GB2312" w:eastAsia="仿宋_GB2312" w:cs="仿宋_GB2312"/>
          <w:b/>
          <w:bCs/>
          <w:color w:val="auto"/>
          <w:sz w:val="24"/>
          <w:szCs w:val="21"/>
          <w:highlight w:val="none"/>
        </w:rPr>
        <w:t>26.    合同</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26.1   自成交通知书发出后三十日内，按照磋商文件和成交供应商响应文件的约定，采购人与成交供应商洽谈合同条款，并签订合同。磋商文件及成交供应商的响应文件均作为合同的组成部分。</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26.3   成交供应商签订合同后，持合同原件到采购代理机构，或采购代理机构根据陕西省政府采购网合同备案结果办理保证金退还手续。</w:t>
      </w:r>
    </w:p>
    <w:p>
      <w:pPr>
        <w:pStyle w:val="6"/>
        <w:rPr>
          <w:rFonts w:ascii="仿宋_GB2312" w:hAnsi="仿宋_GB2312" w:eastAsia="仿宋_GB2312" w:cs="仿宋_GB2312"/>
          <w:b/>
          <w:bCs/>
          <w:color w:val="auto"/>
          <w:sz w:val="24"/>
          <w:szCs w:val="21"/>
          <w:highlight w:val="none"/>
        </w:rPr>
      </w:pPr>
      <w:r>
        <w:rPr>
          <w:rFonts w:hint="eastAsia" w:ascii="仿宋_GB2312" w:hAnsi="仿宋_GB2312" w:eastAsia="仿宋_GB2312" w:cs="仿宋_GB2312"/>
          <w:b/>
          <w:bCs/>
          <w:color w:val="auto"/>
          <w:sz w:val="24"/>
          <w:szCs w:val="21"/>
          <w:highlight w:val="none"/>
        </w:rPr>
        <w:t>27.    询问与质疑 </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27.1   供应商对政府采购活动事项有疑问的，可以向采购人提出询问。</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27.2   供应商认为采购文件、采购过程和中标、成交结果使自己的权益受到损害的，可以在知道或者应知其权益受到损害之日起七个工作日内，以书面形式向采购人提出质疑。</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27.3   质疑供应商在法定质疑期内须一次性提出针对同一采购程序环节的质疑。</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27.4   供应商提出质疑应当提交质疑函和必要的证明材料。质疑函应当包括下列内容：</w:t>
      </w:r>
    </w:p>
    <w:p>
      <w:pPr>
        <w:pStyle w:val="67"/>
        <w:numPr>
          <w:ilvl w:val="0"/>
          <w:numId w:val="10"/>
        </w:numPr>
        <w:tabs>
          <w:tab w:val="left" w:pos="588"/>
        </w:tabs>
        <w:spacing w:line="360" w:lineRule="auto"/>
        <w:ind w:left="846" w:hanging="6" w:firstLineChars="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供应商的姓名或者名称、地址、邮编、联系人及联系电话；</w:t>
      </w:r>
    </w:p>
    <w:p>
      <w:pPr>
        <w:pStyle w:val="67"/>
        <w:numPr>
          <w:ilvl w:val="0"/>
          <w:numId w:val="10"/>
        </w:numPr>
        <w:tabs>
          <w:tab w:val="left" w:pos="588"/>
        </w:tabs>
        <w:spacing w:line="360" w:lineRule="auto"/>
        <w:ind w:left="846" w:hanging="6" w:firstLineChars="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质疑项目的名称、编号；</w:t>
      </w:r>
    </w:p>
    <w:p>
      <w:pPr>
        <w:pStyle w:val="67"/>
        <w:numPr>
          <w:ilvl w:val="0"/>
          <w:numId w:val="10"/>
        </w:numPr>
        <w:tabs>
          <w:tab w:val="left" w:pos="588"/>
        </w:tabs>
        <w:spacing w:line="360" w:lineRule="auto"/>
        <w:ind w:left="846" w:hanging="6" w:firstLineChars="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具体、明确的质疑事项和与质疑事项相关的请求；</w:t>
      </w:r>
    </w:p>
    <w:p>
      <w:pPr>
        <w:pStyle w:val="67"/>
        <w:numPr>
          <w:ilvl w:val="0"/>
          <w:numId w:val="10"/>
        </w:numPr>
        <w:tabs>
          <w:tab w:val="left" w:pos="588"/>
        </w:tabs>
        <w:spacing w:line="360" w:lineRule="auto"/>
        <w:ind w:left="846" w:hanging="6" w:firstLineChars="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事实依据；</w:t>
      </w:r>
    </w:p>
    <w:p>
      <w:pPr>
        <w:pStyle w:val="67"/>
        <w:numPr>
          <w:ilvl w:val="0"/>
          <w:numId w:val="10"/>
        </w:numPr>
        <w:tabs>
          <w:tab w:val="left" w:pos="588"/>
        </w:tabs>
        <w:spacing w:line="360" w:lineRule="auto"/>
        <w:ind w:left="846" w:hanging="6" w:firstLineChars="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必要的法律依据；</w:t>
      </w:r>
    </w:p>
    <w:p>
      <w:pPr>
        <w:pStyle w:val="67"/>
        <w:numPr>
          <w:ilvl w:val="0"/>
          <w:numId w:val="10"/>
        </w:numPr>
        <w:tabs>
          <w:tab w:val="left" w:pos="588"/>
        </w:tabs>
        <w:spacing w:line="360" w:lineRule="auto"/>
        <w:ind w:left="846" w:hanging="6" w:firstLineChars="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提出质疑的日期。</w:t>
      </w:r>
    </w:p>
    <w:p>
      <w:pPr>
        <w:pStyle w:val="67"/>
        <w:tabs>
          <w:tab w:val="left" w:pos="588"/>
        </w:tabs>
        <w:spacing w:line="360" w:lineRule="auto"/>
        <w:ind w:left="838" w:leftChars="399" w:firstLine="0" w:firstLineChars="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供应商为自然人的，应当由本人签字；供应商为法人或者其他组织的，应当由法定代表人或负责人签字或盖章，同时其授权代表签字，并加盖公章。</w:t>
      </w:r>
    </w:p>
    <w:p>
      <w:pPr>
        <w:tabs>
          <w:tab w:val="left" w:pos="588"/>
        </w:tabs>
        <w:spacing w:line="360" w:lineRule="auto"/>
        <w:ind w:left="960" w:hanging="960" w:hanging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27.5   符合要求的质疑，采购代理机构将予以受理并答复。</w:t>
      </w:r>
    </w:p>
    <w:p>
      <w:pPr>
        <w:tabs>
          <w:tab w:val="left" w:pos="588"/>
        </w:tabs>
        <w:spacing w:line="360" w:lineRule="auto"/>
        <w:ind w:left="840" w:leftChars="400"/>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联系人：</w:t>
      </w:r>
      <w:r>
        <w:rPr>
          <w:rFonts w:hint="eastAsia" w:ascii="仿宋_GB2312" w:hAnsi="仿宋_GB2312" w:eastAsia="仿宋_GB2312" w:cs="仿宋_GB2312"/>
          <w:color w:val="auto"/>
          <w:sz w:val="24"/>
          <w:highlight w:val="none"/>
          <w:lang w:val="en-US" w:eastAsia="zh-CN"/>
        </w:rPr>
        <w:t>高旭</w:t>
      </w:r>
      <w:r>
        <w:rPr>
          <w:rFonts w:hint="eastAsia" w:ascii="仿宋_GB2312" w:hAnsi="仿宋_GB2312" w:eastAsia="仿宋_GB2312" w:cs="仿宋_GB2312"/>
          <w:color w:val="auto"/>
          <w:sz w:val="24"/>
          <w:highlight w:val="none"/>
        </w:rPr>
        <w:t>，联系电话：029-8</w:t>
      </w:r>
      <w:r>
        <w:rPr>
          <w:rFonts w:hint="eastAsia" w:ascii="仿宋_GB2312" w:hAnsi="仿宋_GB2312" w:eastAsia="仿宋_GB2312" w:cs="仿宋_GB2312"/>
          <w:color w:val="auto"/>
          <w:sz w:val="24"/>
          <w:highlight w:val="none"/>
          <w:lang w:val="en-US" w:eastAsia="zh-CN"/>
        </w:rPr>
        <w:t>9563670</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27.6   供应商进行虚假和恶意质疑的，采购代理机构将提供相关资料报监督机构，按其情况进行相应处理。</w:t>
      </w:r>
    </w:p>
    <w:bookmarkEnd w:id="382"/>
    <w:bookmarkEnd w:id="383"/>
    <w:p>
      <w:pPr>
        <w:pStyle w:val="6"/>
        <w:rPr>
          <w:rFonts w:ascii="仿宋_GB2312" w:hAnsi="仿宋_GB2312" w:eastAsia="仿宋_GB2312" w:cs="仿宋_GB2312"/>
          <w:b/>
          <w:bCs/>
          <w:color w:val="auto"/>
          <w:sz w:val="24"/>
          <w:szCs w:val="21"/>
          <w:highlight w:val="none"/>
        </w:rPr>
      </w:pPr>
      <w:bookmarkStart w:id="384" w:name="_Toc25547"/>
      <w:r>
        <w:rPr>
          <w:rFonts w:hint="eastAsia" w:ascii="仿宋_GB2312" w:hAnsi="仿宋_GB2312" w:eastAsia="仿宋_GB2312" w:cs="仿宋_GB2312"/>
          <w:b/>
          <w:bCs/>
          <w:color w:val="auto"/>
          <w:sz w:val="24"/>
          <w:szCs w:val="21"/>
          <w:highlight w:val="none"/>
        </w:rPr>
        <w:t>28.    履约保证金</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28.1   履约保证金金额见</w:t>
      </w:r>
      <w:r>
        <w:rPr>
          <w:rFonts w:hint="eastAsia" w:ascii="仿宋_GB2312" w:hAnsi="仿宋_GB2312" w:eastAsia="仿宋_GB2312" w:cs="仿宋_GB2312"/>
          <w:b/>
          <w:color w:val="auto"/>
          <w:sz w:val="24"/>
          <w:highlight w:val="none"/>
        </w:rPr>
        <w:t>供应商须知前附表</w:t>
      </w:r>
      <w:r>
        <w:rPr>
          <w:rFonts w:hint="eastAsia" w:ascii="仿宋_GB2312" w:hAnsi="仿宋_GB2312" w:eastAsia="仿宋_GB2312" w:cs="仿宋_GB2312"/>
          <w:color w:val="auto"/>
          <w:sz w:val="24"/>
          <w:highlight w:val="none"/>
        </w:rPr>
        <w:t>。</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28.2   履约保证金缴纳时间：合同签订前必须交纳至（采购人）。</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28.3   履约保证金缴纳形式：成交供应商应当以支票、汇票、本票、保函（格式见附件2）等非现金形式缴纳。</w:t>
      </w:r>
    </w:p>
    <w:p>
      <w:pPr>
        <w:tabs>
          <w:tab w:val="left" w:pos="588"/>
        </w:tabs>
        <w:spacing w:line="360" w:lineRule="auto"/>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28.4   履约保证金收取单位名称：</w:t>
      </w:r>
      <w:r>
        <w:rPr>
          <w:rFonts w:hint="eastAsia" w:ascii="仿宋_GB2312" w:hAnsi="仿宋_GB2312" w:eastAsia="仿宋_GB2312" w:cs="仿宋_GB2312"/>
          <w:color w:val="auto"/>
          <w:sz w:val="24"/>
          <w:highlight w:val="none"/>
          <w:lang w:val="en-US" w:eastAsia="zh-CN"/>
        </w:rPr>
        <w:t>西安市财政局预算单位实有资金财政代管账户</w:t>
      </w:r>
    </w:p>
    <w:p>
      <w:pPr>
        <w:tabs>
          <w:tab w:val="left" w:pos="588"/>
        </w:tabs>
        <w:spacing w:line="360" w:lineRule="auto"/>
        <w:ind w:left="840" w:leftChars="400"/>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开户银行：</w:t>
      </w:r>
      <w:r>
        <w:rPr>
          <w:rFonts w:hint="eastAsia" w:ascii="仿宋_GB2312" w:hAnsi="仿宋_GB2312" w:eastAsia="仿宋_GB2312" w:cs="仿宋_GB2312"/>
          <w:color w:val="auto"/>
          <w:sz w:val="24"/>
          <w:highlight w:val="none"/>
          <w:lang w:val="en-US" w:eastAsia="zh-CN"/>
        </w:rPr>
        <w:t>61001711100052518874-231011</w:t>
      </w:r>
    </w:p>
    <w:p>
      <w:pPr>
        <w:tabs>
          <w:tab w:val="left" w:pos="588"/>
        </w:tabs>
        <w:spacing w:line="360" w:lineRule="auto"/>
        <w:ind w:left="840" w:leftChars="400"/>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账号：</w:t>
      </w:r>
      <w:r>
        <w:rPr>
          <w:rFonts w:hint="eastAsia" w:ascii="仿宋_GB2312" w:hAnsi="仿宋_GB2312" w:eastAsia="仿宋_GB2312" w:cs="仿宋_GB2312"/>
          <w:color w:val="auto"/>
          <w:sz w:val="24"/>
          <w:highlight w:val="none"/>
          <w:lang w:val="en-US" w:eastAsia="zh-CN"/>
        </w:rPr>
        <w:t>中国建设银行股份有限公司西安莲湖路支行</w:t>
      </w:r>
    </w:p>
    <w:p>
      <w:pPr>
        <w:tabs>
          <w:tab w:val="left" w:pos="588"/>
        </w:tabs>
        <w:spacing w:line="360" w:lineRule="auto"/>
        <w:ind w:left="840" w:leftChars="400"/>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大额行号：105791000137</w:t>
      </w:r>
    </w:p>
    <w:p>
      <w:pPr>
        <w:tabs>
          <w:tab w:val="left" w:pos="588"/>
        </w:tabs>
        <w:spacing w:line="360" w:lineRule="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28.5   履约保证金退还的方式、时间、条件：完成</w:t>
      </w:r>
      <w:r>
        <w:rPr>
          <w:rFonts w:hint="eastAsia" w:ascii="仿宋_GB2312" w:hAnsi="仿宋_GB2312" w:eastAsia="仿宋_GB2312" w:cs="仿宋_GB2312"/>
          <w:color w:val="auto"/>
          <w:sz w:val="24"/>
          <w:highlight w:val="none"/>
          <w:lang w:val="en-US" w:eastAsia="zh-CN"/>
        </w:rPr>
        <w:t>本项目</w:t>
      </w:r>
      <w:r>
        <w:rPr>
          <w:rFonts w:hint="eastAsia" w:ascii="仿宋_GB2312" w:hAnsi="仿宋_GB2312" w:eastAsia="仿宋_GB2312" w:cs="仿宋_GB2312"/>
          <w:color w:val="auto"/>
          <w:sz w:val="24"/>
          <w:highlight w:val="none"/>
        </w:rPr>
        <w:t>合同所有工作量验收后予以退还</w:t>
      </w:r>
      <w:r>
        <w:rPr>
          <w:rFonts w:hint="eastAsia" w:ascii="仿宋_GB2312" w:hAnsi="仿宋_GB2312" w:eastAsia="仿宋_GB2312" w:cs="仿宋_GB2312"/>
          <w:color w:val="auto"/>
          <w:sz w:val="24"/>
          <w:highlight w:val="none"/>
          <w:lang w:eastAsia="zh-CN"/>
        </w:rPr>
        <w:t>。</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28.6   履约保证金不予退还的情况：未按合同约定完成，验收不合格。</w:t>
      </w:r>
    </w:p>
    <w:p>
      <w:pPr>
        <w:pStyle w:val="6"/>
        <w:rPr>
          <w:rFonts w:ascii="仿宋_GB2312" w:hAnsi="仿宋_GB2312" w:eastAsia="仿宋_GB2312" w:cs="仿宋_GB2312"/>
          <w:b/>
          <w:bCs/>
          <w:color w:val="auto"/>
          <w:sz w:val="24"/>
          <w:szCs w:val="21"/>
          <w:highlight w:val="none"/>
        </w:rPr>
      </w:pPr>
      <w:r>
        <w:rPr>
          <w:rFonts w:hint="eastAsia" w:ascii="仿宋_GB2312" w:hAnsi="仿宋_GB2312" w:eastAsia="仿宋_GB2312" w:cs="仿宋_GB2312"/>
          <w:b/>
          <w:bCs/>
          <w:color w:val="auto"/>
          <w:sz w:val="24"/>
          <w:szCs w:val="21"/>
          <w:highlight w:val="none"/>
        </w:rPr>
        <w:t>29.    成交服务费</w:t>
      </w:r>
      <w:bookmarkEnd w:id="384"/>
    </w:p>
    <w:p>
      <w:pPr>
        <w:snapToGrid w:val="0"/>
        <w:spacing w:line="360" w:lineRule="auto"/>
        <w:ind w:left="720" w:hanging="720" w:hangingChars="300"/>
        <w:rPr>
          <w:rFonts w:ascii="仿宋_GB2312" w:hAnsi="仿宋_GB2312" w:eastAsia="仿宋_GB2312" w:cs="仿宋_GB2312"/>
          <w:i/>
          <w:color w:val="auto"/>
          <w:sz w:val="24"/>
          <w:highlight w:val="none"/>
        </w:rPr>
      </w:pPr>
      <w:r>
        <w:rPr>
          <w:rFonts w:hint="eastAsia" w:ascii="仿宋_GB2312" w:hAnsi="仿宋_GB2312" w:eastAsia="仿宋_GB2312" w:cs="仿宋_GB2312"/>
          <w:color w:val="auto"/>
          <w:sz w:val="24"/>
          <w:highlight w:val="none"/>
        </w:rPr>
        <w:t>29.1  中标（成交）服务费参照《国家计委关于印发&lt;招标代理服务收费管理暂行办法&gt;的通知》（计价格[2002]1980号）和国家发展改革委员会办公厅颁发的《关于招标代理服务收费有关问题的通知》（发改办价格[2003]857号）的有关规定标准收取。</w:t>
      </w:r>
    </w:p>
    <w:p>
      <w:pPr>
        <w:snapToGrid w:val="0"/>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29.2   成交单位的代理服务费交纳信息</w:t>
      </w:r>
    </w:p>
    <w:p>
      <w:pPr>
        <w:snapToGrid w:val="0"/>
        <w:spacing w:line="360" w:lineRule="auto"/>
        <w:ind w:firstLine="840" w:firstLineChars="35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银行户名：</w:t>
      </w:r>
      <w:r>
        <w:rPr>
          <w:rFonts w:hint="eastAsia" w:ascii="仿宋_GB2312" w:hAnsi="仿宋_GB2312" w:eastAsia="仿宋_GB2312" w:cs="仿宋_GB2312"/>
          <w:color w:val="auto"/>
          <w:sz w:val="24"/>
          <w:highlight w:val="none"/>
          <w:lang w:eastAsia="zh-CN"/>
        </w:rPr>
        <w:t>陕西鸿信泰鼎建设项目管理有限公司</w:t>
      </w:r>
    </w:p>
    <w:p>
      <w:pPr>
        <w:snapToGrid w:val="0"/>
        <w:spacing w:line="360" w:lineRule="auto"/>
        <w:ind w:firstLine="840" w:firstLineChars="350"/>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开户银行：</w:t>
      </w:r>
      <w:r>
        <w:rPr>
          <w:rFonts w:hint="eastAsia" w:ascii="仿宋_GB2312" w:hAnsi="仿宋_GB2312" w:eastAsia="仿宋_GB2312" w:cs="仿宋_GB2312"/>
          <w:color w:val="auto"/>
          <w:sz w:val="24"/>
          <w:highlight w:val="none"/>
          <w:lang w:val="en-US" w:eastAsia="zh-CN"/>
        </w:rPr>
        <w:t>中国民生银行股份有限公司西安吉祥路支行</w:t>
      </w:r>
    </w:p>
    <w:p>
      <w:pPr>
        <w:snapToGrid w:val="0"/>
        <w:spacing w:line="360" w:lineRule="auto"/>
        <w:ind w:firstLine="840" w:firstLineChars="350"/>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账    号：</w:t>
      </w:r>
      <w:r>
        <w:rPr>
          <w:rFonts w:hint="eastAsia" w:ascii="仿宋_GB2312" w:hAnsi="仿宋_GB2312" w:eastAsia="仿宋_GB2312" w:cs="仿宋_GB2312"/>
          <w:color w:val="auto"/>
          <w:sz w:val="24"/>
          <w:highlight w:val="none"/>
          <w:lang w:val="en-US" w:eastAsia="zh-CN"/>
        </w:rPr>
        <w:t>155221039</w:t>
      </w:r>
    </w:p>
    <w:p>
      <w:pPr>
        <w:snapToGrid w:val="0"/>
        <w:spacing w:line="360" w:lineRule="auto"/>
        <w:ind w:firstLine="840" w:firstLineChars="350"/>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联系人：</w:t>
      </w:r>
      <w:r>
        <w:rPr>
          <w:rFonts w:hint="eastAsia" w:ascii="仿宋_GB2312" w:hAnsi="仿宋_GB2312" w:eastAsia="仿宋_GB2312" w:cs="仿宋_GB2312"/>
          <w:color w:val="auto"/>
          <w:sz w:val="24"/>
          <w:highlight w:val="none"/>
          <w:lang w:val="en-US" w:eastAsia="zh-CN"/>
        </w:rPr>
        <w:t xml:space="preserve">王慧 </w:t>
      </w:r>
      <w:r>
        <w:rPr>
          <w:rFonts w:hint="eastAsia" w:ascii="仿宋_GB2312" w:hAnsi="仿宋_GB2312" w:eastAsia="仿宋_GB2312" w:cs="仿宋_GB2312"/>
          <w:color w:val="auto"/>
          <w:sz w:val="24"/>
          <w:highlight w:val="none"/>
        </w:rPr>
        <w:t>联系电话：</w:t>
      </w:r>
      <w:r>
        <w:rPr>
          <w:rFonts w:hint="eastAsia" w:ascii="仿宋_GB2312" w:hAnsi="仿宋_GB2312" w:eastAsia="仿宋_GB2312" w:cs="仿宋_GB2312"/>
          <w:color w:val="auto"/>
          <w:sz w:val="24"/>
          <w:highlight w:val="none"/>
          <w:lang w:val="en-US" w:eastAsia="zh-CN"/>
        </w:rPr>
        <w:t>029-89563670</w:t>
      </w:r>
    </w:p>
    <w:p>
      <w:pPr>
        <w:pStyle w:val="6"/>
        <w:numPr>
          <w:ilvl w:val="0"/>
          <w:numId w:val="11"/>
        </w:numPr>
        <w:rPr>
          <w:rFonts w:ascii="仿宋_GB2312" w:hAnsi="仿宋_GB2312" w:eastAsia="仿宋_GB2312" w:cs="仿宋_GB2312"/>
          <w:b/>
          <w:bCs/>
          <w:color w:val="auto"/>
          <w:sz w:val="24"/>
          <w:szCs w:val="21"/>
          <w:highlight w:val="none"/>
        </w:rPr>
      </w:pPr>
      <w:bookmarkStart w:id="385" w:name="_Toc1585"/>
      <w:r>
        <w:rPr>
          <w:rFonts w:hint="eastAsia" w:ascii="仿宋_GB2312" w:hAnsi="仿宋_GB2312" w:eastAsia="仿宋_GB2312" w:cs="仿宋_GB2312"/>
          <w:b/>
          <w:bCs/>
          <w:color w:val="auto"/>
          <w:sz w:val="24"/>
          <w:szCs w:val="21"/>
          <w:highlight w:val="none"/>
        </w:rPr>
        <w:t xml:space="preserve">  采购人追加采购数量的权力</w:t>
      </w:r>
      <w:bookmarkEnd w:id="385"/>
    </w:p>
    <w:p>
      <w:pPr>
        <w:tabs>
          <w:tab w:val="left" w:pos="588"/>
        </w:tabs>
        <w:spacing w:line="360" w:lineRule="auto"/>
        <w:ind w:left="840" w:leftChars="400"/>
        <w:rPr>
          <w:rFonts w:ascii="仿宋_GB2312" w:hAnsi="仿宋_GB2312" w:eastAsia="仿宋_GB2312" w:cs="仿宋_GB2312"/>
          <w:color w:val="auto"/>
          <w:sz w:val="24"/>
          <w:highlight w:val="none"/>
        </w:rPr>
      </w:pPr>
      <w:bookmarkStart w:id="386" w:name="_Toc389620205"/>
      <w:bookmarkStart w:id="387" w:name="_Toc385992366"/>
      <w:r>
        <w:rPr>
          <w:rFonts w:hint="eastAsia" w:ascii="仿宋_GB2312" w:hAnsi="仿宋_GB2312" w:eastAsia="仿宋_GB2312" w:cs="仿宋_GB2312"/>
          <w:color w:val="auto"/>
          <w:sz w:val="24"/>
          <w:highlight w:val="none"/>
        </w:rPr>
        <w:t>在合同履行中，采购人需追加与合同标的相同服务的，在不改变合同其他条款的前提下，采购人有权与成交供应商协商签订补充合同，但所有补充合同的采购金额不得超过原合同采购金额的10%。</w:t>
      </w:r>
    </w:p>
    <w:p>
      <w:pPr>
        <w:pStyle w:val="6"/>
        <w:numPr>
          <w:ilvl w:val="0"/>
          <w:numId w:val="11"/>
        </w:numPr>
        <w:rPr>
          <w:rFonts w:ascii="仿宋_GB2312" w:hAnsi="仿宋_GB2312" w:eastAsia="仿宋_GB2312" w:cs="仿宋_GB2312"/>
          <w:b/>
          <w:bCs/>
          <w:color w:val="auto"/>
          <w:sz w:val="24"/>
          <w:szCs w:val="21"/>
          <w:highlight w:val="none"/>
        </w:rPr>
      </w:pPr>
      <w:r>
        <w:rPr>
          <w:rFonts w:hint="eastAsia" w:ascii="仿宋_GB2312" w:hAnsi="仿宋_GB2312" w:eastAsia="仿宋_GB2312" w:cs="仿宋_GB2312"/>
          <w:b/>
          <w:bCs/>
          <w:color w:val="auto"/>
          <w:sz w:val="24"/>
          <w:szCs w:val="21"/>
          <w:highlight w:val="none"/>
        </w:rPr>
        <w:t xml:space="preserve">   其他情况</w:t>
      </w:r>
    </w:p>
    <w:p>
      <w:pPr>
        <w:pStyle w:val="3"/>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pPr>
        <w:pStyle w:val="3"/>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31.2   连续两次进行竞争性磋商活动，因符合磋商要求供应商不足3家，经请示政府采购管理部门同意后，可继续进行竞争性磋商活动。</w:t>
      </w:r>
    </w:p>
    <w:bookmarkEnd w:id="386"/>
    <w:bookmarkEnd w:id="387"/>
    <w:p>
      <w:pPr>
        <w:pStyle w:val="6"/>
        <w:keepNext w:val="0"/>
        <w:keepLines w:val="0"/>
        <w:pageBreakBefore w:val="0"/>
        <w:widowControl w:val="0"/>
        <w:numPr>
          <w:ilvl w:val="0"/>
          <w:numId w:val="11"/>
        </w:numPr>
        <w:kinsoku/>
        <w:wordWrap/>
        <w:overflowPunct/>
        <w:topLinePunct w:val="0"/>
        <w:autoSpaceDE/>
        <w:autoSpaceDN/>
        <w:bidi w:val="0"/>
        <w:adjustRightInd/>
        <w:snapToGrid/>
        <w:spacing w:line="360" w:lineRule="auto"/>
        <w:textAlignment w:val="auto"/>
        <w:rPr>
          <w:rFonts w:hint="eastAsia" w:ascii="仿宋" w:hAnsi="仿宋" w:eastAsia="仿宋" w:cs="仿宋"/>
          <w:b/>
          <w:bCs/>
          <w:i w:val="0"/>
          <w:iCs w:val="0"/>
          <w:color w:val="auto"/>
          <w:sz w:val="24"/>
          <w:szCs w:val="24"/>
          <w:highlight w:val="none"/>
        </w:rPr>
      </w:pPr>
      <w:bookmarkStart w:id="388" w:name="_Toc230099802"/>
      <w:bookmarkStart w:id="389" w:name="_Toc184025279"/>
      <w:bookmarkStart w:id="390" w:name="_Toc184114070"/>
      <w:bookmarkStart w:id="391" w:name="_Toc230013637"/>
      <w:r>
        <w:rPr>
          <w:rFonts w:hint="eastAsia" w:ascii="仿宋" w:hAnsi="仿宋" w:eastAsia="仿宋" w:cs="仿宋"/>
          <w:b/>
          <w:bCs/>
          <w:i w:val="0"/>
          <w:iCs w:val="0"/>
          <w:color w:val="auto"/>
          <w:sz w:val="24"/>
          <w:szCs w:val="24"/>
          <w:highlight w:val="none"/>
          <w:lang w:val="en-US" w:eastAsia="zh-CN"/>
        </w:rPr>
        <w:t xml:space="preserve">   </w:t>
      </w:r>
      <w:r>
        <w:rPr>
          <w:rFonts w:hint="eastAsia" w:ascii="仿宋" w:hAnsi="仿宋" w:eastAsia="仿宋" w:cs="仿宋"/>
          <w:b/>
          <w:bCs/>
          <w:i w:val="0"/>
          <w:iCs w:val="0"/>
          <w:color w:val="auto"/>
          <w:sz w:val="24"/>
          <w:szCs w:val="24"/>
          <w:highlight w:val="none"/>
        </w:rPr>
        <w:t>政府采购信用担保及融资</w:t>
      </w:r>
    </w:p>
    <w:p>
      <w:pPr>
        <w:pStyle w:val="3"/>
        <w:keepNext w:val="0"/>
        <w:keepLines w:val="0"/>
        <w:pageBreakBefore w:val="0"/>
        <w:widowControl w:val="0"/>
        <w:shd w:val="clear" w:color="auto"/>
        <w:kinsoku/>
        <w:wordWrap/>
        <w:overflowPunct/>
        <w:topLinePunct w:val="0"/>
        <w:autoSpaceDE/>
        <w:autoSpaceDN/>
        <w:bidi w:val="0"/>
        <w:adjustRightInd/>
        <w:snapToGrid/>
        <w:spacing w:line="360" w:lineRule="auto"/>
        <w:ind w:left="840" w:hanging="840" w:hangingChars="350"/>
        <w:textAlignment w:val="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32.</w:t>
      </w:r>
      <w:r>
        <w:rPr>
          <w:rFonts w:hint="eastAsia" w:ascii="仿宋" w:hAnsi="仿宋" w:eastAsia="仿宋" w:cs="仿宋"/>
          <w:i w:val="0"/>
          <w:iCs w:val="0"/>
          <w:color w:val="auto"/>
          <w:sz w:val="24"/>
          <w:szCs w:val="24"/>
          <w:highlight w:val="none"/>
          <w:lang w:val="en-US" w:eastAsia="zh-CN"/>
        </w:rPr>
        <w:t>1</w:t>
      </w:r>
      <w:r>
        <w:rPr>
          <w:rFonts w:hint="eastAsia" w:ascii="仿宋" w:hAnsi="仿宋" w:eastAsia="仿宋" w:cs="仿宋"/>
          <w:i w:val="0"/>
          <w:iCs w:val="0"/>
          <w:color w:val="auto"/>
          <w:sz w:val="24"/>
          <w:szCs w:val="24"/>
          <w:highlight w:val="none"/>
        </w:rPr>
        <w:t xml:space="preserve">   供应商递交的履约担保函应符合本磋商文件的规定。</w:t>
      </w:r>
    </w:p>
    <w:p>
      <w:pPr>
        <w:keepNext w:val="0"/>
        <w:keepLines w:val="0"/>
        <w:pageBreakBefore w:val="0"/>
        <w:widowControl w:val="0"/>
        <w:kinsoku/>
        <w:wordWrap/>
        <w:overflowPunct/>
        <w:topLinePunct w:val="0"/>
        <w:autoSpaceDE/>
        <w:autoSpaceDN/>
        <w:bidi w:val="0"/>
        <w:adjustRightInd/>
        <w:snapToGrid/>
        <w:spacing w:line="360" w:lineRule="auto"/>
        <w:ind w:left="850" w:hanging="849" w:hangingChars="354"/>
        <w:textAlignment w:val="auto"/>
        <w:rPr>
          <w:rFonts w:hint="eastAsia" w:ascii="仿宋" w:hAnsi="仿宋" w:eastAsia="仿宋" w:cs="仿宋"/>
          <w:i w:val="0"/>
          <w:iCs w:val="0"/>
          <w:color w:val="auto"/>
          <w:kern w:val="2"/>
          <w:sz w:val="24"/>
          <w:szCs w:val="24"/>
          <w:highlight w:val="none"/>
          <w:lang w:val="en-US" w:eastAsia="zh-CN" w:bidi="ar-SA"/>
        </w:rPr>
      </w:pPr>
      <w:r>
        <w:rPr>
          <w:rFonts w:hint="eastAsia" w:ascii="仿宋" w:hAnsi="仿宋" w:eastAsia="仿宋" w:cs="仿宋"/>
          <w:i w:val="0"/>
          <w:iCs w:val="0"/>
          <w:color w:val="auto"/>
          <w:sz w:val="24"/>
          <w:szCs w:val="24"/>
          <w:highlight w:val="none"/>
        </w:rPr>
        <w:t>32.</w:t>
      </w:r>
      <w:r>
        <w:rPr>
          <w:rFonts w:hint="eastAsia" w:ascii="仿宋" w:hAnsi="仿宋" w:eastAsia="仿宋" w:cs="仿宋"/>
          <w:i w:val="0"/>
          <w:iCs w:val="0"/>
          <w:color w:val="auto"/>
          <w:sz w:val="24"/>
          <w:szCs w:val="24"/>
          <w:highlight w:val="none"/>
          <w:lang w:val="en-US" w:eastAsia="zh-CN"/>
        </w:rPr>
        <w:t>2</w:t>
      </w:r>
      <w:r>
        <w:rPr>
          <w:rFonts w:hint="eastAsia" w:ascii="仿宋" w:hAnsi="仿宋" w:eastAsia="仿宋" w:cs="仿宋"/>
          <w:i w:val="0"/>
          <w:iCs w:val="0"/>
          <w:color w:val="auto"/>
          <w:sz w:val="24"/>
          <w:szCs w:val="24"/>
          <w:highlight w:val="none"/>
        </w:rPr>
        <w:t xml:space="preserve">   为缓解中小企业融资困难，陕西省财政厅出台了《陕西省中小企业政府采购信用融资办法》（陕财办采﹝2018﹞23号），中标供应商如有融资需求，可登录“陕西省政府采购网-陕西省政府采购信用融资平台</w:t>
      </w:r>
      <w:r>
        <w:rPr>
          <w:rFonts w:hint="eastAsia" w:ascii="仿宋" w:hAnsi="仿宋" w:eastAsia="仿宋" w:cs="仿宋"/>
          <w:i w:val="0"/>
          <w:iCs w:val="0"/>
          <w:color w:val="auto"/>
          <w:sz w:val="24"/>
          <w:szCs w:val="24"/>
          <w:highlight w:val="none"/>
          <w:lang w:eastAsia="zh-CN"/>
        </w:rPr>
        <w:t>（http://www.ccgp-shaanxi.gov.cn/zcdservice/zcd/shanxi/）</w:t>
      </w:r>
      <w:r>
        <w:rPr>
          <w:rFonts w:hint="eastAsia" w:ascii="仿宋" w:hAnsi="仿宋" w:eastAsia="仿宋" w:cs="仿宋"/>
          <w:i w:val="0"/>
          <w:iCs w:val="0"/>
          <w:color w:val="auto"/>
          <w:sz w:val="24"/>
          <w:szCs w:val="24"/>
          <w:highlight w:val="none"/>
        </w:rPr>
        <w:t>”了解详情。</w:t>
      </w:r>
    </w:p>
    <w:p>
      <w:pPr>
        <w:pStyle w:val="3"/>
        <w:keepNext w:val="0"/>
        <w:keepLines w:val="0"/>
        <w:pageBreakBefore w:val="0"/>
        <w:widowControl w:val="0"/>
        <w:tabs>
          <w:tab w:val="left" w:pos="567"/>
        </w:tabs>
        <w:kinsoku/>
        <w:wordWrap/>
        <w:overflowPunct/>
        <w:topLinePunct w:val="0"/>
        <w:autoSpaceDE/>
        <w:autoSpaceDN/>
        <w:bidi w:val="0"/>
        <w:adjustRightInd/>
        <w:snapToGrid/>
        <w:spacing w:line="360" w:lineRule="auto"/>
        <w:ind w:left="840" w:leftChars="400" w:firstLine="0" w:firstLineChars="0"/>
        <w:textAlignment w:val="auto"/>
        <w:rPr>
          <w:rFonts w:hint="eastAsia" w:ascii="仿宋" w:hAnsi="仿宋" w:eastAsia="仿宋" w:cs="仿宋"/>
          <w:i w:val="0"/>
          <w:iCs w:val="0"/>
          <w:color w:val="auto"/>
          <w:kern w:val="2"/>
          <w:sz w:val="24"/>
          <w:szCs w:val="24"/>
          <w:highlight w:val="none"/>
          <w:lang w:val="en-US" w:eastAsia="zh-CN" w:bidi="ar-SA"/>
        </w:rPr>
      </w:pPr>
      <w:r>
        <w:rPr>
          <w:rFonts w:hint="eastAsia" w:ascii="仿宋" w:hAnsi="仿宋" w:eastAsia="仿宋" w:cs="仿宋"/>
          <w:i w:val="0"/>
          <w:iCs w:val="0"/>
          <w:color w:val="auto"/>
          <w:kern w:val="2"/>
          <w:sz w:val="24"/>
          <w:szCs w:val="24"/>
          <w:highlight w:val="none"/>
          <w:lang w:val="en-US" w:eastAsia="zh-CN" w:bidi="ar-SA"/>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3"/>
        <w:keepNext w:val="0"/>
        <w:keepLines w:val="0"/>
        <w:pageBreakBefore w:val="0"/>
        <w:widowControl w:val="0"/>
        <w:tabs>
          <w:tab w:val="left" w:pos="567"/>
        </w:tabs>
        <w:kinsoku/>
        <w:wordWrap/>
        <w:overflowPunct/>
        <w:topLinePunct w:val="0"/>
        <w:autoSpaceDE/>
        <w:autoSpaceDN/>
        <w:bidi w:val="0"/>
        <w:adjustRightInd/>
        <w:snapToGrid/>
        <w:spacing w:line="360" w:lineRule="auto"/>
        <w:ind w:left="840" w:leftChars="400" w:firstLine="0" w:firstLineChars="0"/>
        <w:textAlignment w:val="auto"/>
        <w:rPr>
          <w:rFonts w:hint="eastAsia" w:ascii="仿宋" w:hAnsi="仿宋" w:eastAsia="仿宋" w:cs="仿宋"/>
          <w:i w:val="0"/>
          <w:iCs w:val="0"/>
          <w:color w:val="auto"/>
          <w:kern w:val="2"/>
          <w:sz w:val="24"/>
          <w:szCs w:val="24"/>
          <w:highlight w:val="none"/>
          <w:lang w:val="en-US" w:eastAsia="zh-CN" w:bidi="ar-SA"/>
        </w:rPr>
      </w:pPr>
      <w:r>
        <w:rPr>
          <w:rFonts w:hint="eastAsia" w:ascii="仿宋" w:hAnsi="仿宋" w:eastAsia="仿宋" w:cs="仿宋"/>
          <w:i w:val="0"/>
          <w:iCs w:val="0"/>
          <w:color w:val="auto"/>
          <w:kern w:val="2"/>
          <w:sz w:val="24"/>
          <w:szCs w:val="24"/>
          <w:highlight w:val="none"/>
          <w:lang w:val="en-US" w:eastAsia="zh-CN" w:bidi="ar-SA"/>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3"/>
        <w:keepNext w:val="0"/>
        <w:keepLines w:val="0"/>
        <w:pageBreakBefore w:val="0"/>
        <w:widowControl w:val="0"/>
        <w:tabs>
          <w:tab w:val="left" w:pos="567"/>
        </w:tabs>
        <w:kinsoku/>
        <w:wordWrap/>
        <w:overflowPunct/>
        <w:topLinePunct w:val="0"/>
        <w:autoSpaceDE/>
        <w:autoSpaceDN/>
        <w:bidi w:val="0"/>
        <w:adjustRightInd/>
        <w:snapToGrid/>
        <w:spacing w:line="360" w:lineRule="auto"/>
        <w:ind w:left="840" w:leftChars="400" w:firstLine="0" w:firstLineChars="0"/>
        <w:textAlignment w:val="auto"/>
        <w:rPr>
          <w:rFonts w:hint="eastAsia" w:ascii="仿宋" w:hAnsi="仿宋" w:eastAsia="仿宋" w:cs="仿宋"/>
          <w:i w:val="0"/>
          <w:iCs w:val="0"/>
          <w:color w:val="auto"/>
          <w:kern w:val="2"/>
          <w:sz w:val="24"/>
          <w:szCs w:val="24"/>
          <w:highlight w:val="none"/>
          <w:lang w:val="en-US" w:eastAsia="zh-CN" w:bidi="ar-SA"/>
        </w:rPr>
      </w:pPr>
      <w:r>
        <w:rPr>
          <w:rFonts w:hint="eastAsia" w:ascii="仿宋" w:hAnsi="仿宋" w:eastAsia="仿宋" w:cs="仿宋"/>
          <w:i w:val="0"/>
          <w:iCs w:val="0"/>
          <w:color w:val="auto"/>
          <w:kern w:val="2"/>
          <w:sz w:val="24"/>
          <w:szCs w:val="24"/>
          <w:highlight w:val="none"/>
          <w:lang w:val="en-US" w:eastAsia="zh-CN" w:bidi="ar-SA"/>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3"/>
        <w:keepNext w:val="0"/>
        <w:keepLines w:val="0"/>
        <w:pageBreakBefore w:val="0"/>
        <w:widowControl w:val="0"/>
        <w:tabs>
          <w:tab w:val="left" w:pos="567"/>
        </w:tabs>
        <w:kinsoku/>
        <w:wordWrap/>
        <w:overflowPunct/>
        <w:topLinePunct w:val="0"/>
        <w:autoSpaceDE/>
        <w:autoSpaceDN/>
        <w:bidi w:val="0"/>
        <w:adjustRightInd/>
        <w:snapToGrid/>
        <w:spacing w:line="360" w:lineRule="auto"/>
        <w:ind w:left="840" w:leftChars="400" w:firstLine="0" w:firstLineChars="0"/>
        <w:textAlignment w:val="auto"/>
        <w:rPr>
          <w:rFonts w:hint="eastAsia" w:ascii="仿宋" w:hAnsi="仿宋" w:eastAsia="仿宋" w:cs="仿宋"/>
          <w:i w:val="0"/>
          <w:iCs w:val="0"/>
          <w:color w:val="auto"/>
          <w:kern w:val="2"/>
          <w:sz w:val="24"/>
          <w:szCs w:val="24"/>
          <w:highlight w:val="none"/>
          <w:lang w:val="en-US" w:eastAsia="zh-CN" w:bidi="ar-SA"/>
        </w:rPr>
      </w:pPr>
      <w:r>
        <w:rPr>
          <w:rFonts w:hint="eastAsia" w:ascii="仿宋" w:hAnsi="仿宋" w:eastAsia="仿宋" w:cs="仿宋"/>
          <w:i w:val="0"/>
          <w:iCs w:val="0"/>
          <w:color w:val="auto"/>
          <w:kern w:val="2"/>
          <w:sz w:val="24"/>
          <w:szCs w:val="24"/>
          <w:highlight w:val="none"/>
          <w:lang w:val="en-US" w:eastAsia="zh-CN" w:bidi="ar-SA"/>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3"/>
        <w:keepNext w:val="0"/>
        <w:keepLines w:val="0"/>
        <w:pageBreakBefore w:val="0"/>
        <w:widowControl w:val="0"/>
        <w:tabs>
          <w:tab w:val="left" w:pos="567"/>
        </w:tabs>
        <w:kinsoku/>
        <w:wordWrap/>
        <w:overflowPunct/>
        <w:topLinePunct w:val="0"/>
        <w:autoSpaceDE/>
        <w:autoSpaceDN/>
        <w:bidi w:val="0"/>
        <w:adjustRightInd/>
        <w:snapToGrid/>
        <w:spacing w:line="360" w:lineRule="auto"/>
        <w:ind w:left="840" w:leftChars="400" w:firstLine="0" w:firstLineChars="0"/>
        <w:textAlignment w:val="auto"/>
        <w:rPr>
          <w:rFonts w:hint="eastAsia" w:ascii="仿宋" w:hAnsi="仿宋" w:eastAsia="仿宋" w:cs="仿宋"/>
          <w:i w:val="0"/>
          <w:iCs w:val="0"/>
          <w:color w:val="auto"/>
          <w:kern w:val="2"/>
          <w:sz w:val="24"/>
          <w:szCs w:val="24"/>
          <w:highlight w:val="none"/>
          <w:lang w:val="en-US" w:eastAsia="zh-CN" w:bidi="ar-SA"/>
        </w:rPr>
      </w:pPr>
      <w:r>
        <w:rPr>
          <w:rFonts w:hint="eastAsia" w:ascii="仿宋" w:hAnsi="仿宋" w:eastAsia="仿宋" w:cs="仿宋"/>
          <w:i w:val="0"/>
          <w:iCs w:val="0"/>
          <w:color w:val="auto"/>
          <w:kern w:val="2"/>
          <w:sz w:val="24"/>
          <w:szCs w:val="24"/>
          <w:highlight w:val="none"/>
          <w:lang w:val="en-US" w:eastAsia="zh-CN" w:bidi="ar-SA"/>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3"/>
        <w:keepNext w:val="0"/>
        <w:keepLines w:val="0"/>
        <w:pageBreakBefore w:val="0"/>
        <w:widowControl w:val="0"/>
        <w:tabs>
          <w:tab w:val="left" w:pos="567"/>
        </w:tabs>
        <w:kinsoku/>
        <w:wordWrap/>
        <w:overflowPunct/>
        <w:topLinePunct w:val="0"/>
        <w:autoSpaceDE/>
        <w:autoSpaceDN/>
        <w:bidi w:val="0"/>
        <w:adjustRightInd/>
        <w:snapToGrid/>
        <w:spacing w:line="360" w:lineRule="auto"/>
        <w:ind w:left="840" w:leftChars="400" w:firstLine="0" w:firstLineChars="0"/>
        <w:textAlignment w:val="auto"/>
        <w:rPr>
          <w:rFonts w:hint="eastAsia" w:ascii="仿宋" w:hAnsi="仿宋" w:eastAsia="仿宋" w:cs="仿宋"/>
          <w:i w:val="0"/>
          <w:iCs w:val="0"/>
          <w:color w:val="auto"/>
          <w:kern w:val="2"/>
          <w:sz w:val="24"/>
          <w:szCs w:val="24"/>
          <w:highlight w:val="none"/>
          <w:lang w:val="en-US" w:eastAsia="zh-CN" w:bidi="ar-SA"/>
        </w:rPr>
      </w:pPr>
      <w:r>
        <w:rPr>
          <w:rFonts w:hint="eastAsia" w:ascii="仿宋" w:hAnsi="仿宋" w:eastAsia="仿宋" w:cs="仿宋"/>
          <w:i w:val="0"/>
          <w:iCs w:val="0"/>
          <w:color w:val="auto"/>
          <w:kern w:val="2"/>
          <w:sz w:val="24"/>
          <w:szCs w:val="24"/>
          <w:highlight w:val="none"/>
          <w:lang w:val="en-US" w:eastAsia="zh-CN" w:bidi="ar-SA"/>
        </w:rPr>
        <w:t>业务流程简图如下：</w:t>
      </w:r>
    </w:p>
    <w:p>
      <w:pPr>
        <w:pStyle w:val="3"/>
        <w:keepNext w:val="0"/>
        <w:keepLines w:val="0"/>
        <w:pageBreakBefore w:val="0"/>
        <w:widowControl w:val="0"/>
        <w:tabs>
          <w:tab w:val="left" w:pos="567"/>
        </w:tabs>
        <w:kinsoku/>
        <w:wordWrap/>
        <w:overflowPunct/>
        <w:topLinePunct w:val="0"/>
        <w:autoSpaceDE/>
        <w:autoSpaceDN/>
        <w:bidi w:val="0"/>
        <w:adjustRightInd/>
        <w:snapToGrid/>
        <w:spacing w:line="360" w:lineRule="auto"/>
        <w:ind w:left="840" w:leftChars="400" w:firstLine="0" w:firstLineChars="0"/>
        <w:textAlignment w:val="auto"/>
        <w:rPr>
          <w:sz w:val="24"/>
          <w:szCs w:val="32"/>
        </w:rPr>
      </w:pPr>
    </w:p>
    <w:p>
      <w:pPr>
        <w:pStyle w:val="3"/>
        <w:keepNext w:val="0"/>
        <w:keepLines w:val="0"/>
        <w:pageBreakBefore w:val="0"/>
        <w:widowControl w:val="0"/>
        <w:tabs>
          <w:tab w:val="left" w:pos="567"/>
        </w:tabs>
        <w:kinsoku/>
        <w:wordWrap/>
        <w:overflowPunct/>
        <w:topLinePunct w:val="0"/>
        <w:autoSpaceDE/>
        <w:autoSpaceDN/>
        <w:bidi w:val="0"/>
        <w:adjustRightInd/>
        <w:snapToGrid/>
        <w:spacing w:line="360" w:lineRule="auto"/>
        <w:ind w:left="840" w:leftChars="400" w:firstLine="0" w:firstLineChars="0"/>
        <w:textAlignment w:val="auto"/>
        <w:rPr>
          <w:sz w:val="24"/>
          <w:szCs w:val="32"/>
        </w:rPr>
      </w:pPr>
    </w:p>
    <w:p>
      <w:pPr>
        <w:pStyle w:val="3"/>
        <w:keepNext w:val="0"/>
        <w:keepLines w:val="0"/>
        <w:pageBreakBefore w:val="0"/>
        <w:widowControl w:val="0"/>
        <w:tabs>
          <w:tab w:val="left" w:pos="567"/>
        </w:tabs>
        <w:kinsoku/>
        <w:wordWrap/>
        <w:overflowPunct/>
        <w:topLinePunct w:val="0"/>
        <w:autoSpaceDE/>
        <w:autoSpaceDN/>
        <w:bidi w:val="0"/>
        <w:adjustRightInd/>
        <w:snapToGrid/>
        <w:spacing w:line="360" w:lineRule="auto"/>
        <w:ind w:left="840" w:leftChars="400" w:firstLine="0" w:firstLineChars="0"/>
        <w:textAlignment w:val="auto"/>
        <w:rPr>
          <w:sz w:val="24"/>
          <w:szCs w:val="32"/>
        </w:rPr>
      </w:pPr>
    </w:p>
    <w:p>
      <w:pPr>
        <w:pStyle w:val="3"/>
        <w:keepNext w:val="0"/>
        <w:keepLines w:val="0"/>
        <w:pageBreakBefore w:val="0"/>
        <w:widowControl w:val="0"/>
        <w:tabs>
          <w:tab w:val="left" w:pos="567"/>
        </w:tabs>
        <w:kinsoku/>
        <w:wordWrap/>
        <w:overflowPunct/>
        <w:topLinePunct w:val="0"/>
        <w:autoSpaceDE/>
        <w:autoSpaceDN/>
        <w:bidi w:val="0"/>
        <w:adjustRightInd/>
        <w:snapToGrid/>
        <w:spacing w:line="360" w:lineRule="auto"/>
        <w:ind w:left="840" w:leftChars="400" w:firstLine="0" w:firstLineChars="0"/>
        <w:textAlignment w:val="auto"/>
        <w:rPr>
          <w:sz w:val="24"/>
          <w:szCs w:val="32"/>
        </w:rPr>
      </w:pPr>
    </w:p>
    <w:p>
      <w:pPr>
        <w:pStyle w:val="3"/>
        <w:keepNext w:val="0"/>
        <w:keepLines w:val="0"/>
        <w:pageBreakBefore w:val="0"/>
        <w:widowControl w:val="0"/>
        <w:tabs>
          <w:tab w:val="left" w:pos="567"/>
        </w:tabs>
        <w:kinsoku/>
        <w:wordWrap/>
        <w:overflowPunct/>
        <w:topLinePunct w:val="0"/>
        <w:autoSpaceDE/>
        <w:autoSpaceDN/>
        <w:bidi w:val="0"/>
        <w:adjustRightInd/>
        <w:snapToGrid/>
        <w:spacing w:line="360" w:lineRule="auto"/>
        <w:ind w:left="840" w:leftChars="400" w:firstLine="0" w:firstLineChars="0"/>
        <w:textAlignment w:val="auto"/>
        <w:rPr>
          <w:sz w:val="24"/>
          <w:szCs w:val="32"/>
        </w:rPr>
      </w:pPr>
    </w:p>
    <w:p>
      <w:pPr>
        <w:pStyle w:val="3"/>
        <w:keepNext w:val="0"/>
        <w:keepLines w:val="0"/>
        <w:pageBreakBefore w:val="0"/>
        <w:widowControl w:val="0"/>
        <w:tabs>
          <w:tab w:val="left" w:pos="567"/>
        </w:tabs>
        <w:kinsoku/>
        <w:wordWrap/>
        <w:overflowPunct/>
        <w:topLinePunct w:val="0"/>
        <w:autoSpaceDE/>
        <w:autoSpaceDN/>
        <w:bidi w:val="0"/>
        <w:adjustRightInd/>
        <w:snapToGrid/>
        <w:spacing w:line="360" w:lineRule="auto"/>
        <w:ind w:left="840" w:leftChars="400" w:firstLine="0" w:firstLineChars="0"/>
        <w:textAlignment w:val="auto"/>
        <w:rPr>
          <w:sz w:val="24"/>
          <w:szCs w:val="32"/>
        </w:rPr>
      </w:pPr>
    </w:p>
    <w:p>
      <w:pPr>
        <w:pStyle w:val="3"/>
        <w:keepNext w:val="0"/>
        <w:keepLines w:val="0"/>
        <w:pageBreakBefore w:val="0"/>
        <w:widowControl w:val="0"/>
        <w:tabs>
          <w:tab w:val="left" w:pos="567"/>
        </w:tabs>
        <w:kinsoku/>
        <w:wordWrap/>
        <w:overflowPunct/>
        <w:topLinePunct w:val="0"/>
        <w:autoSpaceDE/>
        <w:autoSpaceDN/>
        <w:bidi w:val="0"/>
        <w:adjustRightInd/>
        <w:snapToGrid/>
        <w:spacing w:line="360" w:lineRule="auto"/>
        <w:ind w:left="840" w:leftChars="400" w:firstLine="0" w:firstLineChars="0"/>
        <w:textAlignment w:val="auto"/>
        <w:rPr>
          <w:sz w:val="24"/>
          <w:szCs w:val="32"/>
        </w:rPr>
      </w:pPr>
    </w:p>
    <w:p>
      <w:pPr>
        <w:pStyle w:val="3"/>
        <w:keepNext w:val="0"/>
        <w:keepLines w:val="0"/>
        <w:pageBreakBefore w:val="0"/>
        <w:widowControl w:val="0"/>
        <w:tabs>
          <w:tab w:val="left" w:pos="567"/>
        </w:tabs>
        <w:kinsoku/>
        <w:wordWrap/>
        <w:overflowPunct/>
        <w:topLinePunct w:val="0"/>
        <w:autoSpaceDE/>
        <w:autoSpaceDN/>
        <w:bidi w:val="0"/>
        <w:adjustRightInd/>
        <w:snapToGrid/>
        <w:spacing w:line="360" w:lineRule="auto"/>
        <w:ind w:left="840" w:leftChars="400" w:firstLine="0" w:firstLineChars="0"/>
        <w:textAlignment w:val="auto"/>
        <w:rPr>
          <w:sz w:val="24"/>
          <w:szCs w:val="32"/>
        </w:rPr>
      </w:pPr>
    </w:p>
    <w:p>
      <w:pPr>
        <w:pStyle w:val="3"/>
        <w:keepNext w:val="0"/>
        <w:keepLines w:val="0"/>
        <w:pageBreakBefore w:val="0"/>
        <w:widowControl w:val="0"/>
        <w:tabs>
          <w:tab w:val="left" w:pos="567"/>
        </w:tabs>
        <w:kinsoku/>
        <w:wordWrap/>
        <w:overflowPunct/>
        <w:topLinePunct w:val="0"/>
        <w:autoSpaceDE/>
        <w:autoSpaceDN/>
        <w:bidi w:val="0"/>
        <w:adjustRightInd/>
        <w:snapToGrid/>
        <w:spacing w:line="360" w:lineRule="auto"/>
        <w:ind w:left="840" w:leftChars="400" w:firstLine="0" w:firstLineChars="0"/>
        <w:textAlignment w:val="auto"/>
        <w:rPr>
          <w:sz w:val="24"/>
          <w:szCs w:val="32"/>
        </w:rPr>
      </w:pPr>
      <w:r>
        <w:rPr>
          <w:sz w:val="24"/>
          <w:szCs w:val="32"/>
        </w:rPr>
        <w:drawing>
          <wp:anchor distT="0" distB="0" distL="114300" distR="114300" simplePos="0" relativeHeight="251659264" behindDoc="0" locked="0" layoutInCell="1" allowOverlap="1">
            <wp:simplePos x="0" y="0"/>
            <wp:positionH relativeFrom="column">
              <wp:posOffset>309880</wp:posOffset>
            </wp:positionH>
            <wp:positionV relativeFrom="page">
              <wp:posOffset>4596130</wp:posOffset>
            </wp:positionV>
            <wp:extent cx="4361815" cy="2508250"/>
            <wp:effectExtent l="0" t="0" r="635" b="635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5"/>
                    <a:stretch>
                      <a:fillRect/>
                    </a:stretch>
                  </pic:blipFill>
                  <pic:spPr>
                    <a:xfrm>
                      <a:off x="0" y="0"/>
                      <a:ext cx="4361815" cy="2508250"/>
                    </a:xfrm>
                    <a:prstGeom prst="rect">
                      <a:avLst/>
                    </a:prstGeom>
                    <a:noFill/>
                    <a:ln>
                      <a:noFill/>
                    </a:ln>
                  </pic:spPr>
                </pic:pic>
              </a:graphicData>
            </a:graphic>
          </wp:anchor>
        </w:drawing>
      </w:r>
    </w:p>
    <w:p>
      <w:pPr>
        <w:pStyle w:val="3"/>
        <w:shd w:val="clear" w:color="auto"/>
        <w:ind w:left="840" w:hanging="840" w:hangingChars="350"/>
        <w:jc w:val="center"/>
        <w:rPr>
          <w:rFonts w:hint="default" w:ascii="Times New Roman" w:hAnsi="Times New Roman" w:eastAsia="仿宋_GB2312" w:cs="Times New Roman"/>
          <w:i w:val="0"/>
          <w:iCs w:val="0"/>
          <w:color w:val="auto"/>
          <w:sz w:val="32"/>
          <w:szCs w:val="32"/>
          <w:highlight w:val="none"/>
        </w:rPr>
      </w:pPr>
      <w:r>
        <w:rPr>
          <w:sz w:val="24"/>
          <w:szCs w:val="32"/>
        </w:rPr>
        <w:drawing>
          <wp:inline distT="0" distB="0" distL="114300" distR="114300">
            <wp:extent cx="4483735" cy="2524760"/>
            <wp:effectExtent l="0" t="0" r="12065" b="889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6"/>
                    <a:stretch>
                      <a:fillRect/>
                    </a:stretch>
                  </pic:blipFill>
                  <pic:spPr>
                    <a:xfrm>
                      <a:off x="0" y="0"/>
                      <a:ext cx="4483735" cy="2524760"/>
                    </a:xfrm>
                    <a:prstGeom prst="rect">
                      <a:avLst/>
                    </a:prstGeom>
                    <a:noFill/>
                    <a:ln>
                      <a:noFill/>
                    </a:ln>
                  </pic:spPr>
                </pic:pic>
              </a:graphicData>
            </a:graphic>
          </wp:inline>
        </w:drawing>
      </w:r>
    </w:p>
    <w:p>
      <w:pPr>
        <w:pStyle w:val="3"/>
        <w:keepNext w:val="0"/>
        <w:keepLines w:val="0"/>
        <w:pageBreakBefore w:val="0"/>
        <w:widowControl w:val="0"/>
        <w:tabs>
          <w:tab w:val="left" w:pos="567"/>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i w:val="0"/>
          <w:iCs w:val="0"/>
          <w:color w:val="auto"/>
          <w:sz w:val="24"/>
          <w:szCs w:val="24"/>
          <w:highlight w:val="none"/>
          <w:lang w:eastAsia="zh-CN"/>
        </w:rPr>
      </w:pPr>
      <w:r>
        <w:rPr>
          <w:rFonts w:hint="default" w:ascii="Times New Roman" w:hAnsi="Times New Roman" w:eastAsia="仿宋_GB2312" w:cs="Times New Roman"/>
          <w:i w:val="0"/>
          <w:iCs w:val="0"/>
          <w:color w:val="auto"/>
          <w:sz w:val="24"/>
          <w:szCs w:val="24"/>
          <w:highlight w:val="none"/>
          <w:lang w:val="en-US" w:eastAsia="zh-CN"/>
        </w:rPr>
        <w:t>省级政府采购项目</w:t>
      </w:r>
      <w:r>
        <w:rPr>
          <w:rFonts w:hint="default" w:ascii="Times New Roman" w:hAnsi="Times New Roman" w:eastAsia="仿宋_GB2312" w:cs="Times New Roman"/>
          <w:i w:val="0"/>
          <w:iCs w:val="0"/>
          <w:color w:val="auto"/>
          <w:sz w:val="24"/>
          <w:szCs w:val="24"/>
          <w:highlight w:val="none"/>
        </w:rPr>
        <w:t>贷款银行信息</w:t>
      </w:r>
      <w:r>
        <w:rPr>
          <w:rFonts w:hint="default" w:ascii="Times New Roman" w:hAnsi="Times New Roman" w:eastAsia="仿宋_GB2312" w:cs="Times New Roman"/>
          <w:i w:val="0"/>
          <w:i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b/>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lang w:val="en-US" w:eastAsia="zh-CN"/>
        </w:rPr>
        <w:t xml:space="preserve"> </w:t>
      </w:r>
      <w:r>
        <w:rPr>
          <w:rFonts w:hint="default" w:ascii="Times New Roman" w:hAnsi="Times New Roman" w:eastAsia="仿宋_GB2312" w:cs="Times New Roman"/>
          <w:b/>
          <w:i w:val="0"/>
          <w:iCs w:val="0"/>
          <w:color w:val="auto"/>
          <w:sz w:val="24"/>
          <w:szCs w:val="24"/>
          <w:highlight w:val="none"/>
        </w:rPr>
        <w:t>一、陕西建行（E政通）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陕西省分行营业部</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西安市南广济街38号</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白玉皓</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13201603166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i w:val="0"/>
          <w:iCs w:val="0"/>
          <w:color w:val="auto"/>
          <w:sz w:val="24"/>
          <w:szCs w:val="24"/>
          <w:highlight w:val="none"/>
        </w:rPr>
      </w:pPr>
      <w:r>
        <w:rPr>
          <w:rFonts w:hint="eastAsia" w:eastAsia="仿宋_GB2312" w:cs="Times New Roman"/>
          <w:i w:val="0"/>
          <w:iCs w:val="0"/>
          <w:color w:val="auto"/>
          <w:sz w:val="24"/>
          <w:szCs w:val="24"/>
          <w:highlight w:val="none"/>
          <w:lang w:val="en-US" w:eastAsia="zh-CN"/>
        </w:rPr>
        <w:t xml:space="preserve">    </w:t>
      </w:r>
      <w:r>
        <w:rPr>
          <w:rFonts w:hint="default" w:ascii="Times New Roman" w:hAnsi="Times New Roman" w:eastAsia="仿宋_GB2312" w:cs="Times New Roman"/>
          <w:i w:val="0"/>
          <w:iCs w:val="0"/>
          <w:color w:val="auto"/>
          <w:sz w:val="24"/>
          <w:szCs w:val="24"/>
          <w:highlight w:val="none"/>
        </w:rPr>
        <w:t>西安莲湖路支行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西安市莲湖路35号</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刘  冲</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17702902131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i w:val="0"/>
          <w:iCs w:val="0"/>
          <w:color w:val="auto"/>
          <w:sz w:val="24"/>
          <w:szCs w:val="24"/>
          <w:highlight w:val="none"/>
        </w:rPr>
      </w:pPr>
      <w:r>
        <w:rPr>
          <w:rFonts w:hint="eastAsia" w:eastAsia="仿宋_GB2312" w:cs="Times New Roman"/>
          <w:i w:val="0"/>
          <w:iCs w:val="0"/>
          <w:color w:val="auto"/>
          <w:sz w:val="24"/>
          <w:szCs w:val="24"/>
          <w:highlight w:val="none"/>
          <w:lang w:val="en-US" w:eastAsia="zh-CN"/>
        </w:rPr>
        <w:t xml:space="preserve">    </w:t>
      </w:r>
      <w:r>
        <w:rPr>
          <w:rFonts w:hint="default" w:ascii="Times New Roman" w:hAnsi="Times New Roman" w:eastAsia="仿宋_GB2312" w:cs="Times New Roman"/>
          <w:i w:val="0"/>
          <w:iCs w:val="0"/>
          <w:color w:val="auto"/>
          <w:sz w:val="24"/>
          <w:szCs w:val="24"/>
          <w:highlight w:val="none"/>
        </w:rPr>
        <w:t>西安曲江支行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西安市雁塔南路2216号</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樊理君</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18691568151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i w:val="0"/>
          <w:iCs w:val="0"/>
          <w:color w:val="auto"/>
          <w:sz w:val="24"/>
          <w:szCs w:val="24"/>
          <w:highlight w:val="none"/>
        </w:rPr>
      </w:pPr>
      <w:r>
        <w:rPr>
          <w:rFonts w:hint="eastAsia" w:eastAsia="仿宋_GB2312" w:cs="Times New Roman"/>
          <w:i w:val="0"/>
          <w:iCs w:val="0"/>
          <w:color w:val="auto"/>
          <w:sz w:val="24"/>
          <w:szCs w:val="24"/>
          <w:highlight w:val="none"/>
          <w:lang w:val="en-US" w:eastAsia="zh-CN"/>
        </w:rPr>
        <w:t xml:space="preserve">    </w:t>
      </w:r>
      <w:r>
        <w:rPr>
          <w:rFonts w:hint="default" w:ascii="Times New Roman" w:hAnsi="Times New Roman" w:eastAsia="仿宋_GB2312" w:cs="Times New Roman"/>
          <w:i w:val="0"/>
          <w:iCs w:val="0"/>
          <w:color w:val="auto"/>
          <w:sz w:val="24"/>
          <w:szCs w:val="24"/>
          <w:highlight w:val="none"/>
        </w:rPr>
        <w:t>西安高新区支行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西安市高新路42号</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卞斯超</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15191075651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i w:val="0"/>
          <w:iCs w:val="0"/>
          <w:color w:val="auto"/>
          <w:sz w:val="24"/>
          <w:szCs w:val="24"/>
          <w:highlight w:val="none"/>
        </w:rPr>
      </w:pPr>
      <w:r>
        <w:rPr>
          <w:rFonts w:hint="eastAsia" w:eastAsia="仿宋_GB2312" w:cs="Times New Roman"/>
          <w:i w:val="0"/>
          <w:iCs w:val="0"/>
          <w:color w:val="auto"/>
          <w:sz w:val="24"/>
          <w:szCs w:val="24"/>
          <w:highlight w:val="none"/>
          <w:lang w:val="en-US" w:eastAsia="zh-CN"/>
        </w:rPr>
        <w:t xml:space="preserve">    </w:t>
      </w:r>
      <w:r>
        <w:rPr>
          <w:rFonts w:hint="default" w:ascii="Times New Roman" w:hAnsi="Times New Roman" w:eastAsia="仿宋_GB2312" w:cs="Times New Roman"/>
          <w:i w:val="0"/>
          <w:iCs w:val="0"/>
          <w:color w:val="auto"/>
          <w:sz w:val="24"/>
          <w:szCs w:val="24"/>
          <w:highlight w:val="none"/>
        </w:rPr>
        <w:t>西安经开区支行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西安市未央路125号</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惠  媛</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17792256100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i w:val="0"/>
          <w:iCs w:val="0"/>
          <w:color w:val="auto"/>
          <w:sz w:val="24"/>
          <w:szCs w:val="24"/>
          <w:highlight w:val="none"/>
        </w:rPr>
      </w:pPr>
      <w:r>
        <w:rPr>
          <w:rFonts w:hint="eastAsia" w:eastAsia="仿宋_GB2312" w:cs="Times New Roman"/>
          <w:i w:val="0"/>
          <w:iCs w:val="0"/>
          <w:color w:val="auto"/>
          <w:sz w:val="24"/>
          <w:szCs w:val="24"/>
          <w:highlight w:val="none"/>
          <w:lang w:val="en-US" w:eastAsia="zh-CN"/>
        </w:rPr>
        <w:t xml:space="preserve">    </w:t>
      </w:r>
      <w:r>
        <w:rPr>
          <w:rFonts w:hint="default" w:ascii="Times New Roman" w:hAnsi="Times New Roman" w:eastAsia="仿宋_GB2312" w:cs="Times New Roman"/>
          <w:i w:val="0"/>
          <w:iCs w:val="0"/>
          <w:color w:val="auto"/>
          <w:sz w:val="24"/>
          <w:szCs w:val="24"/>
          <w:highlight w:val="none"/>
        </w:rPr>
        <w:t>西安南大街支行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西安市南大街15号</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乔  鉴</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18089136919</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西安和平路支行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西安市和平路101号</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陈  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18691816821</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西安兴庆路支行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西安市兴庆路61号</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李  妍</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13892880386</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西安新城支行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西安市南新街29号</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朱子君</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18629286269</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西安长安区支行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西安市长安区青年街2号</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王淑芸</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13572289603</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咸阳分行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咸阳市西兰路4号</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邰  洋</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13299079906</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宝鸡分行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宝鸡市红旗路36号</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李  倩</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18629019817</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铜川分行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铜川市新区正阳路与长虹路十字</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张小波</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18691932636</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榆林分行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榆林市高新技术产业园区创业大厦</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张君君</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15991929275</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延安分行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延安市宝塔区中心街</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陈进佃</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15609110557</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汉中分行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汉中市石灰巷21号</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王晨旭</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15319375850</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安康分行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安康市育才路102号</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张少帅</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13165762680</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商洛分行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商洛市名人街广电大楼下</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郭  杨</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17809267188</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b/>
          <w:i w:val="0"/>
          <w:iCs w:val="0"/>
          <w:color w:val="auto"/>
          <w:sz w:val="24"/>
          <w:szCs w:val="24"/>
          <w:highlight w:val="none"/>
        </w:rPr>
      </w:pPr>
      <w:r>
        <w:rPr>
          <w:rFonts w:hint="default" w:ascii="Times New Roman" w:hAnsi="Times New Roman" w:eastAsia="仿宋_GB2312" w:cs="Times New Roman"/>
          <w:b/>
          <w:i w:val="0"/>
          <w:iCs w:val="0"/>
          <w:color w:val="auto"/>
          <w:sz w:val="24"/>
          <w:szCs w:val="24"/>
          <w:highlight w:val="none"/>
        </w:rPr>
        <w:t>二、北京银行（政府订单贷）</w:t>
      </w:r>
      <w:r>
        <w:rPr>
          <w:rFonts w:hint="default" w:ascii="Times New Roman" w:hAnsi="Times New Roman" w:eastAsia="仿宋_GB2312" w:cs="Times New Roman"/>
          <w:b/>
          <w:i w:val="0"/>
          <w:iCs w:val="0"/>
          <w:color w:val="auto"/>
          <w:sz w:val="24"/>
          <w:szCs w:val="24"/>
          <w:highlight w:val="none"/>
        </w:rPr>
        <w:tab/>
      </w:r>
      <w:r>
        <w:rPr>
          <w:rFonts w:hint="default" w:ascii="Times New Roman" w:hAnsi="Times New Roman" w:eastAsia="仿宋_GB2312" w:cs="Times New Roman"/>
          <w:b/>
          <w:i w:val="0"/>
          <w:iCs w:val="0"/>
          <w:color w:val="auto"/>
          <w:sz w:val="24"/>
          <w:szCs w:val="24"/>
          <w:highlight w:val="none"/>
        </w:rPr>
        <w:tab/>
      </w:r>
      <w:r>
        <w:rPr>
          <w:rFonts w:hint="default" w:ascii="Times New Roman" w:hAnsi="Times New Roman" w:eastAsia="仿宋_GB2312" w:cs="Times New Roman"/>
          <w:b/>
          <w:i w:val="0"/>
          <w:iCs w:val="0"/>
          <w:color w:val="auto"/>
          <w:sz w:val="24"/>
          <w:szCs w:val="24"/>
          <w:highlight w:val="none"/>
        </w:rPr>
        <w:tab/>
      </w:r>
      <w:r>
        <w:rPr>
          <w:rFonts w:hint="default" w:ascii="Times New Roman" w:hAnsi="Times New Roman" w:eastAsia="仿宋_GB2312" w:cs="Times New Roman"/>
          <w:b/>
          <w:i w:val="0"/>
          <w:iCs w:val="0"/>
          <w:color w:val="auto"/>
          <w:sz w:val="24"/>
          <w:szCs w:val="24"/>
          <w:highlight w:val="none"/>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西安分行营业部</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 xml:space="preserve">        刘晓伟</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总经理助理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029-61828763</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18066630518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西安高新开发区支行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 xml:space="preserve">    梁凡</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行长助理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029-61828531</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18681945597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西安曲江文创支行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 xml:space="preserve">    蒋超</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室经理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029-65667366</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15891737329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西安经济技术开发区支行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孟庆龙</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行长助理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029-61828272</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13991990373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西安长缨路支行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 xml:space="preserve">        范凯</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副行长</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029-68717760</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13991315609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 xml:space="preserve">长安区西长安街支行   </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陈明</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行长助理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029-85724301</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18149209660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泾渭工业园支行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 xml:space="preserve">        杨奕</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室经理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029-68213773</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15934802021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北客站科技支行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 xml:space="preserve">        周洁</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副行长</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029-61828129</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18629518636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解放路支行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 xml:space="preserve">            王莉</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行长助理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029-61828185</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15802966196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延安分行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 xml:space="preserve">            奥宝森</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室经理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0911-8076038</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15592925222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b/>
          <w:i w:val="0"/>
          <w:iCs w:val="0"/>
          <w:color w:val="auto"/>
          <w:sz w:val="24"/>
          <w:szCs w:val="24"/>
          <w:highlight w:val="none"/>
        </w:rPr>
      </w:pPr>
      <w:r>
        <w:rPr>
          <w:rFonts w:hint="default" w:ascii="Times New Roman" w:hAnsi="Times New Roman" w:eastAsia="仿宋_GB2312" w:cs="Times New Roman"/>
          <w:b/>
          <w:i w:val="0"/>
          <w:iCs w:val="0"/>
          <w:color w:val="auto"/>
          <w:sz w:val="24"/>
          <w:szCs w:val="24"/>
          <w:highlight w:val="none"/>
        </w:rPr>
        <w:t>三、工商银行（政采贷）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榆林分行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张岭</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客户经理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0912-6183827</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15353386777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宝鸡分行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郭进</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客户经理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0917-3238282</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18991749262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安康分行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郑婕</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客户经理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0915-3236275</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15667856663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铜川分行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彭东东</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客户经理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0919-2151878</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17392898832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延安分行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党莹</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经理助理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0911-2380826</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15291142933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汉中分行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杨薇薇</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部门副经理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0916-2606773</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18591607453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渭南分行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张欢</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客户经理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09132095066</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15229730006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咸阳分行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袁霖</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客户经理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029-33259370</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18591006506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商洛分行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张铮</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经理助理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0914-2310908</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18691410305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商洛分行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余勇博</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客户经理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0914-2310908</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18092802280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西安分行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巩越</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客户经理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029-87609419</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18629450680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b/>
          <w:i w:val="0"/>
          <w:iCs w:val="0"/>
          <w:color w:val="auto"/>
          <w:sz w:val="24"/>
          <w:szCs w:val="24"/>
          <w:highlight w:val="none"/>
        </w:rPr>
      </w:pPr>
      <w:r>
        <w:rPr>
          <w:rFonts w:hint="default" w:ascii="Times New Roman" w:hAnsi="Times New Roman" w:eastAsia="仿宋_GB2312" w:cs="Times New Roman"/>
          <w:b/>
          <w:i w:val="0"/>
          <w:iCs w:val="0"/>
          <w:color w:val="auto"/>
          <w:sz w:val="24"/>
          <w:szCs w:val="24"/>
          <w:highlight w:val="none"/>
        </w:rPr>
        <w:t>四、中信银行 （政采e贷）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西安分行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西安市朱雀大街中段1号</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曹晓聪</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13759957407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咸阳分行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秦皇中路绿苑大厦</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杭群</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13992016859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宝鸡分行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宝鸡市高新大道50号财富大厦B座</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王尧</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13636762976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渭南分行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渭南市朝阳大街中段信达广场世纪明珠大厦</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杨阳</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18191815559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榆林分行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榆林市高新区长兴路248号中信银行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刘洪巍</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13636885556</w:t>
      </w:r>
    </w:p>
    <w:p>
      <w:pPr>
        <w:keepNext w:val="0"/>
        <w:keepLines w:val="0"/>
        <w:pageBreakBefore w:val="0"/>
        <w:widowControl w:val="0"/>
        <w:kinsoku/>
        <w:wordWrap/>
        <w:overflowPunct/>
        <w:topLinePunct w:val="0"/>
        <w:autoSpaceDE/>
        <w:autoSpaceDN/>
        <w:bidi w:val="0"/>
        <w:adjustRightInd/>
        <w:snapToGrid/>
        <w:spacing w:line="360" w:lineRule="auto"/>
        <w:ind w:left="1860" w:leftChars="200" w:hanging="1440" w:hangingChars="6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汉中分行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汉中市汉台区西二环路与劳动西路东南汉中滨江•公园壹号（产业孵化区）3B号楼</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陈真</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18509165068</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b/>
          <w:i w:val="0"/>
          <w:iCs w:val="0"/>
          <w:color w:val="auto"/>
          <w:sz w:val="24"/>
          <w:szCs w:val="24"/>
          <w:highlight w:val="none"/>
        </w:rPr>
      </w:pPr>
      <w:r>
        <w:rPr>
          <w:rFonts w:hint="default" w:ascii="Times New Roman" w:hAnsi="Times New Roman" w:eastAsia="仿宋_GB2312" w:cs="Times New Roman"/>
          <w:b/>
          <w:i w:val="0"/>
          <w:iCs w:val="0"/>
          <w:color w:val="auto"/>
          <w:sz w:val="24"/>
          <w:szCs w:val="24"/>
          <w:highlight w:val="none"/>
        </w:rPr>
        <w:t>五、中国光大银行（阳光政采贷）</w:t>
      </w:r>
      <w:r>
        <w:rPr>
          <w:rFonts w:hint="default" w:ascii="Times New Roman" w:hAnsi="Times New Roman" w:eastAsia="仿宋_GB2312" w:cs="Times New Roman"/>
          <w:b/>
          <w:i w:val="0"/>
          <w:iCs w:val="0"/>
          <w:color w:val="auto"/>
          <w:sz w:val="24"/>
          <w:szCs w:val="24"/>
          <w:highlight w:val="none"/>
        </w:rPr>
        <w:tab/>
      </w:r>
      <w:r>
        <w:rPr>
          <w:rFonts w:hint="default" w:ascii="Times New Roman" w:hAnsi="Times New Roman" w:eastAsia="仿宋_GB2312" w:cs="Times New Roman"/>
          <w:b/>
          <w:i w:val="0"/>
          <w:iCs w:val="0"/>
          <w:color w:val="auto"/>
          <w:sz w:val="24"/>
          <w:szCs w:val="24"/>
          <w:highlight w:val="none"/>
        </w:rPr>
        <w:tab/>
      </w:r>
      <w:r>
        <w:rPr>
          <w:rFonts w:hint="default" w:ascii="Times New Roman" w:hAnsi="Times New Roman" w:eastAsia="仿宋_GB2312" w:cs="Times New Roman"/>
          <w:b/>
          <w:i w:val="0"/>
          <w:iCs w:val="0"/>
          <w:color w:val="auto"/>
          <w:sz w:val="24"/>
          <w:szCs w:val="24"/>
          <w:highlight w:val="none"/>
        </w:rPr>
        <w:tab/>
      </w:r>
      <w:r>
        <w:rPr>
          <w:rFonts w:hint="default" w:ascii="Times New Roman" w:hAnsi="Times New Roman" w:eastAsia="仿宋_GB2312" w:cs="Times New Roman"/>
          <w:b/>
          <w:i w:val="0"/>
          <w:iCs w:val="0"/>
          <w:color w:val="auto"/>
          <w:sz w:val="24"/>
          <w:szCs w:val="24"/>
          <w:highlight w:val="none"/>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宝鸡分行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杨 欢</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0917-3451055</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18329677163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榆林分行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尚云鹏</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0912-3548019</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18690473126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延安分行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汪昊田</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0911-8011831</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13509115500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咸阳分行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侯 佳</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32100021</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15229500088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营销一部</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李 敏</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87236311</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13772031109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营销二部</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朱翰辰</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87236201</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17791788078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营业部</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张翔琮</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87236306</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18829235568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电子城支行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张曼玉</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88247071</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18009298787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明德门支行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王 晨</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85350770</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13991249430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东大街支行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刘 林</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87438914</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15029673754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经济开发区支行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陆家俊</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86525176</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18629303397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凤城九路支行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宋 宜</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89155022</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18966911622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兴庆路支行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司 洋</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83290033</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18629251819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长乐西路支行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张 超</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82566208</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15877390201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友谊路支行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贠程敏</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88422067</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18792795210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边家村支行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王 鹏</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85251673</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15309223048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北关支行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菅新培</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86248203</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18092169361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南郊支行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程 拓</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85265234</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13772491661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西关正街</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马 瑜</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89548109</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13772337373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丈八东路支行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杨筱凡</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81026910</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15129044185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雁塔路支行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闫梓闶</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82222501</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18691561524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唐延路支行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尉二宝</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88329478</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13991930150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枫林绿洲支行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杨 嘉</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87302120</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13609199490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南关正街支行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郭 敏</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85230722</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18066610983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南二环支行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刘 超</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88362861</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18192080396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曲江支行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田 鹏</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81205890</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13991937977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太白路支行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马振林</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68912880</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15353736656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明光路支行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刘二渭</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81623506</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13201793405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凤城二路支行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张 洋</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86680267</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13720423343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昆明路支行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张 洁</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84592506</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13991821278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丈八北路支行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郭 浩</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81875192</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15667087662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新城支行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余振东</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87251680</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18066617238</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b/>
          <w:i w:val="0"/>
          <w:iCs w:val="0"/>
          <w:color w:val="auto"/>
          <w:sz w:val="24"/>
          <w:szCs w:val="24"/>
          <w:highlight w:val="none"/>
        </w:rPr>
      </w:pPr>
      <w:r>
        <w:rPr>
          <w:rFonts w:hint="default" w:ascii="Times New Roman" w:hAnsi="Times New Roman" w:eastAsia="仿宋_GB2312" w:cs="Times New Roman"/>
          <w:b/>
          <w:i w:val="0"/>
          <w:iCs w:val="0"/>
          <w:color w:val="auto"/>
          <w:sz w:val="24"/>
          <w:szCs w:val="24"/>
          <w:highlight w:val="none"/>
        </w:rPr>
        <w:t>六、浦发银行 （政采e贷）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西安分行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吴晨雨</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客户经理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029-63603803</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15991724645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西安分行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陈福全</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客户经理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029-63603441</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17782511994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西安分行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韩瑾</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客户经理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029-63603443</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18202909790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西安分行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李瑞雪</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客户经理</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029-63603445</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18220862398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榆林分行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陈晓晓</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公司业务部</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0912-2216068</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15691269965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榆林分行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郭小东</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公司业务部</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0912-2216008</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15291820586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宝鸡分行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张一岚</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公司业务部</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 xml:space="preserve">0917-8662919 </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18690008816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宝鸡分行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朱强</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公司业务部</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 xml:space="preserve">0917-8662926 </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13909176381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渭南分行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王晓峰</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公司业务部</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0913-3357080</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13992363166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咸阳分行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薛晗</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公司业务部</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029-32083788</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15109226216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b/>
          <w:i w:val="0"/>
          <w:iCs w:val="0"/>
          <w:color w:val="auto"/>
          <w:sz w:val="24"/>
          <w:szCs w:val="24"/>
          <w:highlight w:val="none"/>
        </w:rPr>
      </w:pPr>
      <w:r>
        <w:rPr>
          <w:rFonts w:hint="default" w:ascii="Times New Roman" w:hAnsi="Times New Roman" w:eastAsia="仿宋_GB2312" w:cs="Times New Roman"/>
          <w:b/>
          <w:i w:val="0"/>
          <w:iCs w:val="0"/>
          <w:color w:val="auto"/>
          <w:sz w:val="24"/>
          <w:szCs w:val="24"/>
          <w:highlight w:val="none"/>
        </w:rPr>
        <w:t>七、兴业银行（政采贷）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西安分行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朱靖</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总监</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029-87482998</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13363979983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b/>
          <w:i w:val="0"/>
          <w:iCs w:val="0"/>
          <w:color w:val="auto"/>
          <w:sz w:val="24"/>
          <w:szCs w:val="24"/>
          <w:highlight w:val="none"/>
        </w:rPr>
      </w:pPr>
      <w:r>
        <w:rPr>
          <w:rFonts w:hint="default" w:ascii="Times New Roman" w:hAnsi="Times New Roman" w:eastAsia="仿宋_GB2312" w:cs="Times New Roman"/>
          <w:b/>
          <w:i w:val="0"/>
          <w:iCs w:val="0"/>
          <w:color w:val="auto"/>
          <w:sz w:val="24"/>
          <w:szCs w:val="24"/>
          <w:highlight w:val="none"/>
        </w:rPr>
        <w:t>八、中国民生银行（政采贷）</w:t>
      </w:r>
    </w:p>
    <w:p>
      <w:pPr>
        <w:keepNext w:val="0"/>
        <w:keepLines w:val="0"/>
        <w:pageBreakBefore w:val="0"/>
        <w:widowControl w:val="0"/>
        <w:kinsoku/>
        <w:wordWrap/>
        <w:overflowPunct/>
        <w:topLinePunct w:val="0"/>
        <w:autoSpaceDE/>
        <w:autoSpaceDN/>
        <w:bidi w:val="0"/>
        <w:adjustRightInd/>
        <w:snapToGrid/>
        <w:spacing w:line="360" w:lineRule="auto"/>
        <w:ind w:left="2580" w:leftChars="200" w:hanging="2160" w:hangingChars="9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民生银行西安分行  联系人：陈经理 联系电话：61815275 /18821669199</w:t>
      </w:r>
      <w:r>
        <w:rPr>
          <w:rFonts w:hint="default" w:ascii="Times New Roman" w:hAnsi="Times New Roman" w:eastAsia="仿宋_GB2312" w:cs="Times New Roman"/>
          <w:i w:val="0"/>
          <w:iCs w:val="0"/>
          <w:color w:val="auto"/>
          <w:sz w:val="24"/>
          <w:szCs w:val="24"/>
          <w:highlight w:val="none"/>
        </w:rPr>
        <w:br w:type="textWrapping"/>
      </w:r>
      <w:r>
        <w:rPr>
          <w:rFonts w:hint="default" w:ascii="Times New Roman" w:hAnsi="Times New Roman" w:eastAsia="仿宋_GB2312" w:cs="Times New Roman"/>
          <w:i w:val="0"/>
          <w:iCs w:val="0"/>
          <w:color w:val="auto"/>
          <w:sz w:val="24"/>
          <w:szCs w:val="24"/>
          <w:highlight w:val="none"/>
        </w:rPr>
        <w:t xml:space="preserve">联系人：王经理 联系电话：61815280 /18591953690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b/>
          <w:i w:val="0"/>
          <w:iCs w:val="0"/>
          <w:color w:val="auto"/>
          <w:sz w:val="24"/>
          <w:szCs w:val="24"/>
          <w:highlight w:val="none"/>
        </w:rPr>
      </w:pPr>
      <w:r>
        <w:rPr>
          <w:rFonts w:hint="default" w:ascii="Times New Roman" w:hAnsi="Times New Roman" w:eastAsia="仿宋_GB2312" w:cs="Times New Roman"/>
          <w:b/>
          <w:i w:val="0"/>
          <w:iCs w:val="0"/>
          <w:color w:val="auto"/>
          <w:sz w:val="24"/>
          <w:szCs w:val="24"/>
          <w:highlight w:val="none"/>
        </w:rPr>
        <w:t>九、浙商银行 （政采贷）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西安分行</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西安市雁塔区科技路259号</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曹金辉</w:t>
      </w:r>
      <w:r>
        <w:rPr>
          <w:rFonts w:hint="default" w:ascii="Times New Roman" w:hAnsi="Times New Roman" w:eastAsia="仿宋_GB2312" w:cs="Times New Roman"/>
          <w:i w:val="0"/>
          <w:iCs w:val="0"/>
          <w:color w:val="auto"/>
          <w:sz w:val="24"/>
          <w:szCs w:val="24"/>
          <w:highlight w:val="none"/>
        </w:rPr>
        <w:tab/>
      </w:r>
      <w:r>
        <w:rPr>
          <w:rFonts w:hint="default" w:ascii="Times New Roman" w:hAnsi="Times New Roman" w:eastAsia="仿宋_GB2312" w:cs="Times New Roman"/>
          <w:i w:val="0"/>
          <w:iCs w:val="0"/>
          <w:color w:val="auto"/>
          <w:sz w:val="24"/>
          <w:szCs w:val="24"/>
          <w:highlight w:val="none"/>
        </w:rPr>
        <w:t>18710993980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b/>
          <w:i w:val="0"/>
          <w:iCs w:val="0"/>
          <w:color w:val="auto"/>
          <w:sz w:val="24"/>
          <w:szCs w:val="24"/>
          <w:highlight w:val="none"/>
        </w:rPr>
      </w:pPr>
      <w:r>
        <w:rPr>
          <w:rFonts w:hint="default" w:ascii="Times New Roman" w:hAnsi="Times New Roman" w:eastAsia="仿宋_GB2312" w:cs="Times New Roman"/>
          <w:b/>
          <w:i w:val="0"/>
          <w:iCs w:val="0"/>
          <w:color w:val="auto"/>
          <w:sz w:val="24"/>
          <w:szCs w:val="24"/>
          <w:highlight w:val="none"/>
        </w:rPr>
        <w:t xml:space="preserve">十、 招商银行（政采贷）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招商银行西安分行   联系人：任瑾；85438988</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i w:val="0"/>
          <w:iCs w:val="0"/>
          <w:color w:val="auto"/>
          <w:sz w:val="24"/>
          <w:szCs w:val="24"/>
          <w:highlight w:val="none"/>
        </w:rPr>
      </w:pPr>
      <w:r>
        <w:rPr>
          <w:rFonts w:hint="eastAsia" w:ascii="仿宋" w:hAnsi="仿宋" w:eastAsia="仿宋" w:cs="仿宋"/>
          <w:b/>
          <w:i w:val="0"/>
          <w:iCs w:val="0"/>
          <w:color w:val="auto"/>
          <w:sz w:val="24"/>
          <w:szCs w:val="24"/>
          <w:highlight w:val="none"/>
        </w:rPr>
        <w:t xml:space="preserve">十一、 长安银行（小微贷）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长安银行西安曲江新区支行 地址：西安市曲江新区雁南一路3号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 xml:space="preserve">联系人：陈瑶 13629266833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i w:val="0"/>
          <w:iCs w:val="0"/>
          <w:color w:val="auto"/>
          <w:sz w:val="24"/>
          <w:szCs w:val="24"/>
          <w:highlight w:val="none"/>
        </w:rPr>
      </w:pPr>
      <w:r>
        <w:rPr>
          <w:rFonts w:hint="eastAsia" w:ascii="仿宋" w:hAnsi="仿宋" w:eastAsia="仿宋" w:cs="仿宋"/>
          <w:b/>
          <w:i w:val="0"/>
          <w:iCs w:val="0"/>
          <w:color w:val="auto"/>
          <w:sz w:val="24"/>
          <w:szCs w:val="24"/>
          <w:highlight w:val="none"/>
        </w:rPr>
        <w:t>十二、网商银行（合同贷）</w:t>
      </w:r>
      <w:r>
        <w:rPr>
          <w:rFonts w:hint="eastAsia" w:ascii="仿宋" w:hAnsi="仿宋" w:eastAsia="仿宋" w:cs="仿宋"/>
          <w:b/>
          <w:i w:val="0"/>
          <w:iCs w:val="0"/>
          <w:color w:val="auto"/>
          <w:sz w:val="24"/>
          <w:szCs w:val="24"/>
          <w:highlight w:val="none"/>
        </w:rPr>
        <w:br w:type="textWrapping"/>
      </w:r>
      <w:r>
        <w:rPr>
          <w:rFonts w:hint="eastAsia" w:ascii="仿宋" w:hAnsi="仿宋" w:eastAsia="仿宋" w:cs="仿宋"/>
          <w:b/>
          <w:i w:val="0"/>
          <w:iCs w:val="0"/>
          <w:color w:val="auto"/>
          <w:sz w:val="24"/>
          <w:szCs w:val="24"/>
          <w:highlight w:val="none"/>
        </w:rPr>
        <w:t>十三、中国邮政储蓄银行陕西省分行（政采贷）</w:t>
      </w:r>
    </w:p>
    <w:p>
      <w:pPr>
        <w:pStyle w:val="3"/>
        <w:keepNext w:val="0"/>
        <w:keepLines w:val="0"/>
        <w:pageBreakBefore w:val="0"/>
        <w:widowControl w:val="0"/>
        <w:tabs>
          <w:tab w:val="left" w:pos="567"/>
        </w:tabs>
        <w:kinsoku/>
        <w:wordWrap/>
        <w:overflowPunct/>
        <w:topLinePunct w:val="0"/>
        <w:autoSpaceDE/>
        <w:autoSpaceDN/>
        <w:bidi w:val="0"/>
        <w:adjustRightInd/>
        <w:snapToGrid/>
        <w:spacing w:line="360" w:lineRule="auto"/>
        <w:textAlignment w:val="auto"/>
        <w:rPr>
          <w:rFonts w:hint="eastAsia" w:ascii="仿宋" w:hAnsi="仿宋" w:eastAsia="仿宋" w:cs="仿宋"/>
          <w:i w:val="0"/>
          <w:iCs w:val="0"/>
          <w:color w:val="auto"/>
          <w:sz w:val="24"/>
          <w:szCs w:val="24"/>
          <w:highlight w:val="none"/>
          <w:lang w:val="en-US" w:eastAsia="zh-CN"/>
        </w:rPr>
      </w:pPr>
    </w:p>
    <w:p>
      <w:pPr>
        <w:pStyle w:val="3"/>
        <w:keepNext w:val="0"/>
        <w:keepLines w:val="0"/>
        <w:pageBreakBefore w:val="0"/>
        <w:tabs>
          <w:tab w:val="left" w:pos="567"/>
        </w:tabs>
        <w:kinsoku/>
        <w:wordWrap/>
        <w:overflowPunct/>
        <w:topLinePunct w:val="0"/>
        <w:autoSpaceDE/>
        <w:autoSpaceDN/>
        <w:bidi w:val="0"/>
        <w:adjustRightInd/>
        <w:snapToGrid/>
        <w:spacing w:line="360" w:lineRule="auto"/>
        <w:rPr>
          <w:rFonts w:hint="eastAsia" w:ascii="仿宋" w:hAnsi="仿宋" w:eastAsia="仿宋" w:cs="仿宋"/>
          <w:i w:val="0"/>
          <w:iCs w:val="0"/>
          <w:color w:val="auto"/>
          <w:sz w:val="24"/>
          <w:szCs w:val="24"/>
          <w:highlight w:val="none"/>
          <w:lang w:eastAsia="zh-CN"/>
        </w:rPr>
      </w:pPr>
      <w:r>
        <w:rPr>
          <w:rFonts w:hint="eastAsia" w:ascii="仿宋" w:hAnsi="仿宋" w:eastAsia="仿宋" w:cs="仿宋"/>
          <w:i w:val="0"/>
          <w:iCs w:val="0"/>
          <w:color w:val="auto"/>
          <w:sz w:val="24"/>
          <w:szCs w:val="24"/>
          <w:highlight w:val="none"/>
          <w:lang w:val="en-US" w:eastAsia="zh-CN"/>
        </w:rPr>
        <w:t>渭南市政府采购</w:t>
      </w:r>
      <w:r>
        <w:rPr>
          <w:rFonts w:hint="eastAsia" w:ascii="仿宋" w:hAnsi="仿宋" w:eastAsia="仿宋" w:cs="仿宋"/>
          <w:i w:val="0"/>
          <w:iCs w:val="0"/>
          <w:color w:val="auto"/>
          <w:sz w:val="24"/>
          <w:szCs w:val="24"/>
          <w:highlight w:val="none"/>
        </w:rPr>
        <w:t>贷款银行信息</w:t>
      </w:r>
      <w:r>
        <w:rPr>
          <w:rFonts w:hint="eastAsia" w:ascii="仿宋" w:hAnsi="仿宋" w:eastAsia="仿宋" w:cs="仿宋"/>
          <w:i w:val="0"/>
          <w:iCs w:val="0"/>
          <w:color w:val="auto"/>
          <w:sz w:val="24"/>
          <w:szCs w:val="24"/>
          <w:highlight w:val="none"/>
          <w:lang w:eastAsia="zh-CN"/>
        </w:rPr>
        <w:t>：</w:t>
      </w:r>
    </w:p>
    <w:tbl>
      <w:tblPr>
        <w:tblStyle w:val="50"/>
        <w:tblW w:w="492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0"/>
        <w:gridCol w:w="2028"/>
        <w:gridCol w:w="2635"/>
        <w:gridCol w:w="2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7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单位名称</w:t>
            </w:r>
          </w:p>
        </w:tc>
        <w:tc>
          <w:tcPr>
            <w:tcW w:w="15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联系人</w:t>
            </w:r>
          </w:p>
        </w:tc>
        <w:tc>
          <w:tcPr>
            <w:tcW w:w="1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120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建设银行</w:t>
            </w:r>
          </w:p>
        </w:tc>
        <w:tc>
          <w:tcPr>
            <w:tcW w:w="157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top"/>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郭煜庆 田宇</w:t>
            </w:r>
          </w:p>
        </w:tc>
        <w:tc>
          <w:tcPr>
            <w:tcW w:w="149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top"/>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13892535580</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17797059890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c>
          <w:tcPr>
            <w:tcW w:w="120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c>
          <w:tcPr>
            <w:tcW w:w="157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c>
          <w:tcPr>
            <w:tcW w:w="149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120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浦发银行</w:t>
            </w:r>
          </w:p>
        </w:tc>
        <w:tc>
          <w:tcPr>
            <w:tcW w:w="157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孙哲龙 蒙波</w:t>
            </w:r>
          </w:p>
        </w:tc>
        <w:tc>
          <w:tcPr>
            <w:tcW w:w="149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13892383911</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15249035320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c>
          <w:tcPr>
            <w:tcW w:w="120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c>
          <w:tcPr>
            <w:tcW w:w="157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c>
          <w:tcPr>
            <w:tcW w:w="149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120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中信银行</w:t>
            </w:r>
          </w:p>
        </w:tc>
        <w:tc>
          <w:tcPr>
            <w:tcW w:w="157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杨洋 耿浩</w:t>
            </w:r>
          </w:p>
        </w:tc>
        <w:tc>
          <w:tcPr>
            <w:tcW w:w="149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18191815559</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13193388328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c>
          <w:tcPr>
            <w:tcW w:w="120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c>
          <w:tcPr>
            <w:tcW w:w="157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c>
          <w:tcPr>
            <w:tcW w:w="149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w:t>
            </w:r>
          </w:p>
        </w:tc>
        <w:tc>
          <w:tcPr>
            <w:tcW w:w="120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兴业银行</w:t>
            </w:r>
          </w:p>
        </w:tc>
        <w:tc>
          <w:tcPr>
            <w:tcW w:w="157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权奥星</w:t>
            </w:r>
          </w:p>
        </w:tc>
        <w:tc>
          <w:tcPr>
            <w:tcW w:w="149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15706090239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c>
          <w:tcPr>
            <w:tcW w:w="120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c>
          <w:tcPr>
            <w:tcW w:w="157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c>
          <w:tcPr>
            <w:tcW w:w="1494"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w:t>
            </w:r>
          </w:p>
        </w:tc>
        <w:tc>
          <w:tcPr>
            <w:tcW w:w="120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工商银行</w:t>
            </w:r>
          </w:p>
        </w:tc>
        <w:tc>
          <w:tcPr>
            <w:tcW w:w="157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张剑 张欢</w:t>
            </w:r>
          </w:p>
        </w:tc>
        <w:tc>
          <w:tcPr>
            <w:tcW w:w="149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18191356300</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15229730006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c>
          <w:tcPr>
            <w:tcW w:w="120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c>
          <w:tcPr>
            <w:tcW w:w="157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c>
          <w:tcPr>
            <w:tcW w:w="149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w:t>
            </w:r>
          </w:p>
        </w:tc>
        <w:tc>
          <w:tcPr>
            <w:tcW w:w="120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长安银行</w:t>
            </w:r>
          </w:p>
        </w:tc>
        <w:tc>
          <w:tcPr>
            <w:tcW w:w="157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李华</w:t>
            </w:r>
          </w:p>
        </w:tc>
        <w:tc>
          <w:tcPr>
            <w:tcW w:w="149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13335331958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2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c>
          <w:tcPr>
            <w:tcW w:w="120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c>
          <w:tcPr>
            <w:tcW w:w="157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c>
          <w:tcPr>
            <w:tcW w:w="1494"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w:t>
            </w:r>
          </w:p>
        </w:tc>
        <w:tc>
          <w:tcPr>
            <w:tcW w:w="1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邮储银行</w:t>
            </w:r>
          </w:p>
        </w:tc>
        <w:tc>
          <w:tcPr>
            <w:tcW w:w="15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张萱</w:t>
            </w:r>
          </w:p>
        </w:tc>
        <w:tc>
          <w:tcPr>
            <w:tcW w:w="1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13028431555</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18091365182</w:t>
            </w:r>
          </w:p>
        </w:tc>
      </w:tr>
    </w:tbl>
    <w:p>
      <w:pPr>
        <w:pStyle w:val="3"/>
        <w:keepNext w:val="0"/>
        <w:keepLines w:val="0"/>
        <w:pageBreakBefore w:val="0"/>
        <w:tabs>
          <w:tab w:val="left" w:pos="567"/>
        </w:tabs>
        <w:kinsoku/>
        <w:wordWrap/>
        <w:overflowPunct/>
        <w:topLinePunct w:val="0"/>
        <w:autoSpaceDE/>
        <w:autoSpaceDN/>
        <w:bidi w:val="0"/>
        <w:adjustRightInd/>
        <w:snapToGrid/>
        <w:spacing w:line="360" w:lineRule="auto"/>
        <w:rPr>
          <w:rFonts w:hint="eastAsia" w:ascii="仿宋" w:hAnsi="仿宋" w:eastAsia="仿宋" w:cs="仿宋"/>
          <w:i w:val="0"/>
          <w:iCs w:val="0"/>
          <w:color w:val="auto"/>
          <w:sz w:val="24"/>
          <w:szCs w:val="24"/>
          <w:highlight w:val="none"/>
          <w:lang w:val="en-US" w:eastAsia="zh-CN"/>
        </w:rPr>
      </w:pPr>
      <w:r>
        <w:rPr>
          <w:rFonts w:hint="eastAsia" w:ascii="仿宋" w:hAnsi="仿宋" w:eastAsia="仿宋" w:cs="仿宋"/>
          <w:i w:val="0"/>
          <w:iCs w:val="0"/>
          <w:color w:val="auto"/>
          <w:sz w:val="24"/>
          <w:szCs w:val="24"/>
          <w:highlight w:val="none"/>
          <w:lang w:val="en-US" w:eastAsia="zh-CN"/>
        </w:rPr>
        <w:t>延安市政府采购</w:t>
      </w:r>
      <w:r>
        <w:rPr>
          <w:rFonts w:hint="eastAsia" w:ascii="仿宋" w:hAnsi="仿宋" w:eastAsia="仿宋" w:cs="仿宋"/>
          <w:i w:val="0"/>
          <w:iCs w:val="0"/>
          <w:color w:val="auto"/>
          <w:sz w:val="24"/>
          <w:szCs w:val="24"/>
          <w:highlight w:val="none"/>
        </w:rPr>
        <w:t>贷款银行信息</w:t>
      </w:r>
      <w:r>
        <w:rPr>
          <w:rFonts w:hint="eastAsia" w:ascii="仿宋" w:hAnsi="仿宋" w:eastAsia="仿宋" w:cs="仿宋"/>
          <w:i w:val="0"/>
          <w:iCs w:val="0"/>
          <w:color w:val="auto"/>
          <w:sz w:val="24"/>
          <w:szCs w:val="24"/>
          <w:highlight w:val="none"/>
          <w:lang w:eastAsia="zh-CN"/>
        </w:rPr>
        <w: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2073"/>
        <w:gridCol w:w="3391"/>
        <w:gridCol w:w="818"/>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b/>
                <w:bCs/>
                <w:i w:val="0"/>
                <w:iCs w:val="0"/>
                <w:caps w:val="0"/>
                <w:color w:val="auto"/>
                <w:spacing w:val="0"/>
                <w:kern w:val="0"/>
                <w:sz w:val="24"/>
                <w:szCs w:val="24"/>
                <w:highlight w:val="none"/>
                <w:shd w:val="clear" w:color="auto" w:fill="FFFFFF"/>
                <w:vertAlign w:val="baseline"/>
                <w:lang w:val="en-US" w:eastAsia="zh-CN" w:bidi="ar-SA"/>
              </w:rPr>
              <w:t>序号</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b/>
                <w:bCs/>
                <w:i w:val="0"/>
                <w:iCs w:val="0"/>
                <w:caps w:val="0"/>
                <w:color w:val="auto"/>
                <w:spacing w:val="0"/>
                <w:kern w:val="0"/>
                <w:sz w:val="24"/>
                <w:szCs w:val="24"/>
                <w:highlight w:val="none"/>
                <w:shd w:val="clear" w:color="auto" w:fill="FFFFFF"/>
                <w:vertAlign w:val="baseline"/>
                <w:lang w:val="en-US" w:eastAsia="zh-CN" w:bidi="ar-SA"/>
              </w:rPr>
              <w:t>银行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b/>
                <w:bCs/>
                <w:i w:val="0"/>
                <w:iCs w:val="0"/>
                <w:caps w:val="0"/>
                <w:color w:val="auto"/>
                <w:spacing w:val="0"/>
                <w:kern w:val="0"/>
                <w:sz w:val="24"/>
                <w:szCs w:val="24"/>
                <w:highlight w:val="none"/>
                <w:shd w:val="clear" w:color="auto" w:fill="FFFFFF"/>
                <w:vertAlign w:val="baseline"/>
                <w:lang w:val="en-US" w:eastAsia="zh-CN" w:bidi="ar-SA"/>
              </w:rPr>
              <w:t>地址</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b/>
                <w:bCs/>
                <w:i w:val="0"/>
                <w:iCs w:val="0"/>
                <w:caps w:val="0"/>
                <w:color w:val="auto"/>
                <w:spacing w:val="0"/>
                <w:kern w:val="0"/>
                <w:sz w:val="24"/>
                <w:szCs w:val="24"/>
                <w:highlight w:val="none"/>
                <w:shd w:val="clear" w:color="auto" w:fill="FFFFFF"/>
                <w:vertAlign w:val="baseline"/>
                <w:lang w:val="en-US" w:eastAsia="zh-CN" w:bidi="ar-SA"/>
              </w:rPr>
              <w:t>联系人</w:t>
            </w: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b/>
                <w:bCs/>
                <w:i w:val="0"/>
                <w:iCs w:val="0"/>
                <w:caps w:val="0"/>
                <w:color w:val="auto"/>
                <w:spacing w:val="0"/>
                <w:kern w:val="0"/>
                <w:sz w:val="24"/>
                <w:szCs w:val="24"/>
                <w:highlight w:val="none"/>
                <w:shd w:val="clear" w:color="auto" w:fill="FFFFFF"/>
                <w:vertAlign w:val="baseline"/>
                <w:lang w:val="en-US" w:eastAsia="zh-CN" w:bidi="ar-SA"/>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1</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lang w:val="en-US" w:eastAsia="zh-CN" w:bidi="ar-SA"/>
              </w:rPr>
              <w:t>中国建设银行延安分行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lang w:val="en-US" w:eastAsia="zh-CN" w:bidi="ar-SA"/>
              </w:rPr>
              <w:t>延安市宝塔区中心街</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惠玉</w:t>
            </w: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13892179302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2</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中国工商银行延安分行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延安市宝塔区师范路</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姬悦</w:t>
            </w: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18391156580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3</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北京银行延安分行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延安市宝塔区双拥大道</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奥宝森</w:t>
            </w: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15592925222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4</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邮储银行延安分行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延安市宝塔区枣园路志丹大厦</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杨慧花</w:t>
            </w: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13909113843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5</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光大银行延安分行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延安市宝塔区卷烟厂东信时代一、二层</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汪昊田</w:t>
            </w: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13509115500</w:t>
            </w:r>
          </w:p>
        </w:tc>
      </w:tr>
    </w:tbl>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br w:type="page"/>
      </w:r>
    </w:p>
    <w:bookmarkEnd w:id="388"/>
    <w:bookmarkEnd w:id="389"/>
    <w:bookmarkEnd w:id="390"/>
    <w:bookmarkEnd w:id="391"/>
    <w:p>
      <w:pPr>
        <w:pStyle w:val="47"/>
        <w:spacing w:line="360" w:lineRule="auto"/>
        <w:rPr>
          <w:rStyle w:val="203"/>
          <w:rFonts w:ascii="宋体" w:hAnsi="宋体" w:eastAsia="宋体"/>
          <w:color w:val="auto"/>
          <w:sz w:val="36"/>
          <w:szCs w:val="36"/>
          <w:highlight w:val="none"/>
        </w:rPr>
      </w:pPr>
      <w:bookmarkStart w:id="392" w:name="_Toc68590975"/>
      <w:bookmarkStart w:id="393" w:name="_Toc17469"/>
      <w:bookmarkStart w:id="394" w:name="_Toc58504447"/>
      <w:r>
        <w:rPr>
          <w:rStyle w:val="203"/>
          <w:rFonts w:hint="eastAsia" w:ascii="宋体" w:hAnsi="宋体" w:eastAsia="宋体"/>
          <w:color w:val="auto"/>
          <w:sz w:val="36"/>
          <w:szCs w:val="36"/>
          <w:highlight w:val="none"/>
        </w:rPr>
        <w:t>第三章  评审办法和标准</w:t>
      </w:r>
      <w:bookmarkEnd w:id="392"/>
    </w:p>
    <w:p>
      <w:pPr>
        <w:tabs>
          <w:tab w:val="left" w:pos="360"/>
          <w:tab w:val="left" w:pos="588"/>
        </w:tabs>
        <w:spacing w:line="360" w:lineRule="auto"/>
        <w:ind w:left="840"/>
        <w:rPr>
          <w:rFonts w:ascii="仿宋_GB2312" w:hAnsi="仿宋_GB2312" w:eastAsia="仿宋_GB2312" w:cs="仿宋_GB2312"/>
          <w:color w:val="auto"/>
          <w:sz w:val="24"/>
          <w:highlight w:val="none"/>
        </w:rPr>
      </w:pPr>
    </w:p>
    <w:p>
      <w:pPr>
        <w:pStyle w:val="77"/>
        <w:spacing w:before="24" w:after="24"/>
        <w:rPr>
          <w:rFonts w:ascii="仿宋_GB2312" w:hAnsi="仿宋_GB2312" w:eastAsia="仿宋_GB2312" w:cs="仿宋_GB2312"/>
          <w:color w:val="auto"/>
          <w:sz w:val="28"/>
          <w:szCs w:val="28"/>
          <w:highlight w:val="none"/>
        </w:rPr>
      </w:pPr>
      <w:bookmarkStart w:id="395" w:name="_Toc68590976"/>
      <w:bookmarkStart w:id="396" w:name="_Toc7005040"/>
      <w:r>
        <w:rPr>
          <w:rFonts w:hint="eastAsia" w:ascii="仿宋_GB2312" w:hAnsi="仿宋_GB2312" w:eastAsia="仿宋_GB2312" w:cs="仿宋_GB2312"/>
          <w:color w:val="auto"/>
          <w:sz w:val="28"/>
          <w:szCs w:val="28"/>
          <w:highlight w:val="none"/>
        </w:rPr>
        <w:t>1.评审方法</w:t>
      </w:r>
      <w:bookmarkEnd w:id="395"/>
      <w:bookmarkEnd w:id="396"/>
    </w:p>
    <w:p>
      <w:pPr>
        <w:pStyle w:val="3"/>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77"/>
        <w:spacing w:before="24" w:after="24"/>
        <w:rPr>
          <w:rFonts w:ascii="仿宋_GB2312" w:hAnsi="仿宋_GB2312" w:eastAsia="仿宋_GB2312" w:cs="仿宋_GB2312"/>
          <w:color w:val="auto"/>
          <w:sz w:val="28"/>
          <w:szCs w:val="28"/>
          <w:highlight w:val="none"/>
        </w:rPr>
      </w:pPr>
      <w:bookmarkStart w:id="397" w:name="_Toc7005041"/>
      <w:bookmarkStart w:id="398" w:name="_Toc68590977"/>
      <w:r>
        <w:rPr>
          <w:rFonts w:hint="eastAsia" w:ascii="仿宋_GB2312" w:hAnsi="仿宋_GB2312" w:eastAsia="仿宋_GB2312" w:cs="仿宋_GB2312"/>
          <w:color w:val="auto"/>
          <w:sz w:val="28"/>
          <w:szCs w:val="28"/>
          <w:highlight w:val="none"/>
        </w:rPr>
        <w:t>2.评审标准</w:t>
      </w:r>
      <w:bookmarkEnd w:id="397"/>
      <w:bookmarkEnd w:id="398"/>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 资格审查和符合性评审标准：见附表一和附表二。</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 分值构成：总分100分</w:t>
      </w:r>
    </w:p>
    <w:p>
      <w:pPr>
        <w:pStyle w:val="3"/>
        <w:rPr>
          <w:rFonts w:ascii="仿宋_GB2312" w:hAnsi="仿宋_GB2312" w:eastAsia="仿宋_GB2312" w:cs="仿宋_GB2312"/>
          <w:color w:val="auto"/>
          <w:sz w:val="24"/>
          <w:highlight w:val="none"/>
        </w:rPr>
      </w:pPr>
      <w:bookmarkStart w:id="399" w:name="_Ref426362114"/>
      <w:r>
        <w:rPr>
          <w:rFonts w:hint="eastAsia" w:ascii="仿宋_GB2312" w:hAnsi="仿宋_GB2312" w:eastAsia="仿宋_GB2312" w:cs="仿宋_GB2312"/>
          <w:color w:val="auto"/>
          <w:sz w:val="24"/>
          <w:highlight w:val="none"/>
        </w:rPr>
        <w:t>2.3 商务和技术评审标准</w:t>
      </w:r>
      <w:bookmarkEnd w:id="399"/>
    </w:p>
    <w:p>
      <w:pPr>
        <w:pStyle w:val="3"/>
        <w:rPr>
          <w:rFonts w:ascii="仿宋_GB2312" w:hAnsi="仿宋_GB2312" w:eastAsia="仿宋_GB2312" w:cs="仿宋_GB2312"/>
          <w:color w:val="auto"/>
          <w:sz w:val="24"/>
          <w:highlight w:val="none"/>
        </w:rPr>
      </w:pPr>
      <w:bookmarkStart w:id="400" w:name="_Ref426362140"/>
      <w:r>
        <w:rPr>
          <w:rFonts w:hint="eastAsia" w:ascii="仿宋_GB2312" w:hAnsi="仿宋_GB2312" w:eastAsia="仿宋_GB2312" w:cs="仿宋_GB2312"/>
          <w:color w:val="auto"/>
          <w:sz w:val="24"/>
          <w:highlight w:val="none"/>
        </w:rPr>
        <w:t>2.3.1商务部分评分标准：见附表</w:t>
      </w:r>
      <w:bookmarkEnd w:id="400"/>
      <w:r>
        <w:rPr>
          <w:rFonts w:hint="eastAsia" w:ascii="仿宋_GB2312" w:hAnsi="仿宋_GB2312" w:eastAsia="仿宋_GB2312" w:cs="仿宋_GB2312"/>
          <w:color w:val="auto"/>
          <w:sz w:val="24"/>
          <w:highlight w:val="none"/>
        </w:rPr>
        <w:t>三</w:t>
      </w:r>
    </w:p>
    <w:p>
      <w:pPr>
        <w:pStyle w:val="3"/>
        <w:rPr>
          <w:rFonts w:ascii="仿宋_GB2312" w:hAnsi="仿宋_GB2312" w:eastAsia="仿宋_GB2312" w:cs="仿宋_GB2312"/>
          <w:color w:val="auto"/>
          <w:sz w:val="24"/>
          <w:highlight w:val="none"/>
        </w:rPr>
      </w:pPr>
      <w:bookmarkStart w:id="401" w:name="_Ref426362158"/>
      <w:r>
        <w:rPr>
          <w:rFonts w:hint="eastAsia" w:ascii="仿宋_GB2312" w:hAnsi="仿宋_GB2312" w:eastAsia="仿宋_GB2312" w:cs="仿宋_GB2312"/>
          <w:color w:val="auto"/>
          <w:sz w:val="24"/>
          <w:highlight w:val="none"/>
        </w:rPr>
        <w:t>2.3.2技术部分评分标准：见附表</w:t>
      </w:r>
      <w:bookmarkEnd w:id="401"/>
      <w:r>
        <w:rPr>
          <w:rFonts w:hint="eastAsia" w:ascii="仿宋_GB2312" w:hAnsi="仿宋_GB2312" w:eastAsia="仿宋_GB2312" w:cs="仿宋_GB2312"/>
          <w:color w:val="auto"/>
          <w:sz w:val="24"/>
          <w:highlight w:val="none"/>
        </w:rPr>
        <w:t>四</w:t>
      </w:r>
    </w:p>
    <w:p>
      <w:pPr>
        <w:pStyle w:val="3"/>
        <w:rPr>
          <w:rFonts w:ascii="仿宋_GB2312" w:hAnsi="仿宋_GB2312" w:eastAsia="仿宋_GB2312" w:cs="仿宋_GB2312"/>
          <w:color w:val="auto"/>
          <w:sz w:val="24"/>
          <w:highlight w:val="none"/>
        </w:rPr>
      </w:pPr>
      <w:bookmarkStart w:id="402" w:name="_Ref426362176"/>
      <w:r>
        <w:rPr>
          <w:rFonts w:hint="eastAsia" w:ascii="仿宋_GB2312" w:hAnsi="仿宋_GB2312" w:eastAsia="仿宋_GB2312" w:cs="仿宋_GB2312"/>
          <w:color w:val="auto"/>
          <w:sz w:val="24"/>
          <w:highlight w:val="none"/>
        </w:rPr>
        <w:t>2.3.3报价评分标准：</w:t>
      </w:r>
      <w:bookmarkEnd w:id="402"/>
      <w:r>
        <w:rPr>
          <w:rFonts w:hint="eastAsia" w:ascii="仿宋_GB2312" w:hAnsi="仿宋_GB2312" w:eastAsia="仿宋_GB2312" w:cs="仿宋_GB2312"/>
          <w:color w:val="auto"/>
          <w:sz w:val="24"/>
          <w:highlight w:val="none"/>
        </w:rPr>
        <w:t>见附表五</w:t>
      </w:r>
    </w:p>
    <w:p>
      <w:pPr>
        <w:pStyle w:val="3"/>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（1）根据《政府采购促进中小企业发展管理办法》（财库〔2020〕46号）调整供应商参与评审的价格。对小型和微型企业产品的价格给予</w:t>
      </w:r>
      <w:r>
        <w:rPr>
          <w:rFonts w:hint="eastAsia" w:ascii="仿宋_GB2312" w:hAnsi="仿宋_GB2312" w:eastAsia="仿宋_GB2312" w:cs="仿宋_GB2312"/>
          <w:color w:val="auto"/>
          <w:sz w:val="24"/>
          <w:highlight w:val="none"/>
          <w:lang w:val="en-US" w:eastAsia="zh-CN"/>
        </w:rPr>
        <w:t>10</w:t>
      </w:r>
      <w:r>
        <w:rPr>
          <w:rFonts w:hint="eastAsia" w:ascii="仿宋_GB2312" w:hAnsi="仿宋_GB2312" w:eastAsia="仿宋_GB2312" w:cs="仿宋_GB2312"/>
          <w:color w:val="auto"/>
          <w:sz w:val="24"/>
          <w:highlight w:val="none"/>
        </w:rPr>
        <w:t>%的扣除。如允许与小微企业组成联合体或向其分包的，且合同额占总金额30%以上的，给予</w:t>
      </w:r>
      <w:r>
        <w:rPr>
          <w:rFonts w:hint="eastAsia" w:ascii="仿宋_GB2312" w:hAnsi="仿宋_GB2312" w:eastAsia="仿宋_GB2312" w:cs="仿宋_GB2312"/>
          <w:color w:val="auto"/>
          <w:sz w:val="24"/>
          <w:highlight w:val="none"/>
          <w:lang w:val="en-US" w:eastAsia="zh-CN"/>
        </w:rPr>
        <w:t>4</w:t>
      </w:r>
      <w:r>
        <w:rPr>
          <w:rFonts w:hint="eastAsia" w:ascii="仿宋_GB2312" w:hAnsi="仿宋_GB2312" w:eastAsia="仿宋_GB2312" w:cs="仿宋_GB2312"/>
          <w:color w:val="auto"/>
          <w:sz w:val="24"/>
          <w:highlight w:val="none"/>
        </w:rPr>
        <w:t>%的扣除。</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注：监狱企业、残疾人福利性单位视同小微企业；残疾人福利性单位属于小型、微型企业的，不重复享受政策。</w:t>
      </w:r>
    </w:p>
    <w:p>
      <w:pPr>
        <w:pStyle w:val="3"/>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（2）评审基准价。有效响应文件中的最后报价并按本款（1）和（2）进行调整的最低报价为评审基准价。</w:t>
      </w:r>
    </w:p>
    <w:p>
      <w:pPr>
        <w:pStyle w:val="3"/>
        <w:ind w:firstLine="480" w:firstLineChars="200"/>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（3）供应商报价（按本款（1）和（2）进行调整后价格）得分=(评审基准价／最后报价)×</w:t>
      </w:r>
      <w:r>
        <w:rPr>
          <w:rFonts w:hint="eastAsia" w:ascii="仿宋_GB2312" w:hAnsi="仿宋_GB2312" w:eastAsia="仿宋_GB2312" w:cs="仿宋_GB2312"/>
          <w:color w:val="auto"/>
          <w:sz w:val="24"/>
          <w:highlight w:val="none"/>
          <w:lang w:val="en-US" w:eastAsia="zh-CN"/>
        </w:rPr>
        <w:t>价格权值</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2.3.4 响应文件出现下列情况之一者，磋商小组在评审过程中按以下原则修正：</w:t>
      </w:r>
    </w:p>
    <w:p>
      <w:pPr>
        <w:tabs>
          <w:tab w:val="left" w:pos="588"/>
        </w:tabs>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（1）大写金额与小写金额不一致的，以大写金额为准；</w:t>
      </w:r>
    </w:p>
    <w:p>
      <w:pPr>
        <w:tabs>
          <w:tab w:val="left" w:pos="588"/>
        </w:tabs>
        <w:spacing w:line="360" w:lineRule="auto"/>
        <w:ind w:firstLine="600" w:firstLineChars="2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（2）总价金额与按单价汇总金额不一致的，以单价金额计算结果为准；</w:t>
      </w:r>
    </w:p>
    <w:p>
      <w:pPr>
        <w:tabs>
          <w:tab w:val="left" w:pos="588"/>
        </w:tabs>
        <w:spacing w:line="360" w:lineRule="auto"/>
        <w:ind w:firstLine="600" w:firstLineChars="2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（3）单价金额小数点有明显错位的，应以总价为准，并修改单价；</w:t>
      </w:r>
    </w:p>
    <w:p>
      <w:pPr>
        <w:tabs>
          <w:tab w:val="left" w:pos="588"/>
        </w:tabs>
        <w:spacing w:line="360" w:lineRule="auto"/>
        <w:ind w:firstLine="600" w:firstLineChars="2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（4）对不同文字文本响应文件的解释发生异议的，以中文文本为准；</w:t>
      </w:r>
    </w:p>
    <w:p>
      <w:pPr>
        <w:tabs>
          <w:tab w:val="left" w:pos="588"/>
        </w:tabs>
        <w:spacing w:line="360" w:lineRule="auto"/>
        <w:ind w:firstLine="600" w:firstLineChars="2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（5）文字与图表不一致的，以文字为准；</w:t>
      </w:r>
    </w:p>
    <w:p>
      <w:pPr>
        <w:tabs>
          <w:tab w:val="left" w:pos="588"/>
        </w:tabs>
        <w:spacing w:line="360" w:lineRule="auto"/>
        <w:ind w:firstLine="600" w:firstLineChars="2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（6）正本与副本不一致的，以正本为准；</w:t>
      </w:r>
    </w:p>
    <w:p>
      <w:pPr>
        <w:tabs>
          <w:tab w:val="left" w:pos="588"/>
        </w:tabs>
        <w:spacing w:line="360" w:lineRule="auto"/>
        <w:ind w:firstLine="600" w:firstLineChars="2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（7）响应文件的文字叙述与制造厂商的产品样本/检测报告不符时，以产品样本/检测报告为准。</w:t>
      </w:r>
    </w:p>
    <w:p>
      <w:pPr>
        <w:pStyle w:val="77"/>
        <w:spacing w:before="24" w:after="24"/>
        <w:rPr>
          <w:rFonts w:ascii="仿宋_GB2312" w:hAnsi="仿宋_GB2312" w:eastAsia="仿宋_GB2312" w:cs="仿宋_GB2312"/>
          <w:color w:val="auto"/>
          <w:sz w:val="28"/>
          <w:szCs w:val="28"/>
          <w:highlight w:val="none"/>
        </w:rPr>
      </w:pPr>
      <w:bookmarkStart w:id="403" w:name="_Toc7005042"/>
      <w:bookmarkStart w:id="404" w:name="_Toc68590978"/>
      <w:r>
        <w:rPr>
          <w:rFonts w:hint="eastAsia" w:ascii="仿宋_GB2312" w:hAnsi="仿宋_GB2312" w:eastAsia="仿宋_GB2312" w:cs="仿宋_GB2312"/>
          <w:color w:val="auto"/>
          <w:sz w:val="28"/>
          <w:szCs w:val="28"/>
          <w:highlight w:val="none"/>
        </w:rPr>
        <w:t>3.评审程序</w:t>
      </w:r>
      <w:bookmarkEnd w:id="403"/>
      <w:bookmarkEnd w:id="404"/>
    </w:p>
    <w:p>
      <w:pPr>
        <w:pStyle w:val="3"/>
        <w:rPr>
          <w:rFonts w:ascii="仿宋_GB2312" w:hAnsi="仿宋_GB2312" w:eastAsia="仿宋_GB2312" w:cs="仿宋_GB2312"/>
          <w:b/>
          <w:color w:val="auto"/>
          <w:sz w:val="24"/>
          <w:highlight w:val="none"/>
        </w:rPr>
      </w:pPr>
      <w:bookmarkStart w:id="405" w:name="_Toc7005043"/>
      <w:r>
        <w:rPr>
          <w:rFonts w:hint="eastAsia" w:ascii="仿宋_GB2312" w:hAnsi="仿宋_GB2312" w:eastAsia="仿宋_GB2312" w:cs="仿宋_GB2312"/>
          <w:b/>
          <w:color w:val="auto"/>
          <w:sz w:val="24"/>
          <w:highlight w:val="none"/>
        </w:rPr>
        <w:t>3.1资格审查及符合性审查</w:t>
      </w:r>
      <w:bookmarkEnd w:id="405"/>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3.1.1 采购人或采购代理机构按附表一所列审查标准对供应商资格进行审查，以确定供应商是否具备磋商资格。</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3.1.2 磋商小组对符合资格要求的响应文件按附表二进行符合性审查，以确定其是否满足磋商文件的实质性要求（见本章内的符合性审查表）。</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磋商小组不接受供应商主动提出的澄清、说明或补正。</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供应商的书面澄清、说明和补正属于响应文件的组成部分。</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磋商小组对供应商提交的澄清、说明或补正有疑问的，可以要求供应商进一步澄清、说明或补正，直至满足评审小组的要求。</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3.1.4 不具备磋商文件要求的资格或未通过符合性审查的供应商，不参与磋商，由磋商小组告知该供应商。</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3.1.5 通过资格审查和符合性审查的合格供应商不足3家的，不再进行评审和磋商。</w:t>
      </w:r>
    </w:p>
    <w:p>
      <w:pPr>
        <w:pStyle w:val="3"/>
        <w:rPr>
          <w:rFonts w:ascii="仿宋_GB2312" w:hAnsi="仿宋_GB2312" w:eastAsia="仿宋_GB2312" w:cs="仿宋_GB2312"/>
          <w:b/>
          <w:color w:val="auto"/>
          <w:sz w:val="24"/>
          <w:highlight w:val="none"/>
        </w:rPr>
      </w:pPr>
      <w:bookmarkStart w:id="406" w:name="_Toc7005044"/>
      <w:r>
        <w:rPr>
          <w:rFonts w:hint="eastAsia" w:ascii="仿宋_GB2312" w:hAnsi="仿宋_GB2312" w:eastAsia="仿宋_GB2312" w:cs="仿宋_GB2312"/>
          <w:b/>
          <w:color w:val="auto"/>
          <w:sz w:val="24"/>
          <w:highlight w:val="none"/>
        </w:rPr>
        <w:t>3.2 磋商</w:t>
      </w:r>
      <w:bookmarkEnd w:id="406"/>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3.2.1按“供应商须知”第五条规定，由磋商小组与供应商进行磋商。</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3.2.3 磋商结束后，磋商小组可以要求所有继续参加磋商的供应商在规定时间内提交最后报价函，提交最后报价函的供应商不得少于3家。</w:t>
      </w:r>
    </w:p>
    <w:p>
      <w:pPr>
        <w:pStyle w:val="3"/>
        <w:rPr>
          <w:rFonts w:ascii="仿宋_GB2312" w:hAnsi="仿宋_GB2312" w:eastAsia="仿宋_GB2312" w:cs="仿宋_GB2312"/>
          <w:b/>
          <w:color w:val="auto"/>
          <w:sz w:val="24"/>
          <w:highlight w:val="none"/>
        </w:rPr>
      </w:pPr>
      <w:bookmarkStart w:id="407" w:name="_Toc7005045"/>
      <w:r>
        <w:rPr>
          <w:rFonts w:hint="eastAsia" w:ascii="仿宋_GB2312" w:hAnsi="仿宋_GB2312" w:eastAsia="仿宋_GB2312" w:cs="仿宋_GB2312"/>
          <w:b/>
          <w:color w:val="auto"/>
          <w:sz w:val="24"/>
          <w:highlight w:val="none"/>
        </w:rPr>
        <w:t>3.3评审</w:t>
      </w:r>
      <w:bookmarkEnd w:id="407"/>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3.3.1 比较与评价</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磋商小组按本章第2.3款[商务和技术评审标准]对供应商提交的响应文件（包括最后报价函）进行商务和技术评估，综合比较与评价。</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3.3.2 磋商小组按本章第2.3款规定的量化因素和分值进行打分，并计算出综合评估得分。</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（1）按本章第2.3.1项规定的评审因素和分值对商务部分计算出得分A；</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（2）按本章第2.3.2项规定的评审因素和分值对技术部分计算出得分B；</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（3）按本章第2.3.3项规定的评审因素和分值对报价部分计算出得分C。</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3.3.3评分分值计算保留小数点后两位，小数点后第三位“四舍五入”。</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3.3.4供应商得分=A＋B＋C</w:t>
      </w:r>
    </w:p>
    <w:p>
      <w:pPr>
        <w:pStyle w:val="3"/>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3.4 评审结果</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3.4.1 除第二章“供应商须知”前附表授权直接确定成交供应商外，磋商小组按照得分由高到低的顺序推荐3名成交候选人。</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3.4.2 磋商小组完成评审后，应当向采购人提交书面评审报告。</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br w:type="page"/>
      </w:r>
    </w:p>
    <w:p>
      <w:pPr>
        <w:spacing w:line="360" w:lineRule="auto"/>
        <w:jc w:val="center"/>
        <w:rPr>
          <w:rFonts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附表一 资格审查表</w:t>
      </w:r>
    </w:p>
    <w:tbl>
      <w:tblPr>
        <w:tblStyle w:val="50"/>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vAlign w:val="center"/>
          </w:tcPr>
          <w:p>
            <w:pPr>
              <w:snapToGrid w:val="0"/>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序号</w:t>
            </w:r>
          </w:p>
        </w:tc>
        <w:tc>
          <w:tcPr>
            <w:tcW w:w="2655" w:type="dxa"/>
            <w:vAlign w:val="center"/>
          </w:tcPr>
          <w:p>
            <w:pPr>
              <w:snapToGrid w:val="0"/>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评审内容</w:t>
            </w:r>
          </w:p>
        </w:tc>
        <w:tc>
          <w:tcPr>
            <w:tcW w:w="4677" w:type="dxa"/>
            <w:vAlign w:val="center"/>
          </w:tcPr>
          <w:p>
            <w:pPr>
              <w:snapToGrid w:val="0"/>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评审合格标准</w:t>
            </w:r>
          </w:p>
        </w:tc>
        <w:tc>
          <w:tcPr>
            <w:tcW w:w="1178" w:type="dxa"/>
            <w:vAlign w:val="center"/>
          </w:tcPr>
          <w:p>
            <w:pPr>
              <w:snapToGrid w:val="0"/>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rPr>
                <w:rFonts w:ascii="仿宋_GB2312" w:hAnsi="仿宋_GB2312" w:eastAsia="仿宋_GB2312" w:cs="仿宋_GB2312"/>
                <w:b/>
                <w:color w:val="auto"/>
                <w:szCs w:val="21"/>
                <w:highlight w:val="none"/>
              </w:rPr>
            </w:pPr>
            <w:r>
              <w:rPr>
                <w:rFonts w:hint="eastAsia" w:ascii="仿宋_GB2312" w:hAnsi="仿宋_GB2312" w:eastAsia="仿宋_GB2312" w:cs="仿宋_GB2312"/>
                <w:color w:val="auto"/>
                <w:szCs w:val="21"/>
                <w:highlight w:val="none"/>
              </w:rPr>
              <w:t>1</w:t>
            </w:r>
          </w:p>
        </w:tc>
        <w:tc>
          <w:tcPr>
            <w:tcW w:w="2655" w:type="dxa"/>
            <w:vAlign w:val="center"/>
          </w:tcPr>
          <w:p>
            <w:pPr>
              <w:snapToGrid w:val="0"/>
              <w:rPr>
                <w:rFonts w:ascii="仿宋_GB2312" w:hAnsi="仿宋_GB2312" w:eastAsia="仿宋_GB2312" w:cs="仿宋_GB2312"/>
                <w:b/>
                <w:color w:val="auto"/>
                <w:szCs w:val="21"/>
                <w:highlight w:val="none"/>
              </w:rPr>
            </w:pPr>
            <w:r>
              <w:rPr>
                <w:rFonts w:hint="eastAsia" w:ascii="仿宋_GB2312" w:hAnsi="仿宋_GB2312" w:eastAsia="仿宋_GB2312" w:cs="仿宋_GB2312"/>
                <w:color w:val="auto"/>
                <w:szCs w:val="21"/>
                <w:highlight w:val="none"/>
              </w:rPr>
              <w:t>供应商名称</w:t>
            </w:r>
          </w:p>
        </w:tc>
        <w:tc>
          <w:tcPr>
            <w:tcW w:w="4677" w:type="dxa"/>
            <w:vAlign w:val="center"/>
          </w:tcPr>
          <w:p>
            <w:pPr>
              <w:snapToGrid w:val="0"/>
              <w:rPr>
                <w:rFonts w:ascii="仿宋_GB2312" w:hAnsi="仿宋_GB2312" w:eastAsia="仿宋_GB2312" w:cs="仿宋_GB2312"/>
                <w:b/>
                <w:color w:val="auto"/>
                <w:szCs w:val="21"/>
                <w:highlight w:val="none"/>
              </w:rPr>
            </w:pPr>
            <w:r>
              <w:rPr>
                <w:rFonts w:hint="eastAsia" w:ascii="仿宋_GB2312" w:hAnsi="仿宋_GB2312" w:eastAsia="仿宋_GB2312" w:cs="仿宋_GB2312"/>
                <w:color w:val="auto"/>
                <w:szCs w:val="21"/>
                <w:highlight w:val="none"/>
              </w:rPr>
              <w:t>与磋商登记备案、营业执照一致（符合法定工商变更程序除外）；</w:t>
            </w:r>
          </w:p>
        </w:tc>
        <w:tc>
          <w:tcPr>
            <w:tcW w:w="1178" w:type="dxa"/>
            <w:vAlign w:val="center"/>
          </w:tcPr>
          <w:p>
            <w:pPr>
              <w:snapToGrid w:val="0"/>
              <w:rPr>
                <w:rFonts w:ascii="仿宋_GB2312" w:hAnsi="仿宋_GB2312" w:eastAsia="仿宋_GB2312" w:cs="仿宋_GB2312"/>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w:t>
            </w:r>
          </w:p>
        </w:tc>
        <w:tc>
          <w:tcPr>
            <w:tcW w:w="2655"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具有独立承担民事责任的能力</w:t>
            </w:r>
          </w:p>
        </w:tc>
        <w:tc>
          <w:tcPr>
            <w:tcW w:w="4677"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提供了有效的法人或者其他组织的营业执照等证明文件，自然人的身份证明</w:t>
            </w:r>
          </w:p>
        </w:tc>
        <w:tc>
          <w:tcPr>
            <w:tcW w:w="1178" w:type="dxa"/>
            <w:vAlign w:val="center"/>
          </w:tcPr>
          <w:p>
            <w:pPr>
              <w:snapToGrid w:val="0"/>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3</w:t>
            </w:r>
          </w:p>
        </w:tc>
        <w:tc>
          <w:tcPr>
            <w:tcW w:w="2655" w:type="dxa"/>
            <w:shd w:val="clear" w:color="auto" w:fill="auto"/>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具有健全的财务会计制度</w:t>
            </w:r>
          </w:p>
        </w:tc>
        <w:tc>
          <w:tcPr>
            <w:tcW w:w="4677" w:type="dxa"/>
            <w:shd w:val="clear" w:color="auto" w:fill="auto"/>
            <w:vAlign w:val="center"/>
          </w:tcPr>
          <w:p>
            <w:pPr>
              <w:snapToGrid w:val="0"/>
              <w:rPr>
                <w:rFonts w:ascii="仿宋_GB2312" w:hAnsi="仿宋_GB2312" w:eastAsia="仿宋_GB2312" w:cs="仿宋_GB2312"/>
                <w:color w:val="auto"/>
                <w:szCs w:val="21"/>
                <w:highlight w:val="none"/>
              </w:rPr>
            </w:pPr>
            <w:r>
              <w:rPr>
                <w:rFonts w:ascii="Times New Roman" w:hAnsi="Times New Roman" w:eastAsia="仿宋_GB2312"/>
                <w:color w:val="auto"/>
                <w:highlight w:val="none"/>
                <w:lang w:val="en-US" w:eastAsia="zh-CN"/>
              </w:rPr>
              <w:t>供应商提供202</w:t>
            </w:r>
            <w:r>
              <w:rPr>
                <w:rFonts w:hint="eastAsia" w:ascii="Times New Roman" w:hAnsi="Times New Roman" w:eastAsia="仿宋_GB2312"/>
                <w:color w:val="auto"/>
                <w:highlight w:val="none"/>
                <w:lang w:val="en-US" w:eastAsia="zh-CN"/>
              </w:rPr>
              <w:t>1</w:t>
            </w:r>
            <w:r>
              <w:rPr>
                <w:rFonts w:ascii="Times New Roman" w:hAnsi="Times New Roman" w:eastAsia="仿宋_GB2312"/>
                <w:color w:val="auto"/>
                <w:highlight w:val="none"/>
                <w:lang w:val="en-US" w:eastAsia="zh-CN"/>
              </w:rPr>
              <w:t>年度的审计报告</w:t>
            </w:r>
            <w:r>
              <w:rPr>
                <w:rFonts w:hint="eastAsia" w:ascii="Times New Roman" w:hAnsi="Times New Roman" w:eastAsia="仿宋_GB2312"/>
                <w:color w:val="auto"/>
                <w:highlight w:val="none"/>
                <w:lang w:val="en-US" w:eastAsia="zh-CN"/>
              </w:rPr>
              <w:t>或单位财务报表</w:t>
            </w:r>
            <w:r>
              <w:rPr>
                <w:rFonts w:ascii="Times New Roman" w:hAnsi="Times New Roman" w:eastAsia="仿宋_GB2312"/>
                <w:color w:val="auto"/>
                <w:highlight w:val="none"/>
                <w:lang w:val="en-US" w:eastAsia="zh-CN"/>
              </w:rPr>
              <w:t>或本年度基本开户银行出具的资信证明；</w:t>
            </w:r>
          </w:p>
        </w:tc>
        <w:tc>
          <w:tcPr>
            <w:tcW w:w="1178" w:type="dxa"/>
            <w:vAlign w:val="center"/>
          </w:tcPr>
          <w:p>
            <w:pPr>
              <w:snapToGrid w:val="0"/>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4</w:t>
            </w:r>
          </w:p>
        </w:tc>
        <w:tc>
          <w:tcPr>
            <w:tcW w:w="2655" w:type="dxa"/>
            <w:shd w:val="clear" w:color="auto" w:fill="auto"/>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具有履行合同所必需的设备和专业技术能力</w:t>
            </w:r>
          </w:p>
        </w:tc>
        <w:tc>
          <w:tcPr>
            <w:tcW w:w="4677" w:type="dxa"/>
            <w:shd w:val="clear" w:color="auto" w:fill="auto"/>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提供了可充分满足履行合同所需设备和专业技术能力的证明材料或承诺</w:t>
            </w:r>
          </w:p>
        </w:tc>
        <w:tc>
          <w:tcPr>
            <w:tcW w:w="1178" w:type="dxa"/>
            <w:vAlign w:val="center"/>
          </w:tcPr>
          <w:p>
            <w:pPr>
              <w:snapToGrid w:val="0"/>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5</w:t>
            </w:r>
          </w:p>
        </w:tc>
        <w:tc>
          <w:tcPr>
            <w:tcW w:w="2655"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有依法缴纳税收和社会保障资金的良好记录</w:t>
            </w:r>
          </w:p>
        </w:tc>
        <w:tc>
          <w:tcPr>
            <w:tcW w:w="4677"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1.提供近</w:t>
            </w:r>
            <w:r>
              <w:rPr>
                <w:rFonts w:hint="eastAsia" w:ascii="仿宋_GB2312" w:hAnsi="仿宋_GB2312" w:eastAsia="仿宋_GB2312" w:cs="仿宋_GB2312"/>
                <w:color w:val="auto"/>
                <w:szCs w:val="21"/>
                <w:highlight w:val="none"/>
                <w:lang w:val="en-US" w:eastAsia="zh-CN"/>
              </w:rPr>
              <w:t>半年</w:t>
            </w:r>
            <w:r>
              <w:rPr>
                <w:rFonts w:hint="eastAsia" w:ascii="仿宋_GB2312" w:hAnsi="仿宋_GB2312" w:eastAsia="仿宋_GB2312" w:cs="仿宋_GB2312"/>
                <w:color w:val="auto"/>
                <w:szCs w:val="21"/>
                <w:highlight w:val="none"/>
              </w:rPr>
              <w:t>缴税凭证或免税证明（复印件加盖公章）。</w:t>
            </w:r>
          </w:p>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2.提供近</w:t>
            </w:r>
            <w:r>
              <w:rPr>
                <w:rFonts w:hint="eastAsia" w:ascii="仿宋_GB2312" w:hAnsi="仿宋_GB2312" w:eastAsia="仿宋_GB2312" w:cs="仿宋_GB2312"/>
                <w:color w:val="auto"/>
                <w:szCs w:val="21"/>
                <w:highlight w:val="none"/>
                <w:lang w:val="en-US" w:eastAsia="zh-CN"/>
              </w:rPr>
              <w:t>半年</w:t>
            </w:r>
            <w:r>
              <w:rPr>
                <w:rFonts w:hint="eastAsia" w:ascii="仿宋_GB2312" w:hAnsi="仿宋_GB2312" w:eastAsia="仿宋_GB2312" w:cs="仿宋_GB2312"/>
                <w:color w:val="auto"/>
                <w:szCs w:val="21"/>
                <w:highlight w:val="none"/>
              </w:rPr>
              <w:t>社会保障资金缴纳证明或免缴纳证明（复印件加盖公章）</w:t>
            </w:r>
          </w:p>
        </w:tc>
        <w:tc>
          <w:tcPr>
            <w:tcW w:w="1178" w:type="dxa"/>
            <w:vAlign w:val="center"/>
          </w:tcPr>
          <w:p>
            <w:pPr>
              <w:snapToGrid w:val="0"/>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6</w:t>
            </w:r>
          </w:p>
        </w:tc>
        <w:tc>
          <w:tcPr>
            <w:tcW w:w="2655"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参加政府采购活动前三年内，在经营活动中没有重大违法记录</w:t>
            </w:r>
          </w:p>
        </w:tc>
        <w:tc>
          <w:tcPr>
            <w:tcW w:w="4677"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提供了有效的参加政府采购活动前3年内在经营活动中没有重大违法记录的书面声明</w:t>
            </w:r>
          </w:p>
        </w:tc>
        <w:tc>
          <w:tcPr>
            <w:tcW w:w="1178" w:type="dxa"/>
            <w:vAlign w:val="center"/>
          </w:tcPr>
          <w:p>
            <w:pPr>
              <w:snapToGrid w:val="0"/>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7</w:t>
            </w:r>
          </w:p>
        </w:tc>
        <w:tc>
          <w:tcPr>
            <w:tcW w:w="2655"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法律、行政法规规定的其他条件</w:t>
            </w:r>
          </w:p>
        </w:tc>
        <w:tc>
          <w:tcPr>
            <w:tcW w:w="4677"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不存在违反法律、法规的情况</w:t>
            </w:r>
          </w:p>
        </w:tc>
        <w:tc>
          <w:tcPr>
            <w:tcW w:w="1178" w:type="dxa"/>
            <w:vAlign w:val="center"/>
          </w:tcPr>
          <w:p>
            <w:pPr>
              <w:snapToGrid w:val="0"/>
              <w:ind w:left="425"/>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8</w:t>
            </w:r>
          </w:p>
        </w:tc>
        <w:tc>
          <w:tcPr>
            <w:tcW w:w="2655"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“信用中国”网站和中国政府采购网（www.ccgp.gov.cn）查询记录</w:t>
            </w:r>
          </w:p>
        </w:tc>
        <w:tc>
          <w:tcPr>
            <w:tcW w:w="4677"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未被“信用中国”网站（</w:t>
            </w:r>
            <w:r>
              <w:rPr>
                <w:color w:val="auto"/>
                <w:highlight w:val="none"/>
              </w:rPr>
              <w:fldChar w:fldCharType="begin"/>
            </w:r>
            <w:r>
              <w:rPr>
                <w:color w:val="auto"/>
                <w:highlight w:val="none"/>
              </w:rPr>
              <w:instrText xml:space="preserve"> HYPERLINK "http://www.creditchina.gov.cn）中列入失信被执行人和/" </w:instrText>
            </w:r>
            <w:r>
              <w:rPr>
                <w:color w:val="auto"/>
                <w:highlight w:val="none"/>
              </w:rPr>
              <w:fldChar w:fldCharType="separate"/>
            </w:r>
            <w:r>
              <w:rPr>
                <w:rFonts w:hint="eastAsia" w:ascii="仿宋_GB2312" w:hAnsi="仿宋_GB2312" w:eastAsia="仿宋_GB2312" w:cs="仿宋_GB2312"/>
                <w:color w:val="auto"/>
                <w:szCs w:val="21"/>
                <w:highlight w:val="none"/>
              </w:rPr>
              <w:t>www.creditchina.gov.cn）中列入失信被执行人和/</w:t>
            </w:r>
            <w:r>
              <w:rPr>
                <w:rFonts w:hint="eastAsia" w:ascii="仿宋_GB2312" w:hAnsi="仿宋_GB2312" w:eastAsia="仿宋_GB2312" w:cs="仿宋_GB2312"/>
                <w:color w:val="auto"/>
                <w:szCs w:val="21"/>
                <w:highlight w:val="none"/>
              </w:rPr>
              <w:fldChar w:fldCharType="end"/>
            </w:r>
            <w:r>
              <w:rPr>
                <w:rFonts w:hint="eastAsia" w:ascii="仿宋_GB2312" w:hAnsi="仿宋_GB2312" w:eastAsia="仿宋_GB2312" w:cs="仿宋_GB2312"/>
                <w:color w:val="auto"/>
                <w:szCs w:val="21"/>
                <w:highlight w:val="none"/>
              </w:rPr>
              <w:t>或重大税收违法案件当事人名单的供应商、未被中国政府采购网（www.ccgp.gov.cn）列入政府采购严重违法失信行为记录名单中被财政部门禁止参加政府采购活动的供应商（处罚决定规定的时间和地域范围内）</w:t>
            </w:r>
          </w:p>
        </w:tc>
        <w:tc>
          <w:tcPr>
            <w:tcW w:w="1178" w:type="dxa"/>
            <w:vAlign w:val="center"/>
          </w:tcPr>
          <w:p>
            <w:pPr>
              <w:snapToGrid w:val="0"/>
              <w:ind w:left="425"/>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9</w:t>
            </w:r>
          </w:p>
        </w:tc>
        <w:tc>
          <w:tcPr>
            <w:tcW w:w="2655"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单位负责人为同一人或者存在控股、管理关系的不同单位，不得同时参加本项目的磋商。</w:t>
            </w:r>
          </w:p>
        </w:tc>
        <w:tc>
          <w:tcPr>
            <w:tcW w:w="4677"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提供了法人代表、控股股东、控股企业及管理、被管理单位情况声明且各供应商之间不存在单位负责人为同一人或者存在控股、管理关系情形。</w:t>
            </w:r>
          </w:p>
        </w:tc>
        <w:tc>
          <w:tcPr>
            <w:tcW w:w="1178" w:type="dxa"/>
            <w:vAlign w:val="center"/>
          </w:tcPr>
          <w:p>
            <w:pPr>
              <w:snapToGrid w:val="0"/>
              <w:ind w:left="425"/>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10</w:t>
            </w:r>
          </w:p>
        </w:tc>
        <w:tc>
          <w:tcPr>
            <w:tcW w:w="2655"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为本项目提供整体设计、规范编制或者项目管理、监理、检测等服务的供应商，不得再参加本项目磋商。</w:t>
            </w:r>
          </w:p>
        </w:tc>
        <w:tc>
          <w:tcPr>
            <w:tcW w:w="4677"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提供了供应商未为本项目提供整体设计、规范编制或者项目管理、监理、检测等服务的声明。</w:t>
            </w:r>
          </w:p>
        </w:tc>
        <w:tc>
          <w:tcPr>
            <w:tcW w:w="1178" w:type="dxa"/>
            <w:vAlign w:val="center"/>
          </w:tcPr>
          <w:p>
            <w:pPr>
              <w:snapToGrid w:val="0"/>
              <w:ind w:left="425"/>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11</w:t>
            </w:r>
          </w:p>
        </w:tc>
        <w:tc>
          <w:tcPr>
            <w:tcW w:w="2655"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联合体</w:t>
            </w:r>
          </w:p>
        </w:tc>
        <w:tc>
          <w:tcPr>
            <w:tcW w:w="4677"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供应商为非联合体投标</w:t>
            </w:r>
          </w:p>
        </w:tc>
        <w:tc>
          <w:tcPr>
            <w:tcW w:w="1178" w:type="dxa"/>
            <w:vAlign w:val="center"/>
          </w:tcPr>
          <w:p>
            <w:pPr>
              <w:snapToGrid w:val="0"/>
              <w:ind w:left="425"/>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652" w:type="dxa"/>
            <w:vMerge w:val="restart"/>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12</w:t>
            </w:r>
          </w:p>
        </w:tc>
        <w:tc>
          <w:tcPr>
            <w:tcW w:w="2655" w:type="dxa"/>
            <w:vMerge w:val="restart"/>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供应商特定资格条件</w:t>
            </w:r>
          </w:p>
        </w:tc>
        <w:tc>
          <w:tcPr>
            <w:tcW w:w="4677"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1、向采购代理机构购买（或免费领取）磋商文件并登记备案。</w:t>
            </w:r>
          </w:p>
        </w:tc>
        <w:tc>
          <w:tcPr>
            <w:tcW w:w="1178" w:type="dxa"/>
            <w:vMerge w:val="restart"/>
            <w:vAlign w:val="center"/>
          </w:tcPr>
          <w:p>
            <w:pPr>
              <w:snapToGrid w:val="0"/>
              <w:ind w:left="425"/>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652" w:type="dxa"/>
            <w:vMerge w:val="continue"/>
            <w:vAlign w:val="center"/>
          </w:tcPr>
          <w:p>
            <w:pPr>
              <w:snapToGrid w:val="0"/>
              <w:rPr>
                <w:rFonts w:ascii="仿宋_GB2312" w:hAnsi="仿宋_GB2312" w:eastAsia="仿宋_GB2312" w:cs="仿宋_GB2312"/>
                <w:color w:val="auto"/>
                <w:szCs w:val="21"/>
                <w:highlight w:val="none"/>
              </w:rPr>
            </w:pPr>
          </w:p>
        </w:tc>
        <w:tc>
          <w:tcPr>
            <w:tcW w:w="2655" w:type="dxa"/>
            <w:vMerge w:val="continue"/>
            <w:vAlign w:val="center"/>
          </w:tcPr>
          <w:p>
            <w:pPr>
              <w:snapToGrid w:val="0"/>
              <w:rPr>
                <w:rFonts w:ascii="仿宋_GB2312" w:hAnsi="仿宋_GB2312" w:eastAsia="仿宋_GB2312" w:cs="仿宋_GB2312"/>
                <w:color w:val="auto"/>
                <w:szCs w:val="21"/>
                <w:highlight w:val="none"/>
              </w:rPr>
            </w:pPr>
          </w:p>
        </w:tc>
        <w:tc>
          <w:tcPr>
            <w:tcW w:w="4677" w:type="dxa"/>
            <w:vAlign w:val="center"/>
          </w:tcPr>
          <w:p>
            <w:pPr>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2、法定代表人直接参加磋商的须出具法人身份证（须与营业执照上信息一致），法定代表人授权代表参加磋商的须出具法定代表人授权书及授权代表本单位身份证明（养老保险缴纳证明或劳动合同）。</w:t>
            </w:r>
          </w:p>
        </w:tc>
        <w:tc>
          <w:tcPr>
            <w:tcW w:w="1178" w:type="dxa"/>
            <w:vMerge w:val="continue"/>
            <w:vAlign w:val="center"/>
          </w:tcPr>
          <w:p>
            <w:pPr>
              <w:snapToGrid w:val="0"/>
              <w:ind w:left="425"/>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2" w:type="dxa"/>
            <w:vAlign w:val="center"/>
          </w:tcPr>
          <w:p>
            <w:pPr>
              <w:snapToGrid w:val="0"/>
              <w:rPr>
                <w:rFonts w:ascii="仿宋_GB2312" w:hAnsi="仿宋_GB2312" w:eastAsia="仿宋_GB2312" w:cs="仿宋_GB2312"/>
                <w:color w:val="auto"/>
                <w:szCs w:val="21"/>
                <w:highlight w:val="none"/>
              </w:rPr>
            </w:pPr>
          </w:p>
        </w:tc>
        <w:tc>
          <w:tcPr>
            <w:tcW w:w="2655" w:type="dxa"/>
            <w:vAlign w:val="center"/>
          </w:tcPr>
          <w:p>
            <w:pPr>
              <w:snapToGrid w:val="0"/>
              <w:ind w:left="425"/>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结论</w:t>
            </w:r>
          </w:p>
        </w:tc>
        <w:tc>
          <w:tcPr>
            <w:tcW w:w="4677" w:type="dxa"/>
            <w:vAlign w:val="center"/>
          </w:tcPr>
          <w:p>
            <w:pPr>
              <w:snapToGrid w:val="0"/>
              <w:rPr>
                <w:rFonts w:ascii="仿宋_GB2312" w:hAnsi="仿宋_GB2312" w:eastAsia="仿宋_GB2312" w:cs="仿宋_GB2312"/>
                <w:color w:val="auto"/>
                <w:szCs w:val="21"/>
                <w:highlight w:val="none"/>
              </w:rPr>
            </w:pPr>
          </w:p>
        </w:tc>
        <w:tc>
          <w:tcPr>
            <w:tcW w:w="1178" w:type="dxa"/>
            <w:vAlign w:val="center"/>
          </w:tcPr>
          <w:p>
            <w:pPr>
              <w:snapToGrid w:val="0"/>
              <w:ind w:left="425"/>
              <w:rPr>
                <w:rFonts w:ascii="仿宋_GB2312" w:hAnsi="仿宋_GB2312" w:eastAsia="仿宋_GB2312" w:cs="仿宋_GB2312"/>
                <w:color w:val="auto"/>
                <w:szCs w:val="21"/>
                <w:highlight w:val="none"/>
              </w:rPr>
            </w:pPr>
          </w:p>
        </w:tc>
      </w:tr>
    </w:tbl>
    <w:p>
      <w:pPr>
        <w:spacing w:line="0" w:lineRule="atLeast"/>
        <w:ind w:left="425"/>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注：符合要求用“○”表示，不符合用“×”表示。有一项不符合要求，结论为不合格。</w:t>
      </w:r>
    </w:p>
    <w:p>
      <w:pPr>
        <w:spacing w:line="360" w:lineRule="auto"/>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Cs w:val="21"/>
          <w:highlight w:val="none"/>
        </w:rPr>
        <w:br w:type="page"/>
      </w:r>
      <w:r>
        <w:rPr>
          <w:rFonts w:hint="eastAsia" w:ascii="仿宋_GB2312" w:hAnsi="仿宋_GB2312" w:eastAsia="仿宋_GB2312" w:cs="仿宋_GB2312"/>
          <w:b/>
          <w:color w:val="auto"/>
          <w:sz w:val="30"/>
          <w:szCs w:val="30"/>
          <w:highlight w:val="none"/>
        </w:rPr>
        <w:t>附表二 符合性审查表</w:t>
      </w:r>
    </w:p>
    <w:tbl>
      <w:tblPr>
        <w:tblStyle w:val="50"/>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color w:val="auto"/>
                <w:szCs w:val="21"/>
                <w:highlight w:val="none"/>
              </w:rPr>
            </w:pPr>
            <w:r>
              <w:rPr>
                <w:rFonts w:hint="eastAsia" w:ascii="仿宋_GB2312" w:hAnsi="仿宋_GB2312" w:eastAsia="仿宋_GB2312" w:cs="仿宋_GB2312"/>
                <w:b/>
                <w:caps/>
                <w:color w:val="auto"/>
                <w:szCs w:val="21"/>
                <w:highlight w:val="none"/>
              </w:rPr>
              <w:t>序号</w:t>
            </w:r>
          </w:p>
        </w:tc>
        <w:tc>
          <w:tcPr>
            <w:tcW w:w="1723"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color w:val="auto"/>
                <w:szCs w:val="21"/>
                <w:highlight w:val="none"/>
              </w:rPr>
            </w:pPr>
            <w:r>
              <w:rPr>
                <w:rFonts w:hint="eastAsia" w:ascii="仿宋_GB2312" w:hAnsi="仿宋_GB2312" w:eastAsia="仿宋_GB2312" w:cs="仿宋_GB2312"/>
                <w:b/>
                <w:caps/>
                <w:color w:val="auto"/>
                <w:szCs w:val="21"/>
                <w:highlight w:val="none"/>
              </w:rPr>
              <w:t>评审项目</w:t>
            </w:r>
          </w:p>
        </w:tc>
        <w:tc>
          <w:tcPr>
            <w:tcW w:w="5401"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color w:val="auto"/>
                <w:szCs w:val="21"/>
                <w:highlight w:val="none"/>
              </w:rPr>
            </w:pPr>
            <w:r>
              <w:rPr>
                <w:rFonts w:hint="eastAsia" w:ascii="仿宋_GB2312" w:hAnsi="仿宋_GB2312" w:eastAsia="仿宋_GB2312" w:cs="仿宋_GB2312"/>
                <w:b/>
                <w:caps/>
                <w:color w:val="auto"/>
                <w:szCs w:val="21"/>
                <w:highlight w:val="none"/>
              </w:rPr>
              <w:t>评审标准</w:t>
            </w:r>
          </w:p>
        </w:tc>
        <w:tc>
          <w:tcPr>
            <w:tcW w:w="1313"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color w:val="auto"/>
                <w:szCs w:val="21"/>
                <w:highlight w:val="none"/>
              </w:rPr>
            </w:pPr>
            <w:r>
              <w:rPr>
                <w:rFonts w:hint="eastAsia" w:ascii="仿宋_GB2312" w:hAnsi="仿宋_GB2312" w:eastAsia="仿宋_GB2312" w:cs="仿宋_GB2312"/>
                <w:b/>
                <w:caps/>
                <w:color w:val="auto"/>
                <w:szCs w:val="21"/>
                <w:highlight w:val="none"/>
              </w:rPr>
              <w:t>评审结论</w:t>
            </w:r>
          </w:p>
          <w:p>
            <w:pPr>
              <w:tabs>
                <w:tab w:val="left" w:pos="1260"/>
                <w:tab w:val="left" w:pos="1620"/>
              </w:tabs>
              <w:adjustRightInd w:val="0"/>
              <w:snapToGrid w:val="0"/>
              <w:jc w:val="center"/>
              <w:textAlignment w:val="baseline"/>
              <w:rPr>
                <w:rFonts w:ascii="仿宋_GB2312" w:hAnsi="仿宋_GB2312" w:eastAsia="仿宋_GB2312" w:cs="仿宋_GB2312"/>
                <w:b/>
                <w:caps/>
                <w:color w:val="auto"/>
                <w:szCs w:val="21"/>
                <w:highlight w:val="none"/>
              </w:rPr>
            </w:pPr>
            <w:r>
              <w:rPr>
                <w:rFonts w:hint="eastAsia" w:ascii="仿宋_GB2312" w:hAnsi="仿宋_GB2312" w:eastAsia="仿宋_GB2312" w:cs="仿宋_GB2312"/>
                <w:b/>
                <w:caps/>
                <w:color w:val="auto"/>
                <w:szCs w:val="21"/>
                <w:highlight w:val="none"/>
              </w:rPr>
              <w:t>（</w:t>
            </w:r>
            <w:r>
              <w:rPr>
                <w:rFonts w:hint="eastAsia" w:ascii="仿宋_GB2312" w:hAnsi="仿宋_GB2312" w:eastAsia="仿宋_GB2312" w:cs="仿宋_GB2312"/>
                <w:color w:val="auto"/>
                <w:szCs w:val="21"/>
                <w:highlight w:val="none"/>
              </w:rPr>
              <w:t>○</w:t>
            </w:r>
            <w:r>
              <w:rPr>
                <w:rFonts w:hint="eastAsia" w:ascii="仿宋_GB2312" w:hAnsi="仿宋_GB2312" w:eastAsia="仿宋_GB2312" w:cs="仿宋_GB2312"/>
                <w:b/>
                <w:caps/>
                <w:color w:val="auto"/>
                <w:szCs w:val="21"/>
                <w:highlight w:val="none"/>
              </w:rPr>
              <w:t>/</w:t>
            </w:r>
            <w:r>
              <w:rPr>
                <w:rFonts w:hint="eastAsia" w:ascii="仿宋_GB2312" w:hAnsi="仿宋_GB2312" w:eastAsia="仿宋_GB2312" w:cs="仿宋_GB2312"/>
                <w:color w:val="auto"/>
                <w:szCs w:val="21"/>
                <w:highlight w:val="none"/>
              </w:rPr>
              <w:t>×</w:t>
            </w:r>
            <w:r>
              <w:rPr>
                <w:rFonts w:hint="eastAsia" w:ascii="仿宋_GB2312" w:hAnsi="仿宋_GB2312" w:eastAsia="仿宋_GB2312" w:cs="仿宋_GB2312"/>
                <w:b/>
                <w:caps/>
                <w:color w:val="auto"/>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jc w:val="center"/>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响应文件签署盖章</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按磋商文件格式要求加盖了供应商公章和有法定代表人或其授权代表签字或加盖人名章。</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jc w:val="center"/>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报价</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jc w:val="center"/>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附加条件</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jc w:val="center"/>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公平竞争</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弄虚作假、相互串通的情形见附注</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numPr>
                <w:ilvl w:val="0"/>
                <w:numId w:val="12"/>
              </w:numPr>
              <w:tabs>
                <w:tab w:val="left" w:pos="1260"/>
                <w:tab w:val="left" w:pos="1620"/>
              </w:tabs>
              <w:adjustRightInd w:val="0"/>
              <w:snapToGrid w:val="0"/>
              <w:jc w:val="center"/>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其他无效情形</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Cs w:val="21"/>
                <w:highlight w:val="none"/>
              </w:rPr>
              <w:t>无法律、法规和磋商文件规定的其他无效情形；</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响应文件有效期</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有效期满足磋商文件要求的；</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响应文件格式</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响应文件按规定的格式填写，内容完整且关键字迹清晰；</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备选方案</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strike/>
                <w:color w:val="auto"/>
                <w:szCs w:val="21"/>
                <w:highlight w:val="none"/>
              </w:rPr>
            </w:pPr>
            <w:r>
              <w:rPr>
                <w:rFonts w:hint="eastAsia" w:ascii="仿宋_GB2312" w:hAnsi="仿宋_GB2312" w:eastAsia="仿宋_GB2312" w:cs="仿宋_GB2312"/>
                <w:color w:val="auto"/>
                <w:szCs w:val="21"/>
                <w:highlight w:val="none"/>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响应文件内容</w:t>
            </w:r>
          </w:p>
        </w:tc>
        <w:tc>
          <w:tcPr>
            <w:tcW w:w="5401" w:type="dxa"/>
            <w:shd w:val="clear" w:color="auto" w:fill="auto"/>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供应商提供的货物</w:t>
            </w:r>
            <w:r>
              <w:rPr>
                <w:rFonts w:hint="eastAsia" w:ascii="仿宋_GB2312" w:hAnsi="仿宋_GB2312" w:eastAsia="仿宋_GB2312" w:cs="仿宋_GB2312"/>
                <w:color w:val="auto"/>
                <w:szCs w:val="21"/>
                <w:highlight w:val="none"/>
                <w:lang w:val="en-US" w:eastAsia="zh-CN"/>
              </w:rPr>
              <w:t>或服务</w:t>
            </w:r>
            <w:r>
              <w:rPr>
                <w:rFonts w:hint="eastAsia" w:ascii="仿宋_GB2312" w:hAnsi="仿宋_GB2312" w:eastAsia="仿宋_GB2312" w:cs="仿宋_GB2312"/>
                <w:color w:val="auto"/>
                <w:szCs w:val="21"/>
                <w:highlight w:val="none"/>
              </w:rPr>
              <w:t>无实质性遗漏</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技术响应</w:t>
            </w:r>
          </w:p>
        </w:tc>
        <w:tc>
          <w:tcPr>
            <w:tcW w:w="5401" w:type="dxa"/>
            <w:shd w:val="clear" w:color="auto" w:fill="auto"/>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符合“采购需求”要求，无重大偏差</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iCs/>
                <w:color w:val="auto"/>
                <w:szCs w:val="21"/>
                <w:highlight w:val="none"/>
              </w:rPr>
            </w:pPr>
            <w:r>
              <w:rPr>
                <w:rFonts w:hint="eastAsia" w:ascii="仿宋_GB2312" w:hAnsi="仿宋_GB2312" w:eastAsia="仿宋_GB2312" w:cs="仿宋_GB2312"/>
                <w:iCs/>
                <w:color w:val="auto"/>
                <w:szCs w:val="21"/>
                <w:highlight w:val="none"/>
              </w:rPr>
              <w:t>服务期和服务地点</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iCs/>
                <w:color w:val="auto"/>
                <w:szCs w:val="21"/>
                <w:highlight w:val="none"/>
              </w:rPr>
            </w:pPr>
            <w:r>
              <w:rPr>
                <w:rFonts w:hint="eastAsia" w:ascii="仿宋_GB2312" w:hAnsi="仿宋_GB2312" w:eastAsia="仿宋_GB2312" w:cs="仿宋_GB2312"/>
                <w:iCs/>
                <w:color w:val="auto"/>
                <w:szCs w:val="21"/>
                <w:highlight w:val="none"/>
              </w:rPr>
              <w:t>满足磋商文件要求；</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iCs/>
                <w:color w:val="auto"/>
                <w:szCs w:val="21"/>
                <w:highlight w:val="none"/>
              </w:rPr>
            </w:pPr>
            <w:r>
              <w:rPr>
                <w:rFonts w:hint="eastAsia" w:ascii="仿宋_GB2312" w:hAnsi="仿宋_GB2312" w:eastAsia="仿宋_GB2312" w:cs="仿宋_GB2312"/>
                <w:iCs/>
                <w:color w:val="auto"/>
                <w:szCs w:val="21"/>
                <w:highlight w:val="none"/>
              </w:rPr>
              <w:t>付款方式</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iCs/>
                <w:color w:val="auto"/>
                <w:szCs w:val="21"/>
                <w:highlight w:val="none"/>
              </w:rPr>
            </w:pPr>
            <w:r>
              <w:rPr>
                <w:rFonts w:hint="eastAsia" w:ascii="仿宋_GB2312" w:hAnsi="仿宋_GB2312" w:eastAsia="仿宋_GB2312" w:cs="仿宋_GB2312"/>
                <w:iCs/>
                <w:color w:val="auto"/>
                <w:szCs w:val="21"/>
                <w:highlight w:val="none"/>
              </w:rPr>
              <w:t>磋商文件不允许偏差时，响应文件无负偏差；</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564" w:type="dxa"/>
            <w:gridSpan w:val="2"/>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b/>
                <w:color w:val="auto"/>
                <w:szCs w:val="21"/>
                <w:highlight w:val="none"/>
              </w:rPr>
              <w:t>结论（通过或未通过）</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bl>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注：1、符合磋商文件要求用“○”表示，不符合用“×”表示。有一项不符合要求，结论为不合格。</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2、有下列情形之一的，视为供应商相互串通：</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（1）不同供应商的响应文件由同一单位或者个人编制；</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（2）不同供应商委托同一单位或者个人办理参与磋商事宜；</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（4）不同供应商的响应文件异常一致或者报价呈规律性差异；</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（5）不同供应商的响应文件相互混装；</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（6）不同供应商的磋商保证金从同一单位或者个人的账户转出。</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3、有下列情形之一的，属于提供虚假材料谋取成交的行为：</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（1）使用伪造、变造的许可证件；</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（2）提供虚假的财务状况或者业绩；</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（3）提供虚假的项目负责人或者主要技术人员简历、劳动关系证明；</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（4）提供虚假的信用状况；</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（5）其他弄虚作假的行为。</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br w:type="page"/>
      </w:r>
    </w:p>
    <w:p>
      <w:pPr>
        <w:jc w:val="center"/>
        <w:rPr>
          <w:rFonts w:ascii="仿宋_GB2312" w:hAnsi="仿宋_GB2312" w:eastAsia="仿宋_GB2312" w:cs="仿宋_GB2312"/>
          <w:b/>
          <w:color w:val="auto"/>
          <w:sz w:val="30"/>
          <w:szCs w:val="30"/>
          <w:highlight w:val="none"/>
        </w:rPr>
      </w:pPr>
      <w:bookmarkStart w:id="408" w:name="_Toc414446034"/>
      <w:bookmarkStart w:id="409" w:name="_Toc7005048"/>
      <w:bookmarkStart w:id="410" w:name="_Toc410631198"/>
      <w:r>
        <w:rPr>
          <w:rFonts w:hint="eastAsia" w:ascii="仿宋_GB2312" w:hAnsi="仿宋_GB2312" w:eastAsia="仿宋_GB2312" w:cs="仿宋_GB2312"/>
          <w:b/>
          <w:color w:val="auto"/>
          <w:sz w:val="30"/>
          <w:szCs w:val="30"/>
          <w:highlight w:val="none"/>
        </w:rPr>
        <w:t>附表三 评审因素及分值分配表</w:t>
      </w:r>
      <w:bookmarkEnd w:id="408"/>
      <w:bookmarkEnd w:id="409"/>
      <w:bookmarkEnd w:id="410"/>
    </w:p>
    <w:p>
      <w:pPr>
        <w:tabs>
          <w:tab w:val="left" w:pos="-94"/>
          <w:tab w:val="left" w:pos="1620"/>
        </w:tabs>
        <w:adjustRightInd w:val="0"/>
        <w:spacing w:line="360" w:lineRule="auto"/>
        <w:ind w:left="23" w:leftChars="11"/>
        <w:jc w:val="center"/>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（满分100分）</w:t>
      </w:r>
    </w:p>
    <w:p>
      <w:pPr>
        <w:tabs>
          <w:tab w:val="left" w:pos="-94"/>
          <w:tab w:val="left" w:pos="1620"/>
        </w:tabs>
        <w:adjustRightInd w:val="0"/>
        <w:spacing w:line="360" w:lineRule="auto"/>
        <w:ind w:left="23" w:leftChars="11"/>
        <w:jc w:val="center"/>
        <w:textAlignment w:val="baseline"/>
        <w:rPr>
          <w:rFonts w:ascii="仿宋_GB2312" w:hAnsi="仿宋_GB2312" w:eastAsia="仿宋_GB2312" w:cs="仿宋_GB2312"/>
          <w:b/>
          <w:color w:val="auto"/>
          <w:szCs w:val="21"/>
          <w:highlight w:val="none"/>
        </w:rPr>
      </w:pPr>
    </w:p>
    <w:tbl>
      <w:tblPr>
        <w:tblStyle w:val="50"/>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907"/>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w:t>
            </w:r>
          </w:p>
          <w:p>
            <w:pPr>
              <w:adjustRightInd w:val="0"/>
              <w:snapToGrid w:val="0"/>
              <w:spacing w:line="336"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因素</w:t>
            </w:r>
          </w:p>
        </w:tc>
        <w:tc>
          <w:tcPr>
            <w:tcW w:w="907" w:type="dxa"/>
            <w:tcBorders>
              <w:top w:val="single" w:color="auto" w:sz="4" w:space="0"/>
              <w:left w:val="single" w:color="auto" w:sz="4" w:space="0"/>
              <w:right w:val="single" w:color="auto" w:sz="4" w:space="0"/>
            </w:tcBorders>
            <w:vAlign w:val="center"/>
          </w:tcPr>
          <w:p>
            <w:pPr>
              <w:adjustRightInd w:val="0"/>
              <w:snapToGrid w:val="0"/>
              <w:spacing w:line="336"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权值%</w:t>
            </w:r>
          </w:p>
        </w:tc>
        <w:tc>
          <w:tcPr>
            <w:tcW w:w="7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价格</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7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满足磋商文件要求且最后报价最低的供应商的价格为磋商基准价，其价格分为满分。其他供应商的价格分统一按照下列公式计算：磋商报价得分=（磋商基准价/最后磋商报价）×价格权值；</w:t>
            </w:r>
          </w:p>
          <w:p>
            <w:pPr>
              <w:adjustRightInd w:val="0"/>
              <w:snapToGrid w:val="0"/>
              <w:spacing w:line="360" w:lineRule="auto"/>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符合磋商文件规定的小微企业、监狱企业、残疾人福利性单位优惠条件的供应商，价格给予</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合同草案条款</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7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经过资格审查合格的供应商，磋商响应文件中对</w:t>
            </w:r>
            <w:r>
              <w:rPr>
                <w:rFonts w:hint="eastAsia" w:ascii="仿宋" w:hAnsi="仿宋" w:eastAsia="仿宋" w:cs="仿宋"/>
                <w:color w:val="auto"/>
                <w:sz w:val="24"/>
                <w:szCs w:val="24"/>
                <w:highlight w:val="none"/>
                <w:lang w:val="en-US" w:eastAsia="zh-CN"/>
              </w:rPr>
              <w:t>服务内容、服务目标、服务方式、</w:t>
            </w:r>
            <w:r>
              <w:rPr>
                <w:rFonts w:hint="eastAsia" w:ascii="仿宋" w:hAnsi="仿宋" w:eastAsia="仿宋" w:cs="仿宋"/>
                <w:color w:val="auto"/>
                <w:sz w:val="24"/>
                <w:szCs w:val="24"/>
                <w:highlight w:val="none"/>
              </w:rPr>
              <w:t>服务期限、付款、</w:t>
            </w:r>
            <w:r>
              <w:rPr>
                <w:rFonts w:hint="eastAsia" w:ascii="仿宋" w:hAnsi="仿宋" w:eastAsia="仿宋" w:cs="仿宋"/>
                <w:color w:val="auto"/>
                <w:sz w:val="24"/>
                <w:szCs w:val="24"/>
                <w:highlight w:val="none"/>
                <w:lang w:val="en-US" w:eastAsia="zh-CN"/>
              </w:rPr>
              <w:t>售后</w:t>
            </w:r>
            <w:r>
              <w:rPr>
                <w:rFonts w:hint="eastAsia" w:ascii="仿宋" w:hAnsi="仿宋" w:eastAsia="仿宋" w:cs="仿宋"/>
                <w:color w:val="auto"/>
                <w:sz w:val="24"/>
                <w:szCs w:val="24"/>
                <w:highlight w:val="none"/>
              </w:rPr>
              <w:t>服务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安全生产、保密、技术成果归属、验收要求</w:t>
            </w:r>
            <w:r>
              <w:rPr>
                <w:rFonts w:hint="eastAsia" w:ascii="仿宋" w:hAnsi="仿宋" w:eastAsia="仿宋" w:cs="仿宋"/>
                <w:color w:val="auto"/>
                <w:sz w:val="24"/>
                <w:szCs w:val="24"/>
                <w:highlight w:val="none"/>
              </w:rPr>
              <w:t>等</w:t>
            </w:r>
            <w:r>
              <w:rPr>
                <w:rFonts w:hint="eastAsia" w:ascii="仿宋" w:hAnsi="仿宋" w:eastAsia="仿宋" w:cs="仿宋"/>
                <w:color w:val="auto"/>
                <w:sz w:val="24"/>
                <w:szCs w:val="24"/>
                <w:highlight w:val="none"/>
                <w:lang w:val="en-US" w:eastAsia="zh-CN"/>
              </w:rPr>
              <w:t>10个</w:t>
            </w:r>
            <w:r>
              <w:rPr>
                <w:rFonts w:hint="eastAsia" w:ascii="仿宋" w:hAnsi="仿宋" w:eastAsia="仿宋" w:cs="仿宋"/>
                <w:color w:val="auto"/>
                <w:sz w:val="24"/>
                <w:szCs w:val="24"/>
                <w:highlight w:val="none"/>
              </w:rPr>
              <w:t>方面进行响应说明，按其响应程度</w:t>
            </w:r>
            <w:r>
              <w:rPr>
                <w:rFonts w:hint="eastAsia" w:ascii="仿宋" w:hAnsi="仿宋" w:eastAsia="仿宋" w:cs="仿宋"/>
                <w:color w:val="auto"/>
                <w:sz w:val="24"/>
                <w:szCs w:val="24"/>
                <w:highlight w:val="none"/>
                <w:lang w:val="en-US" w:eastAsia="zh-CN"/>
              </w:rPr>
              <w:t>逐项</w:t>
            </w:r>
            <w:r>
              <w:rPr>
                <w:rFonts w:hint="eastAsia" w:ascii="仿宋" w:hAnsi="仿宋" w:eastAsia="仿宋" w:cs="仿宋"/>
                <w:color w:val="auto"/>
                <w:sz w:val="24"/>
                <w:szCs w:val="24"/>
                <w:highlight w:val="none"/>
              </w:rPr>
              <w:t>计</w:t>
            </w:r>
            <w:r>
              <w:rPr>
                <w:rFonts w:hint="eastAsia" w:ascii="仿宋" w:hAnsi="仿宋" w:eastAsia="仿宋" w:cs="仿宋"/>
                <w:color w:val="auto"/>
                <w:sz w:val="24"/>
                <w:szCs w:val="24"/>
                <w:highlight w:val="none"/>
                <w:lang w:val="en-US" w:eastAsia="zh-CN"/>
              </w:rPr>
              <w:t>分，每项0</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1分，小计</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分。无响应的不计分。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技术方</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val="zh-CN"/>
              </w:rPr>
              <w:t>案</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42</w:t>
            </w:r>
          </w:p>
        </w:tc>
        <w:tc>
          <w:tcPr>
            <w:tcW w:w="7196" w:type="dxa"/>
            <w:tcBorders>
              <w:top w:val="single" w:color="auto" w:sz="4" w:space="0"/>
              <w:left w:val="single" w:color="auto" w:sz="4" w:space="0"/>
              <w:bottom w:val="single" w:color="auto" w:sz="4" w:space="0"/>
              <w:right w:val="single" w:color="auto" w:sz="4" w:space="0"/>
            </w:tcBorders>
            <w:vAlign w:val="center"/>
          </w:tcPr>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1、提供本项目总体服务方案，方案内容涵盖本项目全部内容（总体实施方案全面、详细完整、操作性强、细节考虑到位。技术要求满足采购人需求，按其响应程度计0～5分；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2、针对本项目的设备运行维护方案，根据响应程度计0～5分。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3、供应商拟投入运行、维护、维修、测试、安全防护设备，根据满足该项目技术工作需求程度计0～5分。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4、组织机构及技术管理人员（组织机构设置合理，能够统筹整体项目进展、质量控制和应急事件管理，保障监督服务过程规范执行），根据响应程度计0～5分。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5、运行维护技术服务方案规范合理可行，对该项目的运维目标、重点、运维特点理解到位，工作安排详细且具有实质内容，根据响应程度计0～5分。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6、提供本项目工作进度安排方案，确保合理有效完成各时间节点对应的工作内容，根据响应程度计0～5分。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7、针对本项目可能发生的突发事件具有成熟的应急方案及措施，具体明确，内容完整，可操作性强，根据响应程度计0～5分。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8、根据本项目特点为本项目提供合理化建议，根据措施及建议合理可行程度计0～5分。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9、供应商针对本项目提供运维质量考核方案，方案完善、合理、可行，根据响应程度计0-2分。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人员配 备</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7196" w:type="dxa"/>
            <w:tcBorders>
              <w:top w:val="single" w:color="auto" w:sz="4" w:space="0"/>
              <w:left w:val="single" w:color="auto" w:sz="4" w:space="0"/>
              <w:bottom w:val="single" w:color="auto" w:sz="4" w:space="0"/>
              <w:right w:val="single" w:color="auto" w:sz="4" w:space="0"/>
            </w:tcBorders>
            <w:vAlign w:val="center"/>
          </w:tcPr>
          <w:p>
            <w:pPr>
              <w:pStyle w:val="16"/>
              <w:numPr>
                <w:ilvl w:val="0"/>
                <w:numId w:val="0"/>
              </w:numPr>
              <w:spacing w:line="360" w:lineRule="auto"/>
              <w:ind w:firstLine="480" w:firstLineChars="20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1、提供拟派项目负责人要求大学本科以上学历，根据其专业程度、执业年限、工作经历、业绩等，提供相关证明材料，根据响应程度计0～5分。</w:t>
            </w:r>
          </w:p>
          <w:p>
            <w:pPr>
              <w:pStyle w:val="16"/>
              <w:numPr>
                <w:ilvl w:val="0"/>
                <w:numId w:val="0"/>
              </w:numPr>
              <w:spacing w:line="360" w:lineRule="auto"/>
              <w:ind w:firstLine="480" w:firstLineChars="20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技术队伍配备合理，涉及该项目工作各领域的其他专业技术人员配备充足。要求配备3个以上水利类专业技术人员（至少配备1个水利工程类、1个水资源类、1个其他水利类专业技术人员）；1个以上通信信息技术类专业技术人员，满足一项计1分，小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保障措施</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w:t>
            </w:r>
          </w:p>
        </w:tc>
        <w:tc>
          <w:tcPr>
            <w:tcW w:w="7196" w:type="dxa"/>
            <w:tcBorders>
              <w:top w:val="single" w:color="auto" w:sz="4" w:space="0"/>
              <w:left w:val="single" w:color="auto" w:sz="4" w:space="0"/>
              <w:bottom w:val="single" w:color="auto" w:sz="4" w:space="0"/>
              <w:right w:val="single" w:color="auto" w:sz="4" w:space="0"/>
            </w:tcBorders>
            <w:vAlign w:val="center"/>
          </w:tcPr>
          <w:p>
            <w:pPr>
              <w:pStyle w:val="16"/>
              <w:numPr>
                <w:ilvl w:val="0"/>
                <w:numId w:val="0"/>
              </w:num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1.服务质量保证措施（5分）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结合本项目实际情况，有详细完整的服务质量保证措施，措施详细完整、可行性、针对性强，能确保项目服务质量的得5分；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结合本项目实际情况，有详细完整的服务质量保证措施，措施详细完整，有一定得可行性及针对性的得4分；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保障措施基本完整、符合项目实际需求，且基本合理、可行的得3分；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保障措施基本完整，但可行性、针对性较差的得2分；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保障措施措施简单、有较大的不合理性、可行性的得1分；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未提供或不能确保项目服务要求的不得分；</w:t>
            </w:r>
          </w:p>
          <w:p>
            <w:pPr>
              <w:pStyle w:val="16"/>
              <w:numPr>
                <w:ilvl w:val="0"/>
                <w:numId w:val="0"/>
              </w:num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2.工作人员人身安全保障措施（5分）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有详细完整的工作人员人身安全保障措施，措施详细完整、可行性、针对性强，能确保人员人身安全得的得5分；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保障措施全面完整、有一定可行性、合理性的得4分；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保障措施较全面、完整，基本合理可行的得3分；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保障措施基本全面、完整，但可行性较差的得2分；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保障措施简单笼统且保障措施存在不合理性的得1分；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未提供不得分。</w:t>
            </w:r>
          </w:p>
          <w:p>
            <w:pPr>
              <w:pStyle w:val="16"/>
              <w:numPr>
                <w:ilvl w:val="0"/>
                <w:numId w:val="0"/>
              </w:num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3.出现突发状况或问题后的补救措施（5分）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对于项目可能出现突发状况考虑全面且相应的应急补救措施明确、切实可行的得5分；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对于项目可能出现突发状况考虑全面，相应的应急补救措施较明确、有一定可行性的得4分；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对于项目可能出现突发状况考虑基本全面，相应的应急补救措施基本可行的得3分；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对于项目可能出现突发状况考虑基本全面，但对考虑到的突发状况相应的应急补救措施可行性较差的得2分；</w:t>
            </w:r>
          </w:p>
          <w:p>
            <w:pPr>
              <w:pStyle w:val="16"/>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对于项目可能出现突发状况考虑简单、不全面且应急补救措施可行性差的得1分；</w:t>
            </w:r>
          </w:p>
          <w:p>
            <w:pPr>
              <w:pStyle w:val="16"/>
              <w:numPr>
                <w:ilvl w:val="0"/>
                <w:numId w:val="0"/>
              </w:numPr>
              <w:spacing w:line="360" w:lineRule="auto"/>
              <w:ind w:firstLine="480" w:firstLineChars="20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lang w:val="en-US"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zh-CN" w:eastAsia="zh-CN"/>
              </w:rPr>
              <w:t>业</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val="zh-CN" w:eastAsia="zh-CN"/>
              </w:rPr>
              <w:t>绩</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w:t>
            </w:r>
          </w:p>
        </w:tc>
        <w:tc>
          <w:tcPr>
            <w:tcW w:w="7196" w:type="dxa"/>
            <w:tcBorders>
              <w:top w:val="single" w:color="auto" w:sz="4" w:space="0"/>
              <w:left w:val="single" w:color="auto" w:sz="4" w:space="0"/>
              <w:bottom w:val="single" w:color="auto" w:sz="4" w:space="0"/>
              <w:right w:val="single" w:color="auto" w:sz="4" w:space="0"/>
            </w:tcBorders>
            <w:vAlign w:val="center"/>
          </w:tcPr>
          <w:p>
            <w:pPr>
              <w:pStyle w:val="16"/>
              <w:numPr>
                <w:ilvl w:val="0"/>
                <w:numId w:val="0"/>
              </w:numPr>
              <w:spacing w:line="360" w:lineRule="auto"/>
              <w:ind w:left="0" w:leftChars="0" w:firstLine="480" w:firstLineChars="20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zh-CN" w:eastAsia="zh-CN" w:bidi="ar-SA"/>
              </w:rPr>
              <w:t>供应商具有类似项目业绩，磋商响应文件中附有说明其业绩证明材料，每个业绩计</w:t>
            </w:r>
            <w:r>
              <w:rPr>
                <w:rFonts w:hint="eastAsia" w:ascii="仿宋" w:hAnsi="仿宋" w:eastAsia="仿宋" w:cs="仿宋"/>
                <w:color w:val="auto"/>
                <w:kern w:val="0"/>
                <w:sz w:val="24"/>
                <w:szCs w:val="24"/>
                <w:highlight w:val="none"/>
                <w:lang w:val="en-US" w:eastAsia="zh-CN" w:bidi="ar-SA"/>
              </w:rPr>
              <w:t>1</w:t>
            </w:r>
            <w:r>
              <w:rPr>
                <w:rFonts w:hint="eastAsia" w:ascii="仿宋" w:hAnsi="仿宋" w:eastAsia="仿宋" w:cs="仿宋"/>
                <w:color w:val="auto"/>
                <w:kern w:val="0"/>
                <w:sz w:val="24"/>
                <w:szCs w:val="24"/>
                <w:highlight w:val="none"/>
                <w:lang w:val="zh-CN" w:eastAsia="zh-CN" w:bidi="ar-SA"/>
              </w:rPr>
              <w:t>分，最高</w:t>
            </w:r>
            <w:r>
              <w:rPr>
                <w:rFonts w:hint="eastAsia" w:ascii="仿宋" w:hAnsi="仿宋" w:eastAsia="仿宋" w:cs="仿宋"/>
                <w:color w:val="auto"/>
                <w:kern w:val="0"/>
                <w:sz w:val="24"/>
                <w:szCs w:val="24"/>
                <w:highlight w:val="none"/>
                <w:lang w:val="en-US" w:eastAsia="zh-CN" w:bidi="ar-SA"/>
              </w:rPr>
              <w:t>5</w:t>
            </w:r>
            <w:r>
              <w:rPr>
                <w:rFonts w:hint="eastAsia" w:ascii="仿宋" w:hAnsi="仿宋" w:eastAsia="仿宋" w:cs="仿宋"/>
                <w:color w:val="auto"/>
                <w:kern w:val="0"/>
                <w:sz w:val="24"/>
                <w:szCs w:val="24"/>
                <w:highlight w:val="none"/>
                <w:lang w:val="zh-CN" w:eastAsia="zh-CN" w:bidi="ar-SA"/>
              </w:rPr>
              <w:t>分。（合同原件或复印件加盖公章）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pStyle w:val="24"/>
              <w:tabs>
                <w:tab w:val="left" w:pos="600"/>
              </w:tabs>
              <w:ind w:firstLine="0"/>
              <w:jc w:val="center"/>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en-US" w:eastAsia="zh-CN" w:bidi="ar-SA"/>
              </w:rPr>
              <w:t>信 誉</w:t>
            </w:r>
          </w:p>
        </w:tc>
        <w:tc>
          <w:tcPr>
            <w:tcW w:w="907" w:type="dxa"/>
            <w:tcBorders>
              <w:top w:val="single" w:color="auto" w:sz="4" w:space="0"/>
              <w:left w:val="single" w:color="auto" w:sz="4" w:space="0"/>
              <w:bottom w:val="single" w:color="auto" w:sz="4" w:space="0"/>
              <w:right w:val="single" w:color="auto" w:sz="4" w:space="0"/>
            </w:tcBorders>
            <w:vAlign w:val="center"/>
          </w:tcPr>
          <w:p>
            <w:pPr>
              <w:pStyle w:val="24"/>
              <w:tabs>
                <w:tab w:val="left" w:pos="600"/>
              </w:tabs>
              <w:ind w:firstLine="0" w:firstLineChars="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w:t>
            </w:r>
          </w:p>
        </w:tc>
        <w:tc>
          <w:tcPr>
            <w:tcW w:w="7196" w:type="dxa"/>
            <w:tcBorders>
              <w:top w:val="single" w:color="auto" w:sz="4" w:space="0"/>
              <w:left w:val="single" w:color="auto" w:sz="4" w:space="0"/>
              <w:bottom w:val="single" w:color="auto" w:sz="4" w:space="0"/>
              <w:right w:val="single" w:color="auto" w:sz="4" w:space="0"/>
            </w:tcBorders>
            <w:vAlign w:val="center"/>
          </w:tcPr>
          <w:p>
            <w:pPr>
              <w:pStyle w:val="24"/>
              <w:tabs>
                <w:tab w:val="left" w:pos="600"/>
              </w:tabs>
              <w:ind w:firstLine="480" w:firstLineChars="200"/>
              <w:jc w:val="left"/>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en-US" w:eastAsia="zh-CN" w:bidi="ar-SA"/>
              </w:rPr>
              <w:t>以供应商近五年类似项目（水利信息化、水利工程运行维护等）业主评价意见。具有一个良好以上评价的得1分。最高3分。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pStyle w:val="24"/>
              <w:tabs>
                <w:tab w:val="left" w:pos="600"/>
              </w:tabs>
              <w:spacing w:line="400" w:lineRule="exact"/>
              <w:ind w:firstLine="0"/>
              <w:jc w:val="center"/>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节能环保</w:t>
            </w:r>
          </w:p>
          <w:p>
            <w:pPr>
              <w:pStyle w:val="24"/>
              <w:tabs>
                <w:tab w:val="left" w:pos="600"/>
              </w:tabs>
              <w:spacing w:line="400" w:lineRule="exact"/>
              <w:ind w:firstLine="0"/>
              <w:jc w:val="center"/>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产品</w:t>
            </w:r>
          </w:p>
          <w:p>
            <w:pPr>
              <w:adjustRightInd w:val="0"/>
              <w:snapToGrid w:val="0"/>
              <w:spacing w:line="276" w:lineRule="auto"/>
              <w:jc w:val="center"/>
              <w:rPr>
                <w:rFonts w:hint="eastAsia" w:ascii="仿宋" w:hAnsi="仿宋" w:eastAsia="仿宋" w:cs="仿宋"/>
                <w:color w:val="auto"/>
                <w:kern w:val="2"/>
                <w:sz w:val="24"/>
                <w:szCs w:val="24"/>
                <w:highlight w:val="none"/>
                <w:lang w:val="zh-CN" w:eastAsia="zh-CN" w:bidi="ar-SA"/>
              </w:rPr>
            </w:pPr>
          </w:p>
        </w:tc>
        <w:tc>
          <w:tcPr>
            <w:tcW w:w="907" w:type="dxa"/>
            <w:tcBorders>
              <w:top w:val="single" w:color="auto" w:sz="4" w:space="0"/>
              <w:left w:val="single" w:color="auto" w:sz="4" w:space="0"/>
              <w:bottom w:val="single" w:color="auto" w:sz="4" w:space="0"/>
              <w:right w:val="single" w:color="auto" w:sz="4" w:space="0"/>
            </w:tcBorders>
            <w:vAlign w:val="center"/>
          </w:tcPr>
          <w:p>
            <w:pPr>
              <w:pStyle w:val="24"/>
              <w:tabs>
                <w:tab w:val="left" w:pos="600"/>
              </w:tabs>
              <w:ind w:firstLine="0" w:firstLineChars="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w:t>
            </w:r>
          </w:p>
        </w:tc>
        <w:tc>
          <w:tcPr>
            <w:tcW w:w="7196" w:type="dxa"/>
            <w:tcBorders>
              <w:top w:val="single" w:color="auto" w:sz="4" w:space="0"/>
              <w:left w:val="single" w:color="auto" w:sz="4" w:space="0"/>
              <w:bottom w:val="single" w:color="auto" w:sz="4" w:space="0"/>
              <w:right w:val="single" w:color="auto" w:sz="4" w:space="0"/>
            </w:tcBorders>
            <w:vAlign w:val="center"/>
          </w:tcPr>
          <w:p>
            <w:pPr>
              <w:pStyle w:val="24"/>
              <w:tabs>
                <w:tab w:val="left" w:pos="600"/>
              </w:tabs>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所投产品认定为节能产品、环保产品的每种产品得0.5分，最高得1分；既是节能产品又是环保产品可同时得分，非节能、环保产品的不得分。属于强制采购的节能产品，不再给予加分。</w:t>
            </w:r>
          </w:p>
          <w:p>
            <w:pPr>
              <w:pStyle w:val="24"/>
              <w:tabs>
                <w:tab w:val="left" w:pos="600"/>
              </w:tabs>
              <w:ind w:firstLine="480" w:firstLineChars="200"/>
              <w:jc w:val="left"/>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en-US" w:eastAsia="zh-CN" w:bidi="ar-SA"/>
              </w:rPr>
              <w:t>注：节能产品环境标志产品为品目清单中产品并取得认证证书，且在有效期内。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服务承诺</w:t>
            </w:r>
          </w:p>
          <w:p>
            <w:pPr>
              <w:adjustRightInd w:val="0"/>
              <w:snapToGrid w:val="0"/>
              <w:spacing w:line="276" w:lineRule="auto"/>
              <w:jc w:val="center"/>
              <w:rPr>
                <w:rFonts w:hint="eastAsia" w:ascii="仿宋" w:hAnsi="仿宋" w:eastAsia="仿宋" w:cs="仿宋"/>
                <w:color w:val="auto"/>
                <w:kern w:val="2"/>
                <w:sz w:val="24"/>
                <w:szCs w:val="24"/>
                <w:highlight w:val="none"/>
                <w:lang w:val="zh-CN" w:eastAsia="zh-CN" w:bidi="ar-SA"/>
              </w:rPr>
            </w:pP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w:t>
            </w:r>
          </w:p>
        </w:tc>
        <w:tc>
          <w:tcPr>
            <w:tcW w:w="7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40" w:rightChars="-19"/>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zh-CN" w:eastAsia="zh-CN" w:bidi="ar-SA"/>
              </w:rPr>
              <w:t>1.对采购内容的相关技术质量、进度要求、时限要求等做出承诺。(</w:t>
            </w:r>
            <w:r>
              <w:rPr>
                <w:rFonts w:hint="eastAsia" w:ascii="仿宋" w:hAnsi="仿宋" w:eastAsia="仿宋" w:cs="仿宋"/>
                <w:color w:val="auto"/>
                <w:kern w:val="0"/>
                <w:sz w:val="24"/>
                <w:szCs w:val="24"/>
                <w:highlight w:val="none"/>
                <w:lang w:val="en-US" w:eastAsia="zh-CN" w:bidi="ar-SA"/>
              </w:rPr>
              <w:t>2</w:t>
            </w:r>
            <w:r>
              <w:rPr>
                <w:rFonts w:hint="eastAsia" w:ascii="仿宋" w:hAnsi="仿宋" w:eastAsia="仿宋" w:cs="仿宋"/>
                <w:color w:val="auto"/>
                <w:kern w:val="0"/>
                <w:sz w:val="24"/>
                <w:szCs w:val="24"/>
                <w:highlight w:val="none"/>
                <w:lang w:val="zh-CN" w:eastAsia="zh-CN" w:bidi="ar-SA"/>
              </w:rPr>
              <w:t>分)</w:t>
            </w:r>
          </w:p>
          <w:p>
            <w:pPr>
              <w:adjustRightInd w:val="0"/>
              <w:snapToGrid w:val="0"/>
              <w:spacing w:line="360" w:lineRule="auto"/>
              <w:ind w:right="-40" w:rightChars="-19" w:firstLine="480" w:firstLineChars="200"/>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zh-CN" w:eastAsia="zh-CN" w:bidi="ar-SA"/>
              </w:rPr>
              <w:t>承诺全面且从多个角度明确地做出承诺，有可行性且满足项目需求的得</w:t>
            </w:r>
            <w:r>
              <w:rPr>
                <w:rFonts w:hint="eastAsia" w:ascii="仿宋" w:hAnsi="仿宋" w:eastAsia="仿宋" w:cs="仿宋"/>
                <w:color w:val="auto"/>
                <w:kern w:val="0"/>
                <w:sz w:val="24"/>
                <w:szCs w:val="24"/>
                <w:highlight w:val="none"/>
                <w:lang w:val="en-US" w:eastAsia="zh-CN" w:bidi="ar-SA"/>
              </w:rPr>
              <w:t>2</w:t>
            </w:r>
            <w:r>
              <w:rPr>
                <w:rFonts w:hint="eastAsia" w:ascii="仿宋" w:hAnsi="仿宋" w:eastAsia="仿宋" w:cs="仿宋"/>
                <w:color w:val="auto"/>
                <w:kern w:val="0"/>
                <w:sz w:val="24"/>
                <w:szCs w:val="24"/>
                <w:highlight w:val="none"/>
                <w:lang w:val="zh-CN" w:eastAsia="zh-CN" w:bidi="ar-SA"/>
              </w:rPr>
              <w:t>分；</w:t>
            </w:r>
          </w:p>
          <w:p>
            <w:pPr>
              <w:adjustRightInd w:val="0"/>
              <w:snapToGrid w:val="0"/>
              <w:spacing w:line="360" w:lineRule="auto"/>
              <w:ind w:right="-40" w:rightChars="-19" w:firstLine="480" w:firstLineChars="200"/>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zh-CN" w:eastAsia="zh-CN" w:bidi="ar-SA"/>
              </w:rPr>
              <w:t>承诺较全面，有可行性的得</w:t>
            </w:r>
            <w:r>
              <w:rPr>
                <w:rFonts w:hint="eastAsia" w:ascii="仿宋" w:hAnsi="仿宋" w:eastAsia="仿宋" w:cs="仿宋"/>
                <w:color w:val="auto"/>
                <w:kern w:val="0"/>
                <w:sz w:val="24"/>
                <w:szCs w:val="24"/>
                <w:highlight w:val="none"/>
                <w:lang w:val="en-US" w:eastAsia="zh-CN" w:bidi="ar-SA"/>
              </w:rPr>
              <w:t>1.5</w:t>
            </w:r>
            <w:r>
              <w:rPr>
                <w:rFonts w:hint="eastAsia" w:ascii="仿宋" w:hAnsi="仿宋" w:eastAsia="仿宋" w:cs="仿宋"/>
                <w:color w:val="auto"/>
                <w:kern w:val="0"/>
                <w:sz w:val="24"/>
                <w:szCs w:val="24"/>
                <w:highlight w:val="none"/>
                <w:lang w:val="zh-CN" w:eastAsia="zh-CN" w:bidi="ar-SA"/>
              </w:rPr>
              <w:t>分；</w:t>
            </w:r>
          </w:p>
          <w:p>
            <w:pPr>
              <w:adjustRightInd w:val="0"/>
              <w:snapToGrid w:val="0"/>
              <w:spacing w:line="360" w:lineRule="auto"/>
              <w:ind w:right="-40" w:rightChars="-19" w:firstLine="480" w:firstLineChars="200"/>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zh-CN" w:eastAsia="zh-CN" w:bidi="ar-SA"/>
              </w:rPr>
              <w:t>承诺较不全面但对承诺内容有可行性的</w:t>
            </w:r>
            <w:r>
              <w:rPr>
                <w:rFonts w:hint="eastAsia" w:ascii="仿宋" w:hAnsi="仿宋" w:eastAsia="仿宋" w:cs="仿宋"/>
                <w:color w:val="auto"/>
                <w:kern w:val="0"/>
                <w:sz w:val="24"/>
                <w:szCs w:val="24"/>
                <w:highlight w:val="none"/>
                <w:lang w:val="en-US" w:eastAsia="zh-CN" w:bidi="ar-SA"/>
              </w:rPr>
              <w:t>1</w:t>
            </w:r>
            <w:r>
              <w:rPr>
                <w:rFonts w:hint="eastAsia" w:ascii="仿宋" w:hAnsi="仿宋" w:eastAsia="仿宋" w:cs="仿宋"/>
                <w:color w:val="auto"/>
                <w:kern w:val="0"/>
                <w:sz w:val="24"/>
                <w:szCs w:val="24"/>
                <w:highlight w:val="none"/>
                <w:lang w:val="zh-CN" w:eastAsia="zh-CN" w:bidi="ar-SA"/>
              </w:rPr>
              <w:t>分；</w:t>
            </w:r>
          </w:p>
          <w:p>
            <w:pPr>
              <w:adjustRightInd w:val="0"/>
              <w:snapToGrid w:val="0"/>
              <w:spacing w:line="360" w:lineRule="auto"/>
              <w:ind w:right="-40" w:rightChars="-19" w:firstLine="480" w:firstLineChars="200"/>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zh-CN" w:eastAsia="zh-CN" w:bidi="ar-SA"/>
              </w:rPr>
              <w:t>承诺简单、不全面且承诺中存在较大不合理性的得</w:t>
            </w:r>
            <w:r>
              <w:rPr>
                <w:rFonts w:hint="eastAsia" w:ascii="仿宋" w:hAnsi="仿宋" w:eastAsia="仿宋" w:cs="仿宋"/>
                <w:color w:val="auto"/>
                <w:kern w:val="0"/>
                <w:sz w:val="24"/>
                <w:szCs w:val="24"/>
                <w:highlight w:val="none"/>
                <w:lang w:val="en-US" w:eastAsia="zh-CN" w:bidi="ar-SA"/>
              </w:rPr>
              <w:t>0.5</w:t>
            </w:r>
            <w:r>
              <w:rPr>
                <w:rFonts w:hint="eastAsia" w:ascii="仿宋" w:hAnsi="仿宋" w:eastAsia="仿宋" w:cs="仿宋"/>
                <w:color w:val="auto"/>
                <w:kern w:val="0"/>
                <w:sz w:val="24"/>
                <w:szCs w:val="24"/>
                <w:highlight w:val="none"/>
                <w:lang w:val="zh-CN" w:eastAsia="zh-CN" w:bidi="ar-SA"/>
              </w:rPr>
              <w:t>分；</w:t>
            </w:r>
          </w:p>
          <w:p>
            <w:pPr>
              <w:adjustRightInd w:val="0"/>
              <w:snapToGrid w:val="0"/>
              <w:spacing w:line="360" w:lineRule="auto"/>
              <w:ind w:right="-40" w:rightChars="-19" w:firstLine="480" w:firstLineChars="200"/>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zh-CN" w:eastAsia="zh-CN" w:bidi="ar-SA"/>
              </w:rPr>
              <w:t>未提供不得分。</w:t>
            </w:r>
          </w:p>
          <w:p>
            <w:pPr>
              <w:adjustRightInd w:val="0"/>
              <w:snapToGrid w:val="0"/>
              <w:spacing w:line="360" w:lineRule="auto"/>
              <w:ind w:right="-40" w:rightChars="-19"/>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zh-CN" w:eastAsia="zh-CN" w:bidi="ar-SA"/>
              </w:rPr>
              <w:t>2.供应商承诺成交后指定专业的服务人员为本次更新的设备进行维护，确保其能后续工作质量。（</w:t>
            </w:r>
            <w:r>
              <w:rPr>
                <w:rFonts w:hint="eastAsia" w:ascii="仿宋" w:hAnsi="仿宋" w:eastAsia="仿宋" w:cs="仿宋"/>
                <w:color w:val="auto"/>
                <w:kern w:val="0"/>
                <w:sz w:val="24"/>
                <w:szCs w:val="24"/>
                <w:highlight w:val="none"/>
                <w:lang w:val="en-US" w:eastAsia="zh-CN" w:bidi="ar-SA"/>
              </w:rPr>
              <w:t>2</w:t>
            </w:r>
            <w:r>
              <w:rPr>
                <w:rFonts w:hint="eastAsia" w:ascii="仿宋" w:hAnsi="仿宋" w:eastAsia="仿宋" w:cs="仿宋"/>
                <w:color w:val="auto"/>
                <w:kern w:val="0"/>
                <w:sz w:val="24"/>
                <w:szCs w:val="24"/>
                <w:highlight w:val="none"/>
                <w:lang w:val="zh-CN" w:eastAsia="zh-CN" w:bidi="ar-SA"/>
              </w:rPr>
              <w:t>分）</w:t>
            </w:r>
          </w:p>
          <w:p>
            <w:pPr>
              <w:adjustRightInd w:val="0"/>
              <w:snapToGrid w:val="0"/>
              <w:spacing w:line="360" w:lineRule="auto"/>
              <w:ind w:right="-40" w:rightChars="-19" w:firstLine="480" w:firstLineChars="200"/>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zh-CN" w:eastAsia="zh-CN" w:bidi="ar-SA"/>
              </w:rPr>
              <w:t>承诺全面且从多个角度明确地做出承诺，满足项目需求，可行性强的得</w:t>
            </w:r>
            <w:r>
              <w:rPr>
                <w:rFonts w:hint="eastAsia" w:ascii="仿宋" w:hAnsi="仿宋" w:eastAsia="仿宋" w:cs="仿宋"/>
                <w:color w:val="auto"/>
                <w:kern w:val="0"/>
                <w:sz w:val="24"/>
                <w:szCs w:val="24"/>
                <w:highlight w:val="none"/>
                <w:lang w:val="en-US" w:eastAsia="zh-CN" w:bidi="ar-SA"/>
              </w:rPr>
              <w:t>2</w:t>
            </w:r>
            <w:r>
              <w:rPr>
                <w:rFonts w:hint="eastAsia" w:ascii="仿宋" w:hAnsi="仿宋" w:eastAsia="仿宋" w:cs="仿宋"/>
                <w:color w:val="auto"/>
                <w:kern w:val="0"/>
                <w:sz w:val="24"/>
                <w:szCs w:val="24"/>
                <w:highlight w:val="none"/>
                <w:lang w:val="zh-CN" w:eastAsia="zh-CN" w:bidi="ar-SA"/>
              </w:rPr>
              <w:t>分；</w:t>
            </w:r>
          </w:p>
          <w:p>
            <w:pPr>
              <w:adjustRightInd w:val="0"/>
              <w:snapToGrid w:val="0"/>
              <w:spacing w:line="360" w:lineRule="auto"/>
              <w:ind w:right="-40" w:rightChars="-19" w:firstLine="480" w:firstLineChars="200"/>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zh-CN" w:eastAsia="zh-CN" w:bidi="ar-SA"/>
              </w:rPr>
              <w:t>承诺全面，有一定可行性的得</w:t>
            </w:r>
            <w:r>
              <w:rPr>
                <w:rFonts w:hint="eastAsia" w:ascii="仿宋" w:hAnsi="仿宋" w:eastAsia="仿宋" w:cs="仿宋"/>
                <w:color w:val="auto"/>
                <w:kern w:val="0"/>
                <w:sz w:val="24"/>
                <w:szCs w:val="24"/>
                <w:highlight w:val="none"/>
                <w:lang w:val="en-US" w:eastAsia="zh-CN" w:bidi="ar-SA"/>
              </w:rPr>
              <w:t>1.5</w:t>
            </w:r>
            <w:r>
              <w:rPr>
                <w:rFonts w:hint="eastAsia" w:ascii="仿宋" w:hAnsi="仿宋" w:eastAsia="仿宋" w:cs="仿宋"/>
                <w:color w:val="auto"/>
                <w:kern w:val="0"/>
                <w:sz w:val="24"/>
                <w:szCs w:val="24"/>
                <w:highlight w:val="none"/>
                <w:lang w:val="zh-CN" w:eastAsia="zh-CN" w:bidi="ar-SA"/>
              </w:rPr>
              <w:t>分；</w:t>
            </w:r>
          </w:p>
          <w:p>
            <w:pPr>
              <w:adjustRightInd w:val="0"/>
              <w:snapToGrid w:val="0"/>
              <w:spacing w:line="360" w:lineRule="auto"/>
              <w:ind w:right="-40" w:rightChars="-19" w:firstLine="480" w:firstLineChars="200"/>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zh-CN" w:eastAsia="zh-CN" w:bidi="ar-SA"/>
              </w:rPr>
              <w:t>承诺较不全面，但承诺内容有可行性的</w:t>
            </w:r>
            <w:r>
              <w:rPr>
                <w:rFonts w:hint="eastAsia" w:ascii="仿宋" w:hAnsi="仿宋" w:eastAsia="仿宋" w:cs="仿宋"/>
                <w:color w:val="auto"/>
                <w:kern w:val="0"/>
                <w:sz w:val="24"/>
                <w:szCs w:val="24"/>
                <w:highlight w:val="none"/>
                <w:lang w:val="en-US" w:eastAsia="zh-CN" w:bidi="ar-SA"/>
              </w:rPr>
              <w:t>1</w:t>
            </w:r>
            <w:r>
              <w:rPr>
                <w:rFonts w:hint="eastAsia" w:ascii="仿宋" w:hAnsi="仿宋" w:eastAsia="仿宋" w:cs="仿宋"/>
                <w:color w:val="auto"/>
                <w:kern w:val="0"/>
                <w:sz w:val="24"/>
                <w:szCs w:val="24"/>
                <w:highlight w:val="none"/>
                <w:lang w:val="zh-CN" w:eastAsia="zh-CN" w:bidi="ar-SA"/>
              </w:rPr>
              <w:t>分；</w:t>
            </w:r>
          </w:p>
          <w:p>
            <w:pPr>
              <w:adjustRightInd w:val="0"/>
              <w:snapToGrid w:val="0"/>
              <w:spacing w:line="360" w:lineRule="auto"/>
              <w:ind w:right="-40" w:rightChars="-19" w:firstLine="480" w:firstLineChars="200"/>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zh-CN" w:eastAsia="zh-CN" w:bidi="ar-SA"/>
              </w:rPr>
              <w:t>承诺简单、不全面且承诺中存在较大不合理性的得</w:t>
            </w:r>
            <w:r>
              <w:rPr>
                <w:rFonts w:hint="eastAsia" w:ascii="仿宋" w:hAnsi="仿宋" w:eastAsia="仿宋" w:cs="仿宋"/>
                <w:color w:val="auto"/>
                <w:kern w:val="0"/>
                <w:sz w:val="24"/>
                <w:szCs w:val="24"/>
                <w:highlight w:val="none"/>
                <w:lang w:val="en-US" w:eastAsia="zh-CN" w:bidi="ar-SA"/>
              </w:rPr>
              <w:t>0.5</w:t>
            </w:r>
            <w:r>
              <w:rPr>
                <w:rFonts w:hint="eastAsia" w:ascii="仿宋" w:hAnsi="仿宋" w:eastAsia="仿宋" w:cs="仿宋"/>
                <w:color w:val="auto"/>
                <w:kern w:val="0"/>
                <w:sz w:val="24"/>
                <w:szCs w:val="24"/>
                <w:highlight w:val="none"/>
                <w:lang w:val="zh-CN" w:eastAsia="zh-CN" w:bidi="ar-SA"/>
              </w:rPr>
              <w:t>分；</w:t>
            </w:r>
          </w:p>
          <w:p>
            <w:pPr>
              <w:adjustRightInd w:val="0"/>
              <w:snapToGrid w:val="0"/>
              <w:spacing w:line="360" w:lineRule="auto"/>
              <w:ind w:right="-40" w:rightChars="-19" w:firstLine="480" w:firstLineChars="20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zh-CN" w:eastAsia="zh-CN" w:bidi="ar-SA"/>
              </w:rPr>
              <w:t>未提供不得分。</w:t>
            </w:r>
          </w:p>
        </w:tc>
      </w:tr>
    </w:tbl>
    <w:p>
      <w:pPr>
        <w:jc w:val="center"/>
        <w:rPr>
          <w:rFonts w:ascii="仿宋_GB2312" w:hAnsi="仿宋_GB2312" w:eastAsia="仿宋_GB2312" w:cs="仿宋_GB2312"/>
          <w:b/>
          <w:color w:val="auto"/>
          <w:kern w:val="0"/>
          <w:sz w:val="30"/>
          <w:szCs w:val="30"/>
          <w:highlight w:val="none"/>
        </w:rPr>
      </w:pPr>
      <w:r>
        <w:rPr>
          <w:rFonts w:hint="eastAsia" w:ascii="仿宋_GB2312" w:hAnsi="仿宋_GB2312" w:eastAsia="仿宋_GB2312" w:cs="仿宋_GB2312"/>
          <w:color w:val="auto"/>
          <w:szCs w:val="21"/>
          <w:highlight w:val="none"/>
        </w:rPr>
        <w:br w:type="page"/>
      </w:r>
    </w:p>
    <w:p>
      <w:pPr>
        <w:pStyle w:val="47"/>
        <w:spacing w:line="360" w:lineRule="auto"/>
        <w:rPr>
          <w:rStyle w:val="203"/>
          <w:rFonts w:ascii="宋体" w:hAnsi="宋体" w:eastAsia="宋体"/>
          <w:color w:val="auto"/>
          <w:sz w:val="36"/>
          <w:szCs w:val="36"/>
          <w:highlight w:val="none"/>
        </w:rPr>
      </w:pPr>
      <w:bookmarkStart w:id="411" w:name="_Toc68590979"/>
      <w:r>
        <w:rPr>
          <w:rStyle w:val="203"/>
          <w:rFonts w:hint="eastAsia" w:ascii="宋体" w:hAnsi="宋体" w:eastAsia="宋体"/>
          <w:color w:val="auto"/>
          <w:sz w:val="36"/>
          <w:szCs w:val="36"/>
          <w:highlight w:val="none"/>
        </w:rPr>
        <w:t>第四章  合同草案条款</w:t>
      </w:r>
      <w:bookmarkEnd w:id="19"/>
      <w:bookmarkEnd w:id="393"/>
      <w:bookmarkEnd w:id="394"/>
      <w:bookmarkEnd w:id="411"/>
      <w:bookmarkStart w:id="412" w:name="_Toc256342152"/>
      <w:bookmarkStart w:id="413" w:name="_Toc232176282"/>
      <w:bookmarkStart w:id="414" w:name="_Toc249515482"/>
      <w:bookmarkStart w:id="415" w:name="_Toc53722865"/>
      <w:bookmarkStart w:id="416" w:name="_Toc70687202"/>
      <w:bookmarkStart w:id="417" w:name="_Toc499711087"/>
      <w:bookmarkStart w:id="418" w:name="_Toc232395222"/>
      <w:bookmarkStart w:id="419" w:name="_Toc499711928"/>
      <w:bookmarkStart w:id="420" w:name="_Toc184043058"/>
      <w:bookmarkStart w:id="421" w:name="_Toc177189245"/>
      <w:bookmarkStart w:id="422" w:name="_Toc496324623"/>
      <w:bookmarkStart w:id="423" w:name="_Toc249515369"/>
      <w:bookmarkStart w:id="424" w:name="_Toc230013638"/>
      <w:bookmarkStart w:id="425" w:name="_Toc177995483"/>
      <w:bookmarkStart w:id="426" w:name="_Toc230583552"/>
      <w:bookmarkStart w:id="427" w:name="_Toc492955459"/>
      <w:bookmarkStart w:id="428" w:name="_Toc503063458"/>
      <w:bookmarkStart w:id="429" w:name="_Toc500747233"/>
      <w:bookmarkStart w:id="430" w:name="_Toc28450"/>
      <w:bookmarkStart w:id="431" w:name="_Toc500747010"/>
      <w:bookmarkStart w:id="432" w:name="_Toc177817344"/>
      <w:bookmarkStart w:id="433" w:name="_Toc176882552"/>
      <w:bookmarkStart w:id="434" w:name="_Toc415499897"/>
      <w:bookmarkStart w:id="435" w:name="_Toc249525250"/>
      <w:bookmarkStart w:id="436" w:name="_Toc230099803"/>
      <w:bookmarkStart w:id="437" w:name="_Toc500747106"/>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大标宋简体" w:hAnsi="方正大标宋简体" w:eastAsia="方正大标宋简体" w:cs="方正大标宋简体"/>
          <w:b/>
          <w:bCs/>
          <w:color w:val="auto"/>
          <w:sz w:val="32"/>
          <w:szCs w:val="32"/>
        </w:rPr>
      </w:pPr>
      <w:r>
        <w:rPr>
          <w:rFonts w:hint="eastAsia" w:ascii="方正大标宋简体" w:hAnsi="方正大标宋简体" w:eastAsia="方正大标宋简体" w:cs="方正大标宋简体"/>
          <w:b/>
          <w:bCs/>
          <w:color w:val="auto"/>
          <w:sz w:val="32"/>
          <w:szCs w:val="32"/>
        </w:rPr>
        <w:t>13个行政监测断面设施设备运行维护</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方正大标宋简体" w:hAnsi="方正大标宋简体" w:eastAsia="方正大标宋简体" w:cs="方正大标宋简体"/>
          <w:b/>
          <w:bCs/>
          <w:color w:val="auto"/>
          <w:sz w:val="32"/>
          <w:szCs w:val="32"/>
        </w:rPr>
      </w:pPr>
      <w:r>
        <w:rPr>
          <w:rFonts w:hint="eastAsia" w:ascii="方正大标宋简体" w:hAnsi="方正大标宋简体" w:eastAsia="方正大标宋简体" w:cs="方正大标宋简体"/>
          <w:b/>
          <w:bCs/>
          <w:color w:val="auto"/>
          <w:sz w:val="32"/>
          <w:szCs w:val="32"/>
        </w:rPr>
        <w:t>技术服务合同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 w:hAnsi="仿宋" w:eastAsia="仿宋"/>
          <w:color w:val="auto"/>
          <w:sz w:val="40"/>
          <w:szCs w:val="22"/>
        </w:rPr>
      </w:pPr>
    </w:p>
    <w:p>
      <w:pPr>
        <w:keepNext w:val="0"/>
        <w:keepLines w:val="0"/>
        <w:pageBreakBefore w:val="0"/>
        <w:widowControl w:val="0"/>
        <w:kinsoku/>
        <w:wordWrap/>
        <w:overflowPunct/>
        <w:topLinePunct w:val="0"/>
        <w:autoSpaceDE/>
        <w:autoSpaceDN/>
        <w:bidi w:val="0"/>
        <w:adjustRightInd/>
        <w:snapToGrid/>
        <w:spacing w:line="360" w:lineRule="auto"/>
        <w:ind w:left="1"/>
        <w:textAlignment w:val="auto"/>
        <w:rPr>
          <w:rFonts w:ascii="仿宋" w:hAnsi="仿宋" w:eastAsia="仿宋"/>
          <w:color w:val="auto"/>
          <w:sz w:val="24"/>
          <w:szCs w:val="24"/>
          <w:u w:val="single"/>
        </w:rPr>
      </w:pPr>
      <w:r>
        <w:rPr>
          <w:rFonts w:hint="eastAsia" w:ascii="仿宋" w:hAnsi="仿宋" w:eastAsia="仿宋"/>
          <w:color w:val="auto"/>
          <w:sz w:val="24"/>
          <w:szCs w:val="24"/>
        </w:rPr>
        <w:tab/>
      </w:r>
      <w:r>
        <w:rPr>
          <w:rFonts w:hint="eastAsia" w:ascii="仿宋" w:hAnsi="仿宋" w:eastAsia="仿宋"/>
          <w:color w:val="auto"/>
          <w:sz w:val="24"/>
          <w:szCs w:val="24"/>
        </w:rPr>
        <w:t>委托方（甲方）：</w:t>
      </w:r>
      <w:r>
        <w:rPr>
          <w:rFonts w:hint="eastAsia" w:ascii="仿宋" w:hAnsi="仿宋" w:eastAsia="仿宋"/>
          <w:snapToGrid w:val="0"/>
          <w:color w:val="auto"/>
          <w:sz w:val="24"/>
          <w:szCs w:val="24"/>
          <w:u w:val="single"/>
          <w:lang w:eastAsia="zh-CN"/>
        </w:rPr>
        <w:t>西安市水资源保护中心</w:t>
      </w:r>
      <w:r>
        <w:rPr>
          <w:rFonts w:hint="eastAsia" w:ascii="仿宋" w:hAnsi="仿宋" w:eastAsia="仿宋"/>
          <w:snapToGrid w:val="0"/>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olor w:val="auto"/>
          <w:sz w:val="24"/>
          <w:szCs w:val="24"/>
          <w:u w:val="single"/>
        </w:rPr>
      </w:pPr>
      <w:r>
        <w:rPr>
          <w:rFonts w:hint="eastAsia" w:ascii="仿宋" w:hAnsi="仿宋" w:eastAsia="仿宋"/>
          <w:color w:val="auto"/>
          <w:sz w:val="24"/>
          <w:szCs w:val="24"/>
        </w:rPr>
        <w:tab/>
      </w:r>
      <w:r>
        <w:rPr>
          <w:rFonts w:hint="eastAsia" w:ascii="仿宋" w:hAnsi="仿宋" w:eastAsia="仿宋"/>
          <w:color w:val="auto"/>
          <w:sz w:val="24"/>
          <w:szCs w:val="24"/>
        </w:rPr>
        <w:t>住  所  地：</w:t>
      </w:r>
      <w:r>
        <w:rPr>
          <w:rFonts w:hint="eastAsia" w:ascii="仿宋" w:hAnsi="仿宋" w:eastAsia="仿宋"/>
          <w:snapToGrid w:val="0"/>
          <w:color w:val="auto"/>
          <w:sz w:val="24"/>
          <w:szCs w:val="24"/>
          <w:u w:val="single"/>
        </w:rPr>
        <w:t xml:space="preserve"> 西安市长安区航天中路129</w:t>
      </w:r>
      <w:r>
        <w:rPr>
          <w:rFonts w:ascii="仿宋" w:hAnsi="仿宋" w:eastAsia="仿宋"/>
          <w:snapToGrid w:val="0"/>
          <w:color w:val="auto"/>
          <w:sz w:val="24"/>
          <w:szCs w:val="24"/>
          <w:u w:val="single"/>
        </w:rPr>
        <w:t>号</w:t>
      </w:r>
      <w:r>
        <w:rPr>
          <w:rFonts w:hint="eastAsia" w:ascii="仿宋" w:hAnsi="仿宋" w:eastAsia="仿宋"/>
          <w:snapToGrid w:val="0"/>
          <w:color w:val="auto"/>
          <w:sz w:val="24"/>
          <w:szCs w:val="24"/>
          <w:u w:val="single"/>
        </w:rPr>
        <w:t xml:space="preserve">   </w:t>
      </w:r>
      <w:r>
        <w:rPr>
          <w:rFonts w:hint="eastAsia" w:ascii="仿宋" w:hAnsi="仿宋" w:eastAsia="仿宋"/>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olor w:val="auto"/>
          <w:sz w:val="24"/>
          <w:szCs w:val="24"/>
          <w:u w:val="single"/>
        </w:rPr>
      </w:pPr>
      <w:r>
        <w:rPr>
          <w:rFonts w:hint="eastAsia" w:ascii="仿宋" w:hAnsi="仿宋" w:eastAsia="仿宋"/>
          <w:color w:val="auto"/>
          <w:sz w:val="24"/>
          <w:szCs w:val="24"/>
        </w:rPr>
        <w:tab/>
      </w:r>
      <w:r>
        <w:rPr>
          <w:rFonts w:hint="eastAsia" w:ascii="仿宋" w:hAnsi="仿宋" w:eastAsia="仿宋"/>
          <w:color w:val="auto"/>
          <w:sz w:val="24"/>
          <w:szCs w:val="24"/>
        </w:rPr>
        <w:t>法定代表人：</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r>
        <w:rPr>
          <w:rFonts w:hint="eastAsia" w:ascii="仿宋" w:hAnsi="仿宋" w:eastAsia="仿宋"/>
          <w:snapToGrid w:val="0"/>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none"/>
        </w:rPr>
        <w:t xml:space="preserve">   </w:t>
      </w:r>
      <w:r>
        <w:rPr>
          <w:rFonts w:hint="eastAsia" w:ascii="仿宋" w:hAnsi="仿宋" w:eastAsia="仿宋"/>
          <w:color w:val="auto"/>
          <w:sz w:val="24"/>
          <w:szCs w:val="24"/>
          <w:u w:val="single"/>
        </w:rPr>
        <w:t xml:space="preserve">              </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textAlignment w:val="auto"/>
        <w:rPr>
          <w:rFonts w:ascii="仿宋" w:hAnsi="仿宋" w:eastAsia="仿宋"/>
          <w:color w:val="auto"/>
          <w:sz w:val="24"/>
          <w:szCs w:val="24"/>
        </w:rPr>
      </w:pPr>
      <w:r>
        <w:rPr>
          <w:rFonts w:hint="eastAsia" w:ascii="仿宋" w:hAnsi="仿宋" w:eastAsia="仿宋"/>
          <w:color w:val="auto"/>
          <w:sz w:val="24"/>
          <w:szCs w:val="24"/>
        </w:rPr>
        <w:t xml:space="preserve">   项目联系人：</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olor w:val="auto"/>
          <w:sz w:val="24"/>
          <w:szCs w:val="24"/>
          <w:u w:val="single"/>
        </w:rPr>
      </w:pPr>
      <w:r>
        <w:rPr>
          <w:rFonts w:hint="eastAsia" w:ascii="仿宋" w:hAnsi="仿宋" w:eastAsia="仿宋"/>
          <w:color w:val="auto"/>
          <w:sz w:val="24"/>
          <w:szCs w:val="24"/>
        </w:rPr>
        <w:t xml:space="preserve">   </w:t>
      </w:r>
      <w:r>
        <w:rPr>
          <w:rFonts w:hint="eastAsia" w:ascii="仿宋" w:hAnsi="仿宋" w:eastAsia="仿宋"/>
          <w:snapToGrid w:val="0"/>
          <w:color w:val="auto"/>
          <w:sz w:val="24"/>
          <w:szCs w:val="24"/>
        </w:rPr>
        <w:t>电    话：</w:t>
      </w:r>
      <w:r>
        <w:rPr>
          <w:rFonts w:hint="eastAsia" w:ascii="仿宋" w:hAnsi="仿宋" w:eastAsia="仿宋"/>
          <w:snapToGrid w:val="0"/>
          <w:color w:val="auto"/>
          <w:sz w:val="24"/>
          <w:szCs w:val="24"/>
          <w:u w:val="single"/>
          <w:lang w:val="en-US" w:eastAsia="zh-CN"/>
        </w:rPr>
        <w:t xml:space="preserve">           </w:t>
      </w:r>
      <w:r>
        <w:rPr>
          <w:rFonts w:hint="eastAsia" w:ascii="仿宋" w:hAnsi="仿宋" w:eastAsia="仿宋"/>
          <w:snapToGrid w:val="0"/>
          <w:color w:val="auto"/>
          <w:sz w:val="24"/>
          <w:szCs w:val="24"/>
          <w:u w:val="single"/>
        </w:rPr>
        <w:t xml:space="preserve">    </w:t>
      </w:r>
      <w:r>
        <w:rPr>
          <w:rFonts w:hint="eastAsia" w:ascii="仿宋" w:hAnsi="仿宋" w:eastAsia="仿宋"/>
          <w:snapToGrid w:val="0"/>
          <w:color w:val="auto"/>
          <w:sz w:val="24"/>
          <w:szCs w:val="24"/>
        </w:rPr>
        <w:t>传真：</w:t>
      </w:r>
      <w:r>
        <w:rPr>
          <w:rFonts w:hint="eastAsia" w:ascii="仿宋" w:hAnsi="仿宋" w:eastAsia="仿宋"/>
          <w:snapToGrid w:val="0"/>
          <w:color w:val="auto"/>
          <w:sz w:val="24"/>
          <w:szCs w:val="24"/>
          <w:u w:val="single"/>
          <w:lang w:val="en-US" w:eastAsia="zh-CN"/>
        </w:rPr>
        <w:t xml:space="preserve">                 </w:t>
      </w:r>
      <w:r>
        <w:rPr>
          <w:rFonts w:hint="eastAsia" w:ascii="仿宋" w:hAnsi="仿宋" w:eastAsia="仿宋"/>
          <w:snapToGrid w:val="0"/>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olor w:val="auto"/>
          <w:sz w:val="24"/>
          <w:szCs w:val="24"/>
          <w:lang w:val="en-US" w:eastAsia="zh-CN"/>
        </w:rPr>
      </w:pPr>
      <w:r>
        <w:rPr>
          <w:rFonts w:hint="eastAsia" w:ascii="仿宋" w:hAnsi="仿宋" w:eastAsia="仿宋"/>
          <w:color w:val="auto"/>
          <w:sz w:val="24"/>
          <w:szCs w:val="24"/>
        </w:rPr>
        <w:t xml:space="preserve">   受托方（乙方）：</w:t>
      </w:r>
      <w:r>
        <w:rPr>
          <w:rFonts w:hint="eastAsia" w:ascii="仿宋" w:hAnsi="仿宋" w:eastAsia="仿宋"/>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olor w:val="auto"/>
          <w:sz w:val="24"/>
          <w:szCs w:val="24"/>
        </w:rPr>
      </w:pPr>
      <w:r>
        <w:rPr>
          <w:rFonts w:hint="eastAsia" w:ascii="仿宋" w:hAnsi="仿宋" w:eastAsia="仿宋"/>
          <w:color w:val="auto"/>
          <w:sz w:val="24"/>
          <w:szCs w:val="24"/>
        </w:rPr>
        <w:t xml:space="preserve">   住  所  地：</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仿宋" w:hAnsi="仿宋" w:eastAsia="仿宋"/>
          <w:color w:val="auto"/>
          <w:sz w:val="24"/>
          <w:szCs w:val="24"/>
        </w:rPr>
      </w:pPr>
      <w:r>
        <w:rPr>
          <w:rFonts w:hint="eastAsia" w:ascii="仿宋" w:hAnsi="仿宋" w:eastAsia="仿宋"/>
          <w:color w:val="auto"/>
          <w:sz w:val="24"/>
          <w:szCs w:val="24"/>
        </w:rPr>
        <w:t xml:space="preserve"> 法定代表人：</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olor w:val="auto"/>
          <w:sz w:val="24"/>
          <w:szCs w:val="24"/>
        </w:rPr>
      </w:pPr>
      <w:r>
        <w:rPr>
          <w:rFonts w:hint="eastAsia" w:ascii="仿宋" w:hAnsi="仿宋" w:eastAsia="仿宋"/>
          <w:color w:val="auto"/>
          <w:sz w:val="24"/>
          <w:szCs w:val="24"/>
        </w:rPr>
        <w:t xml:space="preserve">   项目联系人：</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360" w:lineRule="auto"/>
        <w:textAlignment w:val="auto"/>
        <w:rPr>
          <w:rFonts w:ascii="仿宋" w:hAnsi="仿宋" w:eastAsia="仿宋"/>
          <w:color w:val="auto"/>
          <w:sz w:val="24"/>
          <w:szCs w:val="24"/>
          <w:u w:val="single"/>
        </w:rPr>
      </w:pPr>
      <w:r>
        <w:rPr>
          <w:rFonts w:hint="eastAsia" w:ascii="仿宋" w:hAnsi="仿宋" w:eastAsia="仿宋"/>
          <w:color w:val="auto"/>
          <w:sz w:val="24"/>
          <w:szCs w:val="24"/>
        </w:rPr>
        <w:t xml:space="preserve">   通讯地址：</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olor w:val="auto"/>
          <w:sz w:val="24"/>
          <w:szCs w:val="24"/>
          <w:u w:val="single"/>
        </w:rPr>
      </w:pPr>
      <w:r>
        <w:rPr>
          <w:rFonts w:hint="eastAsia" w:ascii="仿宋" w:hAnsi="仿宋" w:eastAsia="仿宋"/>
          <w:color w:val="auto"/>
          <w:sz w:val="24"/>
          <w:szCs w:val="24"/>
        </w:rPr>
        <w:t xml:space="preserve">   电    话：</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260"/>
        <w:textAlignment w:val="auto"/>
        <w:rPr>
          <w:rFonts w:ascii="仿宋" w:hAnsi="仿宋" w:eastAsia="仿宋"/>
          <w:color w:val="auto"/>
          <w:sz w:val="24"/>
          <w:szCs w:val="24"/>
          <w:u w:val="single"/>
        </w:rPr>
      </w:pPr>
      <w:r>
        <w:rPr>
          <w:rFonts w:hint="eastAsia" w:ascii="仿宋" w:hAnsi="仿宋" w:eastAsia="仿宋"/>
          <w:color w:val="auto"/>
          <w:sz w:val="24"/>
          <w:szCs w:val="24"/>
        </w:rPr>
        <w:t xml:space="preserve">     电子信箱：</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color w:val="auto"/>
          <w:sz w:val="24"/>
          <w:szCs w:val="24"/>
          <w:u w:val="single"/>
        </w:rPr>
      </w:pPr>
      <w:r>
        <w:rPr>
          <w:rFonts w:hint="eastAsia" w:ascii="仿宋" w:hAnsi="仿宋" w:eastAsia="仿宋"/>
          <w:color w:val="auto"/>
          <w:sz w:val="24"/>
          <w:szCs w:val="24"/>
        </w:rPr>
        <w:t xml:space="preserve">   </w:t>
      </w:r>
      <w:r>
        <w:rPr>
          <w:rFonts w:hint="eastAsia" w:ascii="仿宋" w:hAnsi="仿宋" w:eastAsia="仿宋" w:cs="仿宋"/>
          <w:b w:val="0"/>
          <w:bCs w:val="0"/>
          <w:color w:val="auto"/>
          <w:sz w:val="24"/>
          <w:szCs w:val="24"/>
        </w:rPr>
        <w:t xml:space="preserve"> 本合同甲方委托乙方就</w:t>
      </w:r>
      <w:r>
        <w:rPr>
          <w:rFonts w:hint="eastAsia" w:ascii="仿宋" w:hAnsi="仿宋" w:eastAsia="仿宋" w:cs="仿宋"/>
          <w:b w:val="0"/>
          <w:bCs w:val="0"/>
          <w:color w:val="auto"/>
          <w:sz w:val="24"/>
          <w:szCs w:val="24"/>
          <w:u w:val="single"/>
        </w:rPr>
        <w:t>13个行政监测断面设施设备运行维护</w:t>
      </w:r>
      <w:r>
        <w:rPr>
          <w:rFonts w:hint="eastAsia" w:ascii="仿宋" w:hAnsi="仿宋" w:eastAsia="仿宋" w:cs="仿宋"/>
          <w:b w:val="0"/>
          <w:bCs w:val="0"/>
          <w:color w:val="auto"/>
          <w:sz w:val="24"/>
          <w:szCs w:val="24"/>
        </w:rPr>
        <w:t>进行专项技术服务，并支付相应的技术服务报酬。双方经过平等协商，在真实、充分地表达各自意愿的基础上，根据《中华人民共和国</w:t>
      </w:r>
      <w:r>
        <w:rPr>
          <w:rFonts w:hint="eastAsia" w:ascii="仿宋" w:hAnsi="仿宋" w:eastAsia="仿宋" w:cs="仿宋"/>
          <w:b w:val="0"/>
          <w:bCs w:val="0"/>
          <w:color w:val="auto"/>
          <w:sz w:val="24"/>
          <w:szCs w:val="24"/>
          <w:lang w:val="en-US" w:eastAsia="zh-CN"/>
        </w:rPr>
        <w:t>民法典</w:t>
      </w:r>
      <w:r>
        <w:rPr>
          <w:rFonts w:hint="eastAsia" w:ascii="仿宋" w:hAnsi="仿宋" w:eastAsia="仿宋" w:cs="仿宋"/>
          <w:b w:val="0"/>
          <w:bCs w:val="0"/>
          <w:color w:val="auto"/>
          <w:sz w:val="24"/>
          <w:szCs w:val="24"/>
        </w:rPr>
        <w:t>》的规定，达成如下协议，并由双方共同恪守。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第一条 技术服务内容</w:t>
      </w:r>
      <w:r>
        <w:rPr>
          <w:rFonts w:hint="eastAsia" w:ascii="仿宋" w:hAnsi="仿宋" w:eastAsia="仿宋" w:cs="仿宋"/>
          <w:b w:val="0"/>
          <w:bCs w:val="0"/>
          <w:color w:val="auto"/>
          <w:sz w:val="24"/>
          <w:szCs w:val="24"/>
          <w:lang w:val="en-US" w:eastAsia="zh-CN"/>
        </w:rPr>
        <w:t>及</w:t>
      </w:r>
      <w:r>
        <w:rPr>
          <w:rFonts w:hint="eastAsia" w:ascii="仿宋" w:hAnsi="仿宋" w:eastAsia="仿宋" w:cs="仿宋"/>
          <w:b w:val="0"/>
          <w:bCs w:val="0"/>
          <w:color w:val="auto"/>
          <w:sz w:val="24"/>
          <w:szCs w:val="24"/>
        </w:rPr>
        <w:t>目标</w:t>
      </w:r>
    </w:p>
    <w:p>
      <w:pPr>
        <w:keepNext w:val="0"/>
        <w:keepLines w:val="0"/>
        <w:pageBreakBefore w:val="0"/>
        <w:widowControl w:val="0"/>
        <w:kinsoku/>
        <w:wordWrap/>
        <w:overflowPunct/>
        <w:topLinePunct w:val="0"/>
        <w:autoSpaceDE/>
        <w:autoSpaceDN/>
        <w:bidi w:val="0"/>
        <w:adjustRightInd/>
        <w:snapToGrid/>
        <w:spacing w:line="360" w:lineRule="auto"/>
        <w:ind w:firstLine="646"/>
        <w:jc w:val="both"/>
        <w:textAlignment w:val="auto"/>
        <w:rPr>
          <w:rFonts w:hint="eastAsia" w:ascii="仿宋" w:hAnsi="仿宋" w:eastAsia="仿宋" w:cs="仿宋"/>
          <w:b w:val="0"/>
          <w:bCs w:val="0"/>
          <w:color w:val="auto"/>
          <w:sz w:val="24"/>
          <w:szCs w:val="24"/>
          <w:lang w:val="zh-CN"/>
        </w:rPr>
      </w:pPr>
      <w:r>
        <w:rPr>
          <w:rFonts w:hint="eastAsia" w:ascii="仿宋" w:hAnsi="仿宋" w:eastAsia="仿宋" w:cs="仿宋"/>
          <w:b w:val="0"/>
          <w:bCs w:val="0"/>
          <w:color w:val="auto"/>
          <w:sz w:val="24"/>
          <w:szCs w:val="24"/>
          <w:lang w:val="zh-CN"/>
        </w:rPr>
        <w:t>通过</w:t>
      </w:r>
      <w:r>
        <w:rPr>
          <w:rFonts w:hint="eastAsia" w:ascii="仿宋" w:hAnsi="仿宋" w:eastAsia="仿宋" w:cs="仿宋"/>
          <w:b w:val="0"/>
          <w:bCs w:val="0"/>
          <w:color w:val="auto"/>
          <w:sz w:val="24"/>
          <w:szCs w:val="24"/>
        </w:rPr>
        <w:t>对</w:t>
      </w:r>
      <w:r>
        <w:rPr>
          <w:rFonts w:hint="eastAsia" w:ascii="仿宋" w:hAnsi="仿宋" w:eastAsia="仿宋" w:cs="仿宋"/>
          <w:b w:val="0"/>
          <w:bCs w:val="0"/>
          <w:color w:val="auto"/>
          <w:sz w:val="24"/>
          <w:szCs w:val="24"/>
          <w:lang w:val="zh-CN"/>
        </w:rPr>
        <w:t>西安市主要河流县(区)行政界断面水质水量监测</w:t>
      </w:r>
      <w:r>
        <w:rPr>
          <w:rFonts w:hint="eastAsia" w:ascii="仿宋" w:hAnsi="仿宋" w:eastAsia="仿宋" w:cs="仿宋"/>
          <w:b w:val="0"/>
          <w:bCs w:val="0"/>
          <w:color w:val="auto"/>
          <w:sz w:val="24"/>
          <w:szCs w:val="24"/>
          <w:lang w:val="en-US" w:eastAsia="zh-CN"/>
        </w:rPr>
        <w:t>系统进行</w:t>
      </w:r>
      <w:r>
        <w:rPr>
          <w:rFonts w:hint="eastAsia" w:ascii="仿宋" w:hAnsi="仿宋" w:eastAsia="仿宋" w:cs="仿宋"/>
          <w:b w:val="0"/>
          <w:bCs w:val="0"/>
          <w:color w:val="auto"/>
          <w:sz w:val="24"/>
          <w:szCs w:val="24"/>
          <w:lang w:val="zh-CN"/>
        </w:rPr>
        <w:t>规范化的</w:t>
      </w:r>
      <w:r>
        <w:rPr>
          <w:rFonts w:hint="eastAsia" w:ascii="仿宋" w:hAnsi="仿宋" w:eastAsia="仿宋" w:cs="仿宋"/>
          <w:b w:val="0"/>
          <w:bCs w:val="0"/>
          <w:color w:val="auto"/>
          <w:sz w:val="24"/>
          <w:szCs w:val="24"/>
        </w:rPr>
        <w:t>运行维护技术</w:t>
      </w:r>
      <w:r>
        <w:rPr>
          <w:rFonts w:hint="eastAsia" w:ascii="仿宋" w:hAnsi="仿宋" w:eastAsia="仿宋" w:cs="仿宋"/>
          <w:b w:val="0"/>
          <w:bCs w:val="0"/>
          <w:color w:val="auto"/>
          <w:sz w:val="24"/>
          <w:szCs w:val="24"/>
          <w:lang w:val="zh-CN"/>
        </w:rPr>
        <w:t>服务，</w:t>
      </w:r>
      <w:r>
        <w:rPr>
          <w:rFonts w:hint="eastAsia" w:ascii="仿宋" w:hAnsi="仿宋" w:eastAsia="仿宋" w:cs="仿宋"/>
          <w:b w:val="0"/>
          <w:bCs w:val="0"/>
          <w:color w:val="auto"/>
          <w:sz w:val="24"/>
          <w:szCs w:val="24"/>
          <w:lang w:val="en-US" w:eastAsia="zh-CN"/>
        </w:rPr>
        <w:t>完成</w:t>
      </w:r>
      <w:r>
        <w:rPr>
          <w:rFonts w:hint="eastAsia" w:ascii="仿宋" w:hAnsi="仿宋" w:eastAsia="仿宋" w:cs="仿宋"/>
          <w:b w:val="0"/>
          <w:bCs w:val="0"/>
          <w:color w:val="auto"/>
          <w:sz w:val="24"/>
          <w:szCs w:val="24"/>
        </w:rPr>
        <w:t>水位流量曲线率定工作，</w:t>
      </w:r>
      <w:r>
        <w:rPr>
          <w:rFonts w:hint="eastAsia" w:ascii="仿宋" w:hAnsi="仿宋" w:eastAsia="仿宋" w:cs="仿宋"/>
          <w:b w:val="0"/>
          <w:bCs w:val="0"/>
          <w:color w:val="auto"/>
          <w:sz w:val="24"/>
          <w:szCs w:val="24"/>
          <w:lang w:val="zh-CN"/>
        </w:rPr>
        <w:t>保障断面测流系统、</w:t>
      </w:r>
      <w:r>
        <w:rPr>
          <w:rFonts w:hint="eastAsia" w:ascii="仿宋" w:hAnsi="仿宋" w:eastAsia="仿宋" w:cs="仿宋"/>
          <w:b w:val="0"/>
          <w:bCs w:val="0"/>
          <w:color w:val="auto"/>
          <w:sz w:val="24"/>
          <w:szCs w:val="24"/>
        </w:rPr>
        <w:t>设施设备</w:t>
      </w:r>
      <w:r>
        <w:rPr>
          <w:rFonts w:hint="eastAsia" w:ascii="仿宋" w:hAnsi="仿宋" w:eastAsia="仿宋" w:cs="仿宋"/>
          <w:b w:val="0"/>
          <w:bCs w:val="0"/>
          <w:color w:val="auto"/>
          <w:sz w:val="24"/>
          <w:szCs w:val="24"/>
          <w:lang w:val="zh-CN"/>
        </w:rPr>
        <w:t>安全、稳定，</w:t>
      </w:r>
      <w:r>
        <w:rPr>
          <w:rFonts w:hint="eastAsia" w:ascii="仿宋" w:hAnsi="仿宋" w:eastAsia="仿宋" w:cs="仿宋"/>
          <w:b w:val="0"/>
          <w:bCs w:val="0"/>
          <w:color w:val="auto"/>
          <w:sz w:val="24"/>
          <w:szCs w:val="24"/>
        </w:rPr>
        <w:t>数据真实、</w:t>
      </w:r>
      <w:r>
        <w:rPr>
          <w:rFonts w:hint="eastAsia" w:ascii="仿宋" w:hAnsi="仿宋" w:eastAsia="仿宋" w:cs="仿宋"/>
          <w:b w:val="0"/>
          <w:bCs w:val="0"/>
          <w:color w:val="auto"/>
          <w:sz w:val="24"/>
          <w:szCs w:val="24"/>
          <w:lang w:val="zh-CN"/>
        </w:rPr>
        <w:t>可靠。</w:t>
      </w:r>
      <w:r>
        <w:rPr>
          <w:rFonts w:hint="eastAsia" w:ascii="仿宋" w:hAnsi="仿宋" w:eastAsia="仿宋" w:cs="仿宋"/>
          <w:b w:val="0"/>
          <w:bCs w:val="0"/>
          <w:color w:val="auto"/>
          <w:sz w:val="24"/>
          <w:szCs w:val="24"/>
          <w:lang w:val="en-US" w:eastAsia="zh-CN"/>
        </w:rPr>
        <w:t>定期组织水样采集，配备监测试剂耗材配件等，配合开展水质监测工作；适时对断面水毁环境进行修复，疏浚、改造断面有关河道地形条件，保障设备正常监测。</w:t>
      </w:r>
      <w:r>
        <w:rPr>
          <w:rFonts w:hint="eastAsia" w:ascii="仿宋" w:hAnsi="仿宋" w:eastAsia="仿宋" w:cs="仿宋"/>
          <w:b w:val="0"/>
          <w:bCs w:val="0"/>
          <w:color w:val="auto"/>
          <w:sz w:val="24"/>
          <w:szCs w:val="24"/>
          <w:lang w:val="zh-CN"/>
        </w:rPr>
        <w:t>所有维护行为均流程化、规范化，操作步骤标准，记录及时，保证设备、设施安全稳定。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本项目合同金额一次性包死，因50年一遇以内洪水造成水毁修复而产生的技术服务，均包含在此项目运维工作范围以内，不因此而提高合同金额。</w:t>
      </w:r>
    </w:p>
    <w:p>
      <w:pPr>
        <w:keepNext w:val="0"/>
        <w:keepLines w:val="0"/>
        <w:pageBreakBefore w:val="0"/>
        <w:widowControl w:val="0"/>
        <w:kinsoku/>
        <w:wordWrap/>
        <w:overflowPunct/>
        <w:topLinePunct w:val="0"/>
        <w:autoSpaceDE/>
        <w:autoSpaceDN/>
        <w:bidi w:val="0"/>
        <w:adjustRightInd/>
        <w:snapToGrid/>
        <w:spacing w:line="360" w:lineRule="auto"/>
        <w:ind w:firstLine="646"/>
        <w:jc w:val="both"/>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通过一系列运维技术服务工作的开展，</w:t>
      </w:r>
      <w:r>
        <w:rPr>
          <w:rFonts w:hint="eastAsia" w:ascii="仿宋" w:hAnsi="仿宋" w:eastAsia="仿宋" w:cs="仿宋"/>
          <w:b w:val="0"/>
          <w:bCs w:val="0"/>
          <w:color w:val="auto"/>
          <w:sz w:val="24"/>
          <w:szCs w:val="24"/>
        </w:rPr>
        <w:t>保障西安市主要河流县区界行政断面水质水量监测项目正常运行</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实时监测数据符合实际、科学合理，定期统计数据准确无误，为实行最严格水资源管理制度提供技术支撑。</w:t>
      </w:r>
      <w:r>
        <w:rPr>
          <w:rFonts w:hint="eastAsia" w:ascii="仿宋" w:hAnsi="仿宋" w:eastAsia="仿宋" w:cs="仿宋"/>
          <w:b w:val="0"/>
          <w:bCs w:val="0"/>
          <w:color w:val="auto"/>
          <w:sz w:val="24"/>
          <w:szCs w:val="24"/>
          <w:lang w:val="en-US" w:eastAsia="zh-CN"/>
        </w:rPr>
        <w:t>具体服务内容及要求详见本合同附件：</w:t>
      </w:r>
      <w:r>
        <w:rPr>
          <w:rFonts w:hint="eastAsia" w:ascii="仿宋" w:hAnsi="仿宋" w:eastAsia="仿宋" w:cs="仿宋"/>
          <w:b/>
          <w:bCs/>
          <w:color w:val="auto"/>
          <w:sz w:val="24"/>
          <w:szCs w:val="24"/>
          <w:lang w:val="en-US" w:eastAsia="zh-CN"/>
        </w:rPr>
        <w:t>《13个行政监测断面设施设备运行维护技术服务内容及要求》</w:t>
      </w:r>
      <w:r>
        <w:rPr>
          <w:rFonts w:hint="eastAsia" w:ascii="仿宋" w:hAnsi="仿宋" w:eastAsia="仿宋" w:cs="仿宋"/>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第</w:t>
      </w:r>
      <w:r>
        <w:rPr>
          <w:rFonts w:hint="eastAsia" w:ascii="仿宋" w:hAnsi="仿宋" w:eastAsia="仿宋" w:cs="仿宋"/>
          <w:b w:val="0"/>
          <w:bCs w:val="0"/>
          <w:color w:val="auto"/>
          <w:sz w:val="24"/>
          <w:szCs w:val="24"/>
          <w:lang w:val="en-US" w:eastAsia="zh-CN"/>
        </w:rPr>
        <w:t>二</w:t>
      </w:r>
      <w:r>
        <w:rPr>
          <w:rFonts w:hint="eastAsia" w:ascii="仿宋" w:hAnsi="仿宋" w:eastAsia="仿宋" w:cs="仿宋"/>
          <w:b w:val="0"/>
          <w:bCs w:val="0"/>
          <w:color w:val="auto"/>
          <w:sz w:val="24"/>
          <w:szCs w:val="24"/>
        </w:rPr>
        <w:t>条  技术服务方式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1、</w:t>
      </w:r>
      <w:r>
        <w:rPr>
          <w:rFonts w:hint="eastAsia" w:ascii="仿宋" w:hAnsi="仿宋" w:eastAsia="仿宋" w:cs="仿宋"/>
          <w:b w:val="0"/>
          <w:bCs w:val="0"/>
          <w:color w:val="auto"/>
          <w:sz w:val="24"/>
          <w:szCs w:val="24"/>
        </w:rPr>
        <w:t>乙方组建由专业技术人员组成的维护团队，配备相关专业仪器设备和工具，依照</w:t>
      </w:r>
      <w:r>
        <w:rPr>
          <w:rFonts w:hint="eastAsia" w:ascii="仿宋" w:hAnsi="仿宋" w:eastAsia="仿宋" w:cs="仿宋"/>
          <w:b w:val="0"/>
          <w:bCs w:val="0"/>
          <w:color w:val="auto"/>
          <w:sz w:val="24"/>
          <w:szCs w:val="24"/>
          <w:lang w:val="en-US" w:eastAsia="zh-CN"/>
        </w:rPr>
        <w:t>甲方要求及</w:t>
      </w:r>
      <w:r>
        <w:rPr>
          <w:rFonts w:hint="eastAsia" w:ascii="仿宋" w:hAnsi="仿宋" w:eastAsia="仿宋" w:cs="仿宋"/>
          <w:b w:val="0"/>
          <w:bCs w:val="0"/>
          <w:color w:val="auto"/>
          <w:sz w:val="24"/>
          <w:szCs w:val="24"/>
        </w:rPr>
        <w:t>本合同有效组成部分、维护计划等执行既定系统日常运行维护任务以及系统维护的自查和监管，同时建立24小时服务热线，2小时内响应突发故障申报，根据故障等级启动“处突执行方案—突发事件应急策略服务流程”。（一般问题在24小时之内解决，如遇重大问题或其他暂时无法迅速解决的问题在72小时内解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2、乙方组织专业技术人员，根据甲方要求，完成水质监测有关工作。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3、乙方组织专业施工人员和机械设备，完成断面水毁修复和河道疏浚等工作。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    第</w:t>
      </w:r>
      <w:r>
        <w:rPr>
          <w:rFonts w:hint="eastAsia" w:ascii="仿宋" w:hAnsi="仿宋" w:eastAsia="仿宋" w:cs="仿宋"/>
          <w:b w:val="0"/>
          <w:bCs w:val="0"/>
          <w:color w:val="auto"/>
          <w:sz w:val="24"/>
          <w:szCs w:val="24"/>
          <w:lang w:val="en-US" w:eastAsia="zh-CN"/>
        </w:rPr>
        <w:t>三</w:t>
      </w:r>
      <w:r>
        <w:rPr>
          <w:rFonts w:hint="eastAsia" w:ascii="仿宋" w:hAnsi="仿宋" w:eastAsia="仿宋" w:cs="仿宋"/>
          <w:b w:val="0"/>
          <w:bCs w:val="0"/>
          <w:color w:val="auto"/>
          <w:sz w:val="24"/>
          <w:szCs w:val="24"/>
        </w:rPr>
        <w:t>条  技术服务其他要求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1．技术服务地点：该项目所涉及的所有河流断面及信息中心。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2．技术服务期限：  </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年</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月</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日至</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年</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月</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    第</w:t>
      </w:r>
      <w:r>
        <w:rPr>
          <w:rFonts w:hint="eastAsia" w:ascii="仿宋" w:hAnsi="仿宋" w:eastAsia="仿宋" w:cs="仿宋"/>
          <w:b w:val="0"/>
          <w:bCs w:val="0"/>
          <w:color w:val="auto"/>
          <w:sz w:val="24"/>
          <w:szCs w:val="24"/>
          <w:lang w:val="en-US" w:eastAsia="zh-CN"/>
        </w:rPr>
        <w:t>四</w:t>
      </w:r>
      <w:r>
        <w:rPr>
          <w:rFonts w:hint="eastAsia" w:ascii="仿宋" w:hAnsi="仿宋" w:eastAsia="仿宋" w:cs="仿宋"/>
          <w:b w:val="0"/>
          <w:bCs w:val="0"/>
          <w:color w:val="auto"/>
          <w:sz w:val="24"/>
          <w:szCs w:val="24"/>
        </w:rPr>
        <w:t>条  技术服务报酬及支付方式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技术服务费总额为：</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合同签订后一次性支付</w:t>
      </w:r>
      <w:r>
        <w:rPr>
          <w:rFonts w:hint="eastAsia" w:ascii="仿宋" w:hAnsi="仿宋" w:eastAsia="仿宋" w:cs="仿宋"/>
          <w:b w:val="0"/>
          <w:bCs w:val="0"/>
          <w:color w:val="auto"/>
          <w:sz w:val="24"/>
          <w:szCs w:val="24"/>
        </w:rPr>
        <w:t>。</w:t>
      </w:r>
      <w:r>
        <w:rPr>
          <w:rFonts w:hint="eastAsia" w:ascii="仿宋" w:hAnsi="仿宋" w:eastAsia="仿宋"/>
          <w:color w:val="auto"/>
          <w:sz w:val="24"/>
          <w:szCs w:val="24"/>
        </w:rPr>
        <w:t>合同签订后，乙方</w:t>
      </w:r>
      <w:r>
        <w:rPr>
          <w:rFonts w:hint="eastAsia" w:ascii="仿宋" w:hAnsi="仿宋" w:eastAsia="仿宋"/>
          <w:color w:val="auto"/>
          <w:sz w:val="24"/>
          <w:szCs w:val="24"/>
          <w:lang w:val="en-US" w:eastAsia="zh-CN"/>
        </w:rPr>
        <w:t>提供履约保函或</w:t>
      </w:r>
      <w:r>
        <w:rPr>
          <w:rFonts w:hint="eastAsia" w:ascii="仿宋" w:hAnsi="仿宋" w:eastAsia="仿宋"/>
          <w:color w:val="auto"/>
          <w:sz w:val="24"/>
          <w:szCs w:val="24"/>
        </w:rPr>
        <w:t>向甲方指定账户缴纳履约保证金</w:t>
      </w:r>
      <w:r>
        <w:rPr>
          <w:rFonts w:hint="eastAsia" w:ascii="仿宋" w:hAnsi="仿宋" w:eastAsia="仿宋"/>
          <w:b/>
          <w:bCs/>
          <w:color w:val="auto"/>
          <w:sz w:val="24"/>
          <w:szCs w:val="24"/>
        </w:rPr>
        <w:t>（</w:t>
      </w:r>
      <w:r>
        <w:rPr>
          <w:rFonts w:hint="eastAsia" w:ascii="仿宋" w:hAnsi="仿宋" w:eastAsia="仿宋"/>
          <w:b/>
          <w:bCs/>
          <w:color w:val="auto"/>
          <w:sz w:val="24"/>
          <w:szCs w:val="24"/>
          <w:u w:val="single"/>
        </w:rPr>
        <w:t>为合同价款的10%</w:t>
      </w:r>
      <w:r>
        <w:rPr>
          <w:rFonts w:hint="eastAsia" w:ascii="仿宋" w:hAnsi="仿宋" w:eastAsia="仿宋"/>
          <w:b/>
          <w:bCs/>
          <w:color w:val="auto"/>
          <w:sz w:val="24"/>
          <w:szCs w:val="24"/>
        </w:rPr>
        <w:t>）</w:t>
      </w:r>
      <w:r>
        <w:rPr>
          <w:rFonts w:hint="eastAsia" w:ascii="仿宋" w:hAnsi="仿宋" w:eastAsia="仿宋"/>
          <w:color w:val="auto"/>
          <w:sz w:val="24"/>
          <w:szCs w:val="24"/>
          <w:lang w:eastAsia="zh-CN"/>
        </w:rPr>
        <w:t>。</w:t>
      </w:r>
      <w:r>
        <w:rPr>
          <w:rFonts w:hint="eastAsia" w:ascii="仿宋" w:hAnsi="仿宋" w:eastAsia="仿宋"/>
          <w:color w:val="auto"/>
          <w:sz w:val="24"/>
          <w:szCs w:val="24"/>
          <w:lang w:val="en-US" w:eastAsia="zh-CN"/>
        </w:rPr>
        <w:t>履约保证金在乙方完成服务期所有服务项目后，甲方予以返还</w:t>
      </w:r>
      <w:r>
        <w:rPr>
          <w:rFonts w:hint="eastAsia" w:ascii="仿宋" w:hAnsi="仿宋" w:eastAsia="仿宋"/>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u w:val="single"/>
        </w:rPr>
      </w:pPr>
      <w:r>
        <w:rPr>
          <w:rFonts w:hint="eastAsia" w:ascii="仿宋" w:hAnsi="仿宋" w:eastAsia="仿宋" w:cs="仿宋"/>
          <w:b w:val="0"/>
          <w:bCs w:val="0"/>
          <w:color w:val="auto"/>
          <w:sz w:val="24"/>
          <w:szCs w:val="24"/>
        </w:rPr>
        <w:t>乙方开户银行名称：</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u w:val="single"/>
        </w:rPr>
      </w:pPr>
      <w:r>
        <w:rPr>
          <w:rFonts w:hint="eastAsia" w:ascii="仿宋" w:hAnsi="仿宋" w:eastAsia="仿宋" w:cs="仿宋"/>
          <w:b w:val="0"/>
          <w:bCs w:val="0"/>
          <w:color w:val="auto"/>
          <w:sz w:val="24"/>
          <w:szCs w:val="24"/>
        </w:rPr>
        <w:t>帐  号：</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第</w:t>
      </w:r>
      <w:r>
        <w:rPr>
          <w:rFonts w:hint="eastAsia" w:ascii="仿宋" w:hAnsi="仿宋" w:eastAsia="仿宋" w:cs="仿宋"/>
          <w:b w:val="0"/>
          <w:bCs w:val="0"/>
          <w:color w:val="auto"/>
          <w:sz w:val="24"/>
          <w:szCs w:val="24"/>
          <w:lang w:val="en-US" w:eastAsia="zh-CN"/>
        </w:rPr>
        <w:t>五</w:t>
      </w:r>
      <w:r>
        <w:rPr>
          <w:rFonts w:hint="eastAsia" w:ascii="仿宋" w:hAnsi="仿宋" w:eastAsia="仿宋" w:cs="仿宋"/>
          <w:b w:val="0"/>
          <w:bCs w:val="0"/>
          <w:color w:val="auto"/>
          <w:sz w:val="24"/>
          <w:szCs w:val="24"/>
        </w:rPr>
        <w:t>条  安全生产、保密工作有关约定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在本项目运行维护过程中，乙方应遵守国家安全生产有关法律法规，按规定开展安全生产培训教育，投入必要的安全保障设备和防护用具，采取必要安全措施，不违规操作，如发生安全生产事故，责任自负。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乙方应遵守的保密义务如下：1.保密内容: 甲方提供的项目资料、水质和断面实测信息资料，本项目运行过程产生的数据资料。2．涉密人员范围:所有技术人员及相应管理人员。3．保密期限：永久。4．泄密责任：赔偿因泄密行为给甲方造成的损失。5. 与甲方签订保密协议。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    第</w:t>
      </w:r>
      <w:r>
        <w:rPr>
          <w:rFonts w:hint="eastAsia" w:ascii="仿宋" w:hAnsi="仿宋" w:eastAsia="仿宋" w:cs="仿宋"/>
          <w:b w:val="0"/>
          <w:bCs w:val="0"/>
          <w:color w:val="auto"/>
          <w:sz w:val="24"/>
          <w:szCs w:val="24"/>
          <w:lang w:val="en-US" w:eastAsia="zh-CN"/>
        </w:rPr>
        <w:t>六</w:t>
      </w:r>
      <w:r>
        <w:rPr>
          <w:rFonts w:hint="eastAsia" w:ascii="仿宋" w:hAnsi="仿宋" w:eastAsia="仿宋" w:cs="仿宋"/>
          <w:b w:val="0"/>
          <w:bCs w:val="0"/>
          <w:color w:val="auto"/>
          <w:sz w:val="24"/>
          <w:szCs w:val="24"/>
        </w:rPr>
        <w:t xml:space="preserve">条  本合同的变更必须由双方协商一致，并以书面形式确定。但有一方违反合同条款，使合同不能履行的，一方可以向另一方提出变更合同权利与义务的请求，另一方应当在 </w:t>
      </w:r>
      <w:r>
        <w:rPr>
          <w:rFonts w:hint="eastAsia" w:ascii="仿宋" w:hAnsi="仿宋" w:eastAsia="仿宋" w:cs="仿宋"/>
          <w:b w:val="0"/>
          <w:bCs w:val="0"/>
          <w:color w:val="auto"/>
          <w:sz w:val="24"/>
          <w:szCs w:val="24"/>
          <w:lang w:val="en-US" w:eastAsia="zh-CN"/>
        </w:rPr>
        <w:t>10</w:t>
      </w:r>
      <w:r>
        <w:rPr>
          <w:rFonts w:hint="eastAsia" w:ascii="仿宋" w:hAnsi="仿宋" w:eastAsia="仿宋" w:cs="仿宋"/>
          <w:b w:val="0"/>
          <w:bCs w:val="0"/>
          <w:color w:val="auto"/>
          <w:sz w:val="24"/>
          <w:szCs w:val="24"/>
        </w:rPr>
        <w:t xml:space="preserve">日内予以答复；逾期未予答复的，视为同意。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    第</w:t>
      </w:r>
      <w:r>
        <w:rPr>
          <w:rFonts w:hint="eastAsia" w:ascii="仿宋" w:hAnsi="仿宋" w:eastAsia="仿宋" w:cs="仿宋"/>
          <w:b w:val="0"/>
          <w:bCs w:val="0"/>
          <w:color w:val="auto"/>
          <w:sz w:val="24"/>
          <w:szCs w:val="24"/>
          <w:lang w:val="en-US" w:eastAsia="zh-CN"/>
        </w:rPr>
        <w:t>七</w:t>
      </w:r>
      <w:r>
        <w:rPr>
          <w:rFonts w:hint="eastAsia" w:ascii="仿宋" w:hAnsi="仿宋" w:eastAsia="仿宋" w:cs="仿宋"/>
          <w:b w:val="0"/>
          <w:bCs w:val="0"/>
          <w:color w:val="auto"/>
          <w:sz w:val="24"/>
          <w:szCs w:val="24"/>
        </w:rPr>
        <w:t>条  双方确定以下列标准和方式对乙方的技术服务工作成果进行验收：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1．乙方完成技术服务工作的形式：服务期完成后，向甲方提交</w:t>
      </w:r>
      <w:r>
        <w:rPr>
          <w:rFonts w:hint="eastAsia" w:ascii="仿宋" w:hAnsi="仿宋" w:eastAsia="仿宋" w:cs="仿宋"/>
          <w:b w:val="0"/>
          <w:bCs w:val="0"/>
          <w:color w:val="auto"/>
          <w:sz w:val="24"/>
          <w:szCs w:val="24"/>
          <w:lang w:val="en-US" w:eastAsia="zh-CN"/>
        </w:rPr>
        <w:t>运维技术服务</w:t>
      </w:r>
      <w:r>
        <w:rPr>
          <w:rFonts w:hint="eastAsia" w:ascii="仿宋" w:hAnsi="仿宋" w:eastAsia="仿宋" w:cs="仿宋"/>
          <w:b w:val="0"/>
          <w:bCs w:val="0"/>
          <w:color w:val="auto"/>
          <w:sz w:val="24"/>
          <w:szCs w:val="24"/>
        </w:rPr>
        <w:t>全面工作总结</w:t>
      </w:r>
      <w:r>
        <w:rPr>
          <w:rFonts w:hint="eastAsia" w:ascii="仿宋" w:hAnsi="仿宋" w:eastAsia="仿宋" w:cs="仿宋"/>
          <w:b w:val="0"/>
          <w:bCs w:val="0"/>
          <w:color w:val="auto"/>
          <w:sz w:val="24"/>
          <w:szCs w:val="24"/>
          <w:lang w:val="en-US" w:eastAsia="zh-CN"/>
        </w:rPr>
        <w:t>等有挂资料</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并提交水毁修复和河道疏浚工作成果报告。</w:t>
      </w:r>
      <w:r>
        <w:rPr>
          <w:rFonts w:hint="eastAsia" w:ascii="仿宋" w:hAnsi="仿宋" w:eastAsia="仿宋" w:cs="仿宋"/>
          <w:b w:val="0"/>
          <w:bCs w:val="0"/>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2．技术服务工作成果的验收标准：《水位观测标准》（GB/T50138-2010），《水道测量规范》（SL257-2000），《河流流量测验规范》（GB50179-93），《水文普通测量规范》（SL58-93），《水文自动测报系统技术规范》（SL61-2003），《水情自动测报系统运行维护规程》（DL/T 1014-2006），《水文资料整编规范》（SL247-1999）。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3．验收的时间和地点：服务期结束后，在</w:t>
      </w:r>
      <w:r>
        <w:rPr>
          <w:rFonts w:hint="eastAsia" w:ascii="仿宋" w:hAnsi="仿宋" w:eastAsia="仿宋" w:cs="仿宋"/>
          <w:b w:val="0"/>
          <w:bCs w:val="0"/>
          <w:color w:val="auto"/>
          <w:sz w:val="24"/>
          <w:szCs w:val="24"/>
          <w:lang w:eastAsia="zh-CN"/>
        </w:rPr>
        <w:t>西安市水资源保护中心</w:t>
      </w:r>
      <w:r>
        <w:rPr>
          <w:rFonts w:hint="eastAsia" w:ascii="仿宋" w:hAnsi="仿宋" w:eastAsia="仿宋" w:cs="仿宋"/>
          <w:b w:val="0"/>
          <w:bCs w:val="0"/>
          <w:color w:val="auto"/>
          <w:sz w:val="24"/>
          <w:szCs w:val="24"/>
        </w:rPr>
        <w:t xml:space="preserve">递交资料，由甲方组织验收。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    第</w:t>
      </w:r>
      <w:r>
        <w:rPr>
          <w:rFonts w:hint="eastAsia" w:ascii="仿宋" w:hAnsi="仿宋" w:eastAsia="仿宋" w:cs="仿宋"/>
          <w:b w:val="0"/>
          <w:bCs w:val="0"/>
          <w:color w:val="auto"/>
          <w:sz w:val="24"/>
          <w:szCs w:val="24"/>
          <w:lang w:val="en-US" w:eastAsia="zh-CN"/>
        </w:rPr>
        <w:t>八</w:t>
      </w:r>
      <w:r>
        <w:rPr>
          <w:rFonts w:hint="eastAsia" w:ascii="仿宋" w:hAnsi="仿宋" w:eastAsia="仿宋" w:cs="仿宋"/>
          <w:b w:val="0"/>
          <w:bCs w:val="0"/>
          <w:color w:val="auto"/>
          <w:sz w:val="24"/>
          <w:szCs w:val="24"/>
        </w:rPr>
        <w:t>条  双方确定的本项目所产生的技术成果归属权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1．在本合同有效期内，甲方利用乙方提交的技术服务工作成果所完成的新的技术成果，归甲方所有。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2．在本合同有效期内，乙方利用甲方提供的技术资料和工作条件所完成的新的技术成果，归甲方所有。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    第</w:t>
      </w:r>
      <w:r>
        <w:rPr>
          <w:rFonts w:hint="eastAsia" w:ascii="仿宋" w:hAnsi="仿宋" w:eastAsia="仿宋" w:cs="仿宋"/>
          <w:b w:val="0"/>
          <w:bCs w:val="0"/>
          <w:color w:val="auto"/>
          <w:sz w:val="24"/>
          <w:szCs w:val="24"/>
          <w:lang w:val="en-US" w:eastAsia="zh-CN"/>
        </w:rPr>
        <w:t>九</w:t>
      </w:r>
      <w:r>
        <w:rPr>
          <w:rFonts w:hint="eastAsia" w:ascii="仿宋" w:hAnsi="仿宋" w:eastAsia="仿宋" w:cs="仿宋"/>
          <w:b w:val="0"/>
          <w:bCs w:val="0"/>
          <w:color w:val="auto"/>
          <w:sz w:val="24"/>
          <w:szCs w:val="24"/>
        </w:rPr>
        <w:t>条  双方确定，在本合同有效期内，甲方指定</w:t>
      </w:r>
      <w:r>
        <w:rPr>
          <w:rFonts w:hint="eastAsia" w:ascii="仿宋" w:hAnsi="仿宋" w:eastAsia="仿宋" w:cs="仿宋"/>
          <w:b w:val="0"/>
          <w:bCs w:val="0"/>
          <w:color w:val="auto"/>
          <w:sz w:val="24"/>
          <w:szCs w:val="24"/>
          <w:u w:val="single"/>
          <w:lang w:val="en-US" w:eastAsia="zh-CN"/>
        </w:rPr>
        <w:t xml:space="preserve">           </w:t>
      </w:r>
      <w:r>
        <w:rPr>
          <w:rFonts w:hint="eastAsia" w:ascii="仿宋" w:hAnsi="仿宋" w:eastAsia="仿宋" w:cs="仿宋"/>
          <w:b w:val="0"/>
          <w:bCs w:val="0"/>
          <w:color w:val="auto"/>
          <w:sz w:val="24"/>
          <w:szCs w:val="24"/>
        </w:rPr>
        <w:t>为甲方项目日常工作联系人，乙方指定</w:t>
      </w:r>
      <w:r>
        <w:rPr>
          <w:rFonts w:hint="eastAsia" w:ascii="仿宋" w:hAnsi="仿宋" w:eastAsia="仿宋" w:cs="仿宋"/>
          <w:b w:val="0"/>
          <w:bCs w:val="0"/>
          <w:color w:val="auto"/>
          <w:sz w:val="24"/>
          <w:szCs w:val="24"/>
          <w:u w:val="single"/>
          <w:lang w:eastAsia="zh-CN"/>
        </w:rPr>
        <w:t xml:space="preserve">           </w:t>
      </w:r>
      <w:r>
        <w:rPr>
          <w:rFonts w:hint="eastAsia" w:ascii="仿宋" w:hAnsi="仿宋" w:eastAsia="仿宋" w:cs="仿宋"/>
          <w:b w:val="0"/>
          <w:bCs w:val="0"/>
          <w:color w:val="auto"/>
          <w:sz w:val="24"/>
          <w:szCs w:val="24"/>
        </w:rPr>
        <w:t>为乙方项目联系人。项目联系人承担以下责任：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1．就项目实施中的技术问题进行双方沟通和协商；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2．就项目实施中的商务问题进行双方沟通和协调。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一方变更项目联系人的，应当及时以书面形式通知另一方，未及时通知并影响本合同履行或造成损失的，应承担相应的责任。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第十条  双方确定，发生不可抗力，致使本合同的履行成为不必要或不可能的，可以解除本合同：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    第十</w:t>
      </w:r>
      <w:r>
        <w:rPr>
          <w:rFonts w:hint="eastAsia" w:ascii="仿宋" w:hAnsi="仿宋" w:eastAsia="仿宋" w:cs="仿宋"/>
          <w:b w:val="0"/>
          <w:bCs w:val="0"/>
          <w:color w:val="auto"/>
          <w:sz w:val="24"/>
          <w:szCs w:val="24"/>
          <w:lang w:val="en-US" w:eastAsia="zh-CN"/>
        </w:rPr>
        <w:t>一</w:t>
      </w:r>
      <w:r>
        <w:rPr>
          <w:rFonts w:hint="eastAsia" w:ascii="仿宋" w:hAnsi="仿宋" w:eastAsia="仿宋" w:cs="仿宋"/>
          <w:b w:val="0"/>
          <w:bCs w:val="0"/>
          <w:color w:val="auto"/>
          <w:sz w:val="24"/>
          <w:szCs w:val="24"/>
        </w:rPr>
        <w:t>条  双方因履行本合同而发生的争议，应协商、调解解决。协商、调解不成的，确定按以下方式处理：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1．提交西安市仲裁委员会仲裁；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2．依法向人民法院起诉。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    第十</w:t>
      </w:r>
      <w:r>
        <w:rPr>
          <w:rFonts w:hint="eastAsia" w:ascii="仿宋" w:hAnsi="仿宋" w:eastAsia="仿宋" w:cs="仿宋"/>
          <w:b w:val="0"/>
          <w:bCs w:val="0"/>
          <w:color w:val="auto"/>
          <w:sz w:val="24"/>
          <w:szCs w:val="24"/>
          <w:lang w:val="en-US" w:eastAsia="zh-CN"/>
        </w:rPr>
        <w:t>二</w:t>
      </w:r>
      <w:r>
        <w:rPr>
          <w:rFonts w:hint="eastAsia" w:ascii="仿宋" w:hAnsi="仿宋" w:eastAsia="仿宋" w:cs="仿宋"/>
          <w:b w:val="0"/>
          <w:bCs w:val="0"/>
          <w:color w:val="auto"/>
          <w:sz w:val="24"/>
          <w:szCs w:val="24"/>
        </w:rPr>
        <w:t>条  与履行本合同有关的下列文件，经双方确认后，为本合同的组成部分：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1、合同文件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2、国家相关规范及标准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rPr>
        <w:t xml:space="preserve">、技术标准和规范：《水位观测标准》（GB/T50138-2010） ，《水道测量规范》（SL257-2000），《河流流量测验规范》（GB50179-93），《水文普通测量规范》（SL58-93），《水文自动测报系统技术规范》（SL61-2003），《水情自动测报系统运行维护规程》（DL/T 1014-2006），《水文资料整编规范》（SL247-1999）。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第十</w:t>
      </w:r>
      <w:r>
        <w:rPr>
          <w:rFonts w:hint="eastAsia" w:ascii="仿宋" w:hAnsi="仿宋" w:eastAsia="仿宋" w:cs="仿宋"/>
          <w:b w:val="0"/>
          <w:bCs w:val="0"/>
          <w:color w:val="auto"/>
          <w:sz w:val="24"/>
          <w:szCs w:val="24"/>
          <w:lang w:val="en-US" w:eastAsia="zh-CN"/>
        </w:rPr>
        <w:t>三</w:t>
      </w:r>
      <w:r>
        <w:rPr>
          <w:rFonts w:hint="eastAsia" w:ascii="仿宋" w:hAnsi="仿宋" w:eastAsia="仿宋" w:cs="仿宋"/>
          <w:b w:val="0"/>
          <w:bCs w:val="0"/>
          <w:color w:val="auto"/>
          <w:sz w:val="24"/>
          <w:szCs w:val="24"/>
        </w:rPr>
        <w:t>条  双方约定本合同其他相关事项为：另行约定。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第十</w:t>
      </w:r>
      <w:r>
        <w:rPr>
          <w:rFonts w:hint="eastAsia" w:ascii="仿宋" w:hAnsi="仿宋" w:eastAsia="仿宋" w:cs="仿宋"/>
          <w:b w:val="0"/>
          <w:bCs w:val="0"/>
          <w:color w:val="auto"/>
          <w:sz w:val="24"/>
          <w:szCs w:val="24"/>
          <w:lang w:val="en-US" w:eastAsia="zh-CN"/>
        </w:rPr>
        <w:t>四</w:t>
      </w:r>
      <w:r>
        <w:rPr>
          <w:rFonts w:hint="eastAsia" w:ascii="仿宋" w:hAnsi="仿宋" w:eastAsia="仿宋" w:cs="仿宋"/>
          <w:b w:val="0"/>
          <w:bCs w:val="0"/>
          <w:color w:val="auto"/>
          <w:sz w:val="24"/>
          <w:szCs w:val="24"/>
        </w:rPr>
        <w:t>条  本合同一式陆份，甲方肆份，乙方贰份，具有同等法律效力。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第十</w:t>
      </w:r>
      <w:r>
        <w:rPr>
          <w:rFonts w:hint="eastAsia" w:ascii="仿宋" w:hAnsi="仿宋" w:eastAsia="仿宋" w:cs="仿宋"/>
          <w:b w:val="0"/>
          <w:bCs w:val="0"/>
          <w:color w:val="auto"/>
          <w:sz w:val="24"/>
          <w:szCs w:val="24"/>
          <w:lang w:val="en-US" w:eastAsia="zh-CN"/>
        </w:rPr>
        <w:t>五</w:t>
      </w:r>
      <w:r>
        <w:rPr>
          <w:rFonts w:hint="eastAsia" w:ascii="仿宋" w:hAnsi="仿宋" w:eastAsia="仿宋" w:cs="仿宋"/>
          <w:b w:val="0"/>
          <w:bCs w:val="0"/>
          <w:color w:val="auto"/>
          <w:sz w:val="24"/>
          <w:szCs w:val="24"/>
        </w:rPr>
        <w:t>条  本合同经双方签字盖章后生效。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bCs/>
          <w:color w:val="auto"/>
          <w:sz w:val="24"/>
          <w:szCs w:val="24"/>
          <w:lang w:val="en-US" w:eastAsia="zh-CN"/>
        </w:rPr>
        <w:t>附件：</w:t>
      </w:r>
      <w:r>
        <w:rPr>
          <w:rFonts w:hint="eastAsia" w:ascii="仿宋" w:hAnsi="仿宋" w:eastAsia="仿宋" w:cs="仿宋"/>
          <w:b w:val="0"/>
          <w:bCs w:val="0"/>
          <w:color w:val="auto"/>
          <w:sz w:val="24"/>
          <w:szCs w:val="24"/>
          <w:lang w:val="en-US" w:eastAsia="zh-CN"/>
        </w:rPr>
        <w:t>《13个行政监测断面设施设备运行维护技术服务内容及要求》</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olor w:val="auto"/>
          <w:sz w:val="24"/>
          <w:szCs w:val="24"/>
        </w:rPr>
        <w:sectPr>
          <w:footerReference r:id="rId7" w:type="default"/>
          <w:pgSz w:w="11906" w:h="16838"/>
          <w:pgMar w:top="1440" w:right="1800" w:bottom="1440" w:left="1800" w:header="851" w:footer="992"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 w:val="24"/>
          <w:szCs w:val="24"/>
        </w:rPr>
      </w:pPr>
      <w:r>
        <w:rPr>
          <w:rFonts w:hint="eastAsia" w:ascii="仿宋" w:hAnsi="仿宋" w:eastAsia="仿宋"/>
          <w:sz w:val="24"/>
          <w:szCs w:val="24"/>
        </w:rPr>
        <w:t>（本页为签字盖章页面）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ascii="仿宋" w:hAnsi="仿宋" w:eastAsia="仿宋"/>
          <w:sz w:val="24"/>
          <w:szCs w:val="24"/>
          <w:u w:val="single"/>
        </w:rPr>
      </w:pPr>
      <w:r>
        <w:rPr>
          <w:rFonts w:hint="eastAsia" w:ascii="仿宋" w:hAnsi="仿宋" w:eastAsia="仿宋"/>
          <w:sz w:val="24"/>
          <w:szCs w:val="24"/>
        </w:rPr>
        <w:t>甲方：</w:t>
      </w:r>
      <w:r>
        <w:rPr>
          <w:rFonts w:hint="eastAsia" w:ascii="仿宋" w:hAnsi="仿宋" w:eastAsia="仿宋"/>
          <w:sz w:val="24"/>
          <w:szCs w:val="24"/>
          <w:u w:val="single"/>
        </w:rPr>
        <w:t xml:space="preserve"> </w:t>
      </w:r>
      <w:r>
        <w:rPr>
          <w:rFonts w:hint="eastAsia" w:ascii="仿宋" w:hAnsi="仿宋" w:eastAsia="仿宋"/>
          <w:snapToGrid w:val="0"/>
          <w:color w:val="auto"/>
          <w:sz w:val="24"/>
          <w:szCs w:val="24"/>
          <w:u w:val="single"/>
          <w:lang w:val="en-US" w:eastAsia="zh-CN"/>
        </w:rPr>
        <w:t xml:space="preserve">                     </w:t>
      </w:r>
      <w:r>
        <w:rPr>
          <w:rFonts w:hint="eastAsia" w:ascii="仿宋" w:hAnsi="仿宋" w:eastAsia="仿宋"/>
          <w:color w:val="auto"/>
          <w:sz w:val="24"/>
          <w:szCs w:val="24"/>
          <w:u w:val="single"/>
        </w:rPr>
        <w:t>（</w:t>
      </w:r>
      <w:r>
        <w:rPr>
          <w:rFonts w:hint="eastAsia" w:ascii="仿宋" w:hAnsi="仿宋" w:eastAsia="仿宋"/>
          <w:sz w:val="24"/>
          <w:szCs w:val="24"/>
          <w:u w:val="single"/>
        </w:rPr>
        <w:t>盖章）</w:t>
      </w:r>
      <w:r>
        <w:rPr>
          <w:rFonts w:hint="eastAsia" w:ascii="仿宋" w:hAnsi="仿宋" w:eastAsia="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 w:val="24"/>
          <w:szCs w:val="24"/>
        </w:rPr>
      </w:pPr>
      <w:r>
        <w:rPr>
          <w:rFonts w:hint="eastAsia" w:ascii="仿宋" w:hAnsi="仿宋" w:eastAsia="仿宋"/>
          <w:sz w:val="24"/>
          <w:szCs w:val="24"/>
        </w:rPr>
        <w:t xml:space="preserve">    法定代表人：</w:t>
      </w:r>
      <w:r>
        <w:rPr>
          <w:rFonts w:hint="eastAsia" w:ascii="仿宋" w:hAnsi="仿宋" w:eastAsia="仿宋"/>
          <w:sz w:val="24"/>
          <w:szCs w:val="24"/>
          <w:u w:val="single"/>
        </w:rPr>
        <w:t>　　　　  　　　 （签名）</w:t>
      </w:r>
      <w:r>
        <w:rPr>
          <w:rFonts w:hint="eastAsia" w:ascii="仿宋" w:hAnsi="仿宋" w:eastAsia="仿宋"/>
          <w:sz w:val="24"/>
          <w:szCs w:val="24"/>
        </w:rPr>
        <w:t>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sz w:val="24"/>
          <w:szCs w:val="24"/>
        </w:rPr>
      </w:pPr>
      <w:r>
        <w:rPr>
          <w:rFonts w:hint="eastAsia" w:ascii="仿宋" w:hAnsi="仿宋" w:eastAsia="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0" w:firstLineChars="2000"/>
        <w:textAlignment w:val="auto"/>
        <w:rPr>
          <w:rFonts w:ascii="仿宋" w:hAnsi="仿宋" w:eastAsia="仿宋"/>
          <w:sz w:val="24"/>
          <w:szCs w:val="24"/>
        </w:rPr>
      </w:pPr>
      <w:r>
        <w:rPr>
          <w:rFonts w:hint="eastAsia" w:ascii="仿宋" w:hAnsi="仿宋" w:eastAsia="仿宋"/>
          <w:sz w:val="24"/>
          <w:szCs w:val="24"/>
        </w:rPr>
        <w:t xml:space="preserve"> 年     月     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 w:val="24"/>
          <w:szCs w:val="24"/>
          <w:u w:val="single"/>
        </w:rPr>
      </w:pPr>
      <w:r>
        <w:rPr>
          <w:rFonts w:hint="eastAsia" w:ascii="仿宋" w:hAnsi="仿宋" w:eastAsia="仿宋"/>
          <w:sz w:val="24"/>
          <w:szCs w:val="24"/>
        </w:rPr>
        <w:t xml:space="preserve">     乙方：</w:t>
      </w:r>
      <w:r>
        <w:rPr>
          <w:rFonts w:hint="eastAsia" w:ascii="仿宋" w:hAnsi="仿宋" w:eastAsia="仿宋"/>
          <w:sz w:val="24"/>
          <w:szCs w:val="24"/>
          <w:u w:val="single"/>
        </w:rPr>
        <w:t xml:space="preserve"> </w:t>
      </w:r>
      <w:r>
        <w:rPr>
          <w:rFonts w:hint="eastAsia" w:ascii="仿宋" w:hAnsi="仿宋" w:eastAsia="仿宋"/>
          <w:sz w:val="24"/>
          <w:szCs w:val="24"/>
          <w:u w:val="single"/>
          <w:lang w:eastAsia="zh-CN"/>
        </w:rPr>
        <w:t xml:space="preserve">                </w:t>
      </w:r>
      <w:r>
        <w:rPr>
          <w:rFonts w:hint="eastAsia" w:ascii="仿宋" w:hAnsi="仿宋" w:eastAsia="仿宋"/>
          <w:sz w:val="24"/>
          <w:szCs w:val="24"/>
          <w:u w:val="single"/>
          <w:lang w:val="en-US" w:eastAsia="zh-CN"/>
        </w:rPr>
        <w:t xml:space="preserve">  </w:t>
      </w:r>
      <w:r>
        <w:rPr>
          <w:rFonts w:hint="eastAsia" w:ascii="仿宋" w:hAnsi="仿宋" w:eastAsia="仿宋"/>
          <w:sz w:val="24"/>
          <w:szCs w:val="24"/>
          <w:u w:val="single"/>
          <w:lang w:eastAsia="zh-CN"/>
        </w:rPr>
        <w:t xml:space="preserve">  </w:t>
      </w:r>
      <w:r>
        <w:rPr>
          <w:rFonts w:hint="eastAsia" w:ascii="仿宋" w:hAnsi="仿宋" w:eastAsia="仿宋"/>
          <w:sz w:val="24"/>
          <w:szCs w:val="24"/>
          <w:u w:val="single"/>
        </w:rPr>
        <w:t>（盖章）</w:t>
      </w:r>
      <w:r>
        <w:rPr>
          <w:rFonts w:hint="eastAsia" w:ascii="仿宋" w:hAnsi="仿宋" w:eastAsia="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 w:val="24"/>
          <w:szCs w:val="24"/>
          <w:u w:val="single"/>
        </w:rPr>
      </w:pPr>
      <w:r>
        <w:rPr>
          <w:rFonts w:hint="eastAsia" w:ascii="仿宋" w:hAnsi="仿宋" w:eastAsia="仿宋"/>
          <w:sz w:val="24"/>
          <w:szCs w:val="24"/>
        </w:rPr>
        <w:t xml:space="preserve">    法定代表人：</w:t>
      </w:r>
      <w:r>
        <w:rPr>
          <w:rFonts w:hint="eastAsia" w:ascii="仿宋" w:hAnsi="仿宋" w:eastAsia="仿宋"/>
          <w:sz w:val="24"/>
          <w:szCs w:val="24"/>
          <w:u w:val="single"/>
        </w:rPr>
        <w:t>　　　　  　　  （签名）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sz w:val="24"/>
          <w:szCs w:val="24"/>
        </w:rPr>
      </w:pPr>
      <w:r>
        <w:rPr>
          <w:rFonts w:hint="eastAsia" w:ascii="仿宋" w:hAnsi="仿宋" w:eastAsia="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0" w:firstLineChars="2000"/>
        <w:textAlignment w:val="auto"/>
        <w:rPr>
          <w:rFonts w:hint="eastAsia" w:ascii="仿宋" w:hAnsi="仿宋" w:eastAsia="仿宋"/>
          <w:sz w:val="24"/>
          <w:szCs w:val="24"/>
        </w:rPr>
      </w:pPr>
      <w:r>
        <w:rPr>
          <w:rFonts w:hint="eastAsia" w:ascii="仿宋" w:hAnsi="仿宋" w:eastAsia="仿宋"/>
          <w:sz w:val="24"/>
          <w:szCs w:val="24"/>
        </w:rPr>
        <w:t>年     月     日</w:t>
      </w:r>
    </w:p>
    <w:p>
      <w:pPr>
        <w:adjustRightInd w:val="0"/>
        <w:snapToGrid w:val="0"/>
        <w:spacing w:line="360" w:lineRule="auto"/>
        <w:ind w:firstLine="480" w:firstLineChars="200"/>
        <w:rPr>
          <w:rFonts w:ascii="仿宋_GB2312" w:hAnsi="仿宋_GB2312" w:eastAsia="仿宋_GB2312" w:cs="仿宋_GB2312"/>
          <w:color w:val="auto"/>
          <w:sz w:val="24"/>
          <w:szCs w:val="24"/>
          <w:highlight w:val="none"/>
        </w:rPr>
      </w:pPr>
    </w:p>
    <w:p>
      <w:pPr>
        <w:pStyle w:val="8"/>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color w:val="000000" w:themeColor="text1"/>
          <w:sz w:val="24"/>
          <w:szCs w:val="24"/>
          <w14:textFill>
            <w14:solidFill>
              <w14:schemeClr w14:val="tx1"/>
            </w14:solidFill>
          </w14:textFill>
        </w:rPr>
      </w:pPr>
    </w:p>
    <w:p>
      <w:pPr>
        <w:pageBreakBefore w:val="0"/>
        <w:widowControl w:val="0"/>
        <w:kinsoku/>
        <w:wordWrap/>
        <w:overflowPunct/>
        <w:topLinePunct w:val="0"/>
        <w:autoSpaceDE/>
        <w:autoSpaceDN/>
        <w:bidi w:val="0"/>
        <w:spacing w:beforeAutospacing="0" w:afterAutospacing="0" w:line="360" w:lineRule="auto"/>
        <w:rPr>
          <w:rFonts w:hint="eastAsia" w:ascii="仿宋" w:hAnsi="仿宋" w:eastAsia="仿宋" w:cs="仿宋"/>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鉴证方（盖章）：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000000" w:themeColor="text1"/>
          <w:sz w:val="24"/>
          <w:szCs w:val="24"/>
          <w:lang w:val="en-US" w:eastAsia="zh-CN"/>
          <w14:textFill>
            <w14:solidFill>
              <w14:schemeClr w14:val="tx1"/>
            </w14:solidFill>
          </w14:textFill>
        </w:rPr>
        <w:sectPr>
          <w:pgSz w:w="11906" w:h="16838"/>
          <w:pgMar w:top="1440" w:right="1800" w:bottom="1440" w:left="1800" w:header="851" w:footer="992" w:gutter="0"/>
          <w:pgNumType w:fmt="decimal"/>
          <w:cols w:space="720" w:num="1"/>
          <w:docGrid w:type="lines" w:linePitch="312" w:charSpace="0"/>
        </w:sectPr>
      </w:pPr>
      <w:r>
        <w:rPr>
          <w:rFonts w:hint="eastAsia" w:ascii="仿宋" w:hAnsi="仿宋" w:eastAsia="仿宋" w:cs="仿宋"/>
          <w:color w:val="000000" w:themeColor="text1"/>
          <w:sz w:val="24"/>
          <w:szCs w:val="24"/>
          <w14:textFill>
            <w14:solidFill>
              <w14:schemeClr w14:val="tx1"/>
            </w14:solidFill>
          </w14:textFill>
        </w:rPr>
        <w:t>鉴证日期：</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u w:val="single"/>
          <w:lang w:val="en-US" w:eastAsia="zh-CN"/>
          <w14:textFill>
            <w14:solidFill>
              <w14:schemeClr w14:val="tx1"/>
            </w14:solidFill>
          </w14:textFill>
        </w:rPr>
        <w:t>日</w:t>
      </w:r>
    </w:p>
    <w:p>
      <w:pPr>
        <w:pStyle w:val="47"/>
        <w:spacing w:line="360" w:lineRule="auto"/>
        <w:rPr>
          <w:rStyle w:val="203"/>
          <w:rFonts w:ascii="宋体" w:hAnsi="宋体" w:eastAsia="宋体"/>
          <w:color w:val="auto"/>
          <w:sz w:val="36"/>
          <w:szCs w:val="36"/>
          <w:highlight w:val="none"/>
        </w:rPr>
      </w:pPr>
      <w:bookmarkStart w:id="438" w:name="_Toc58504448"/>
      <w:bookmarkStart w:id="439" w:name="_Toc68590980"/>
      <w:r>
        <w:rPr>
          <w:rStyle w:val="203"/>
          <w:rFonts w:hint="eastAsia" w:ascii="宋体" w:hAnsi="宋体" w:eastAsia="宋体"/>
          <w:color w:val="auto"/>
          <w:sz w:val="36"/>
          <w:szCs w:val="36"/>
          <w:highlight w:val="none"/>
        </w:rPr>
        <w:t>第五章  采购内容及要求</w:t>
      </w:r>
      <w:bookmarkEnd w:id="438"/>
      <w:bookmarkEnd w:id="439"/>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b/>
          <w:bCs/>
          <w:color w:val="auto"/>
          <w:sz w:val="24"/>
          <w:szCs w:val="24"/>
          <w:highlight w:val="none"/>
          <w:lang w:val="zh-CN"/>
        </w:rPr>
      </w:pPr>
      <w:bookmarkStart w:id="440" w:name="_Toc389620241"/>
      <w:bookmarkStart w:id="441" w:name="_Toc385992401"/>
      <w:bookmarkStart w:id="442" w:name="_Toc415499899"/>
      <w:bookmarkStart w:id="443" w:name="_Toc31008"/>
      <w:bookmarkStart w:id="444" w:name="_Toc68590981"/>
      <w:bookmarkStart w:id="445" w:name="_Toc58504449"/>
      <w:r>
        <w:rPr>
          <w:rFonts w:hint="eastAsia" w:ascii="仿宋" w:hAnsi="仿宋" w:eastAsia="仿宋"/>
          <w:b/>
          <w:bCs/>
          <w:color w:val="auto"/>
          <w:sz w:val="24"/>
          <w:szCs w:val="24"/>
          <w:highlight w:val="none"/>
          <w:lang w:val="zh-CN"/>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西安市主要河流区（县）界行政断面水质水量监测项目位于西安市各行政区（县）交界处或入渭口，包括周至县、鄠邑区、长安区、高陵区、阎良区、灞桥区和临潼区等，建设有13处河流断面、1处水质水量信息中心，同时配备相应水质水量监测仪器设备。基础设施包括水位流量计塔、断面标志牌、水体监测断面标示碑、水准点、水尺等；仪器设备配备有水质监测设备流动分析注射仪，雷达流量计、雷达水位计、太阳能供电系统、信息处理与传输系统、服务器和数据管理设备等。项目用于监测各区县行政断面水质水量情况，在落实最严格水资源管理制度中发挥重要作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Times New Roman"/>
          <w:b/>
          <w:bCs/>
          <w:color w:val="auto"/>
          <w:sz w:val="24"/>
          <w:szCs w:val="24"/>
          <w:highlight w:val="none"/>
          <w:lang w:val="zh-CN"/>
        </w:rPr>
      </w:pPr>
      <w:r>
        <w:rPr>
          <w:rFonts w:hint="eastAsia" w:ascii="仿宋" w:hAnsi="仿宋" w:eastAsia="仿宋" w:cs="Times New Roman"/>
          <w:b/>
          <w:bCs/>
          <w:color w:val="auto"/>
          <w:sz w:val="24"/>
          <w:szCs w:val="24"/>
          <w:highlight w:val="none"/>
          <w:lang w:val="zh-CN"/>
        </w:rPr>
        <w:t>二、运行维护主要内容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
          <w:bCs/>
          <w:color w:val="auto"/>
          <w:sz w:val="24"/>
          <w:szCs w:val="24"/>
          <w:highlight w:val="none"/>
          <w:lang w:val="zh-CN"/>
        </w:rPr>
      </w:pPr>
      <w:r>
        <w:rPr>
          <w:rFonts w:hint="eastAsia" w:ascii="仿宋" w:hAnsi="仿宋" w:eastAsia="仿宋"/>
          <w:color w:val="auto"/>
          <w:sz w:val="24"/>
          <w:szCs w:val="24"/>
          <w:highlight w:val="none"/>
          <w:lang w:val="zh-CN"/>
        </w:rPr>
        <w:t>通过对西安市主要河流县(区)行政界断面水质水量监测系统进行规范化的运行维护技术服务，完成水位流量曲线率定工作，保障断面测流系统、设施设备安全、稳定，数据真实、可靠。适时对断面水毁环境进行修复，疏浚、改造断面有关河道地形条件，</w:t>
      </w:r>
      <w:r>
        <w:rPr>
          <w:rFonts w:hint="eastAsia" w:ascii="仿宋" w:hAnsi="仿宋" w:eastAsia="仿宋"/>
          <w:b w:val="0"/>
          <w:bCs w:val="0"/>
          <w:color w:val="auto"/>
          <w:sz w:val="24"/>
          <w:szCs w:val="24"/>
          <w:highlight w:val="none"/>
          <w:lang w:val="zh-CN"/>
        </w:rPr>
        <w:t>保障设备正常监测。所有维护行为均流程化、规范化，操作步骤标准，记录及时，保证设备、设施安全稳定。通过一系列运维技术服务工作的开展，保障西安市主要河流县区</w:t>
      </w:r>
      <w:r>
        <w:rPr>
          <w:rFonts w:hint="eastAsia" w:ascii="仿宋" w:hAnsi="仿宋" w:eastAsia="仿宋" w:cs="Times New Roman"/>
          <w:b w:val="0"/>
          <w:bCs w:val="0"/>
          <w:color w:val="auto"/>
          <w:sz w:val="24"/>
          <w:szCs w:val="24"/>
          <w:highlight w:val="none"/>
          <w:lang w:val="zh-CN"/>
        </w:rPr>
        <w:t>界行政断面水质水量监测项目的正常运行。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Times New Roman"/>
          <w:b/>
          <w:bCs/>
          <w:color w:val="auto"/>
          <w:sz w:val="24"/>
          <w:szCs w:val="24"/>
          <w:highlight w:val="none"/>
          <w:lang w:val="zh-CN"/>
        </w:rPr>
      </w:pPr>
      <w:r>
        <w:rPr>
          <w:rFonts w:hint="eastAsia" w:ascii="仿宋" w:hAnsi="仿宋" w:eastAsia="仿宋" w:cs="Times New Roman"/>
          <w:b/>
          <w:bCs/>
          <w:color w:val="auto"/>
          <w:sz w:val="24"/>
          <w:szCs w:val="24"/>
          <w:highlight w:val="none"/>
          <w:lang w:val="zh-CN"/>
        </w:rPr>
        <w:t>三、运维周期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FF0000"/>
          <w:sz w:val="24"/>
          <w:szCs w:val="24"/>
          <w:highlight w:val="none"/>
          <w:lang w:val="zh-CN"/>
        </w:rPr>
      </w:pPr>
      <w:r>
        <w:rPr>
          <w:rFonts w:hint="eastAsia" w:ascii="仿宋" w:hAnsi="仿宋" w:eastAsia="仿宋"/>
          <w:color w:val="auto"/>
          <w:sz w:val="24"/>
          <w:szCs w:val="24"/>
          <w:highlight w:val="none"/>
          <w:lang w:val="en-US" w:eastAsia="zh-CN"/>
        </w:rPr>
        <w:t>西安市主要河流县(区)行政界断面水质水量监测项目运行维护周期为一年。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Times New Roman"/>
          <w:b/>
          <w:bCs/>
          <w:color w:val="auto"/>
          <w:sz w:val="24"/>
          <w:szCs w:val="24"/>
          <w:highlight w:val="none"/>
          <w:lang w:val="zh-CN"/>
        </w:rPr>
      </w:pPr>
      <w:r>
        <w:rPr>
          <w:rFonts w:hint="eastAsia" w:ascii="仿宋" w:hAnsi="仿宋" w:eastAsia="仿宋" w:cs="Times New Roman"/>
          <w:b/>
          <w:bCs/>
          <w:color w:val="auto"/>
          <w:sz w:val="24"/>
          <w:szCs w:val="24"/>
          <w:highlight w:val="none"/>
          <w:lang w:val="zh-CN"/>
        </w:rPr>
        <w:t>四、具体运行维护方案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（一）数据采集接收系统维护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1、信息中心系统及观测设备运行维护。保障监测数据采集、通讯、接收、处理、输出正常，所有设备正常运行，输出数据满足水文规范要求和用户使用要求。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2、维护维修信息中心计算网络设备、DLP显示系统、数据接收软件、应用软件、处理软件、投影设备、打印设备、ADV、ADCP及遥测测船等设施；根据需要，对中心办公网络、办公设备及办公环境等进行维修维护和升级改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3、维护断面列表中所有河流断面的雷达水位计、雷达流量计、遥测数据传输终端、太阳能板、蓄电池、GPRS通信设备等设备。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4、断面巡护，做好周边环境整治和河道清理工作。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（二）水位流量关系曲线率定及数据处理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开展水位关系曲线率定，将水位流量关系率定的结果应用于数据处理系统，确保系统输出的流量等信息数据，误差在国家标准范围内，符合实际，科学合理。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1、监测河段水位数据校核和处理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采用人工观测水位与雷达水位计探测水位比对校核或用其他测距方法施测水位与雷达水位计探测水位比对校核雷达水位计的准确性，按《水位观测规范》要求进行调整和数据处理，保证水位的正确性和准确性。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2、监测河段大断面测量和数据处理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结合河道变化、洪水冲刷情况，开展监测河段大断面测量，除此之外，每场洪水过后对本场洪水最高洪水位以下大断面进行测量， 并对测量数据进行计算分析，建立水位—面积关系曲线，及时更新系统中的曲线节点数据，保证流量数据的正确性和准确性。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3、监测河段流速测量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枯水期和平水期流速测量。枯水期和平水期河道水深小于0.5米时，采用流速仪和雷达流速仪比对测量，分别计算流量。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洪水期流速测量。洪水期河道水深大于0.5米时，采用率定过的雷达流速仪和监测站雷达流速仪比对测量，分别计算流量。或采用比降面积法计算流量与测站雷达流速仪比对。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流速比对测量次数。每站次数为30—35次，有效次数不小于30次，并分布于不同月份。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4、雷达流量计流速系数分析计算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对流速测量数据进行处理，分析计算测站雷达流速仪系数，结合大断面测量成果重新计算各测次流量。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5、水位—流量关系率定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根据流量计算成果与相应的水位建立水位—流量关系线，摘取节点，加入到系统中作为流量查算的依据。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6、水位流速与水量关系监测数据处理和率定要求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根据天气预报或水文部门水情预警预报，掌握河流洪水涨落时间，抓住有利时机开展洪水期水位、流速、大断面测量，完成水位流量关系率定任务。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7、水质水文资料整编和系统维护技术档案整理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水质水文资料整编。实行日平均流量计算和年、月径流量统计。按照《水文资料整编规范》和水环境监测有关规定要求在元月份完成水质水文资料整编（包括借用站点的水文资料），提交历年整编成果，要求电子档光盘（或U盘）3套，纸质档2套存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系统维护技术档案整理。按照设施设备管理、系统维护台账、系统技术资料3部分内容分册对上述各方面技术资料进行整理，提交整理成果，要求电子档光盘（所有资料扫描电子数据）1套，纸质档1套存档。参照自测断面流量数据量，购买两个借用断面（灞河马渡王，沣河高桥）流量数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（三）水毁修复及河道疏浚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zh-CN"/>
        </w:rPr>
        <w:t xml:space="preserve">1、根据监测工作需要，完成断面水位塔基础周边5米以内水毁加固，包括护坡加固、水位塔基础加固、水尺及爬梯修复等工作，施工完成后立即恢复断面环境。 </w:t>
      </w:r>
      <w:r>
        <w:rPr>
          <w:rFonts w:hint="eastAsia" w:ascii="仿宋" w:hAnsi="仿宋" w:eastAsia="仿宋"/>
          <w:color w:val="auto"/>
          <w:sz w:val="24"/>
          <w:szCs w:val="24"/>
          <w:highlight w:val="none"/>
          <w:lang w:val="en-US" w:eastAsia="zh-CN"/>
        </w:rPr>
        <w:t>50年一遇以内洪水造成的水毁修复，均包含在此项目运维工作范围以内。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2、视情况进行水位计、流速仪、RTU等设备迁移，开展河道疏浚，完成与信息中心的对接调试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3、疏通水位塔下方河道土方，使水位计、流速仪能够正常测流。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（四）其他工作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zh-CN"/>
        </w:rPr>
        <w:t>根据</w:t>
      </w:r>
      <w:r>
        <w:rPr>
          <w:rFonts w:hint="eastAsia" w:ascii="仿宋" w:hAnsi="仿宋" w:eastAsia="仿宋"/>
          <w:color w:val="auto"/>
          <w:sz w:val="24"/>
          <w:szCs w:val="24"/>
          <w:highlight w:val="none"/>
          <w:lang w:val="en-US" w:eastAsia="zh-CN"/>
        </w:rPr>
        <w:t>水质</w:t>
      </w:r>
      <w:r>
        <w:rPr>
          <w:rFonts w:hint="eastAsia" w:ascii="仿宋" w:hAnsi="仿宋" w:eastAsia="仿宋"/>
          <w:color w:val="auto"/>
          <w:sz w:val="24"/>
          <w:szCs w:val="24"/>
          <w:highlight w:val="none"/>
          <w:lang w:val="zh-CN"/>
        </w:rPr>
        <w:t>监测工作需要，配备监测试剂、耗材、配件等，完成水样采集，</w:t>
      </w:r>
      <w:r>
        <w:rPr>
          <w:rFonts w:hint="eastAsia" w:ascii="仿宋" w:hAnsi="仿宋" w:eastAsia="仿宋"/>
          <w:color w:val="auto"/>
          <w:sz w:val="24"/>
          <w:szCs w:val="24"/>
          <w:highlight w:val="none"/>
          <w:lang w:val="en-US" w:eastAsia="zh-CN"/>
        </w:rPr>
        <w:t>开展13个断面丰水期、枯水期、平水期水质监测，监测项目为化学需氧量（COD）、氨氮（NH3-N）。以及完成与本项目相关的其他工作。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Times New Roman"/>
          <w:b/>
          <w:bCs/>
          <w:color w:val="auto"/>
          <w:sz w:val="24"/>
          <w:szCs w:val="24"/>
          <w:highlight w:val="none"/>
          <w:lang w:val="zh-CN"/>
        </w:rPr>
      </w:pPr>
      <w:r>
        <w:rPr>
          <w:rFonts w:hint="eastAsia" w:ascii="仿宋" w:hAnsi="仿宋" w:eastAsia="仿宋" w:cs="Times New Roman"/>
          <w:b/>
          <w:bCs/>
          <w:color w:val="auto"/>
          <w:sz w:val="24"/>
          <w:szCs w:val="24"/>
          <w:highlight w:val="none"/>
          <w:lang w:val="en-US" w:eastAsia="zh-CN"/>
        </w:rPr>
        <w:t>五</w:t>
      </w:r>
      <w:r>
        <w:rPr>
          <w:rFonts w:hint="eastAsia" w:ascii="仿宋" w:hAnsi="仿宋" w:eastAsia="仿宋" w:cs="Times New Roman"/>
          <w:b/>
          <w:bCs/>
          <w:color w:val="auto"/>
          <w:sz w:val="24"/>
          <w:szCs w:val="24"/>
          <w:highlight w:val="none"/>
          <w:lang w:val="zh-CN"/>
        </w:rPr>
        <w:t>、工程量清单</w:t>
      </w:r>
    </w:p>
    <w:p>
      <w:pPr>
        <w:spacing w:line="360" w:lineRule="auto"/>
        <w:ind w:firstLine="646"/>
        <w:jc w:val="center"/>
        <w:rPr>
          <w:rFonts w:ascii="仿宋_GB2312" w:eastAsia="仿宋_GB2312" w:cs="仿宋"/>
          <w:sz w:val="28"/>
          <w:szCs w:val="28"/>
          <w:lang w:val="zh-CN"/>
        </w:rPr>
      </w:pPr>
      <w:r>
        <w:rPr>
          <w:rFonts w:hint="eastAsia" w:ascii="仿宋_GB2312" w:eastAsia="仿宋_GB2312" w:cs="仿宋"/>
          <w:sz w:val="28"/>
          <w:szCs w:val="28"/>
          <w:lang w:val="zh-CN"/>
        </w:rPr>
        <w:t>表</w:t>
      </w:r>
      <w:r>
        <w:rPr>
          <w:rFonts w:hint="eastAsia" w:ascii="仿宋_GB2312" w:eastAsia="仿宋_GB2312" w:cs="仿宋"/>
          <w:sz w:val="28"/>
          <w:szCs w:val="28"/>
        </w:rPr>
        <w:t>4.1</w:t>
      </w:r>
      <w:r>
        <w:rPr>
          <w:rFonts w:hint="eastAsia" w:ascii="仿宋_GB2312" w:eastAsia="仿宋_GB2312" w:cs="仿宋"/>
          <w:sz w:val="28"/>
          <w:szCs w:val="28"/>
          <w:lang w:val="zh-CN"/>
        </w:rPr>
        <w:t>信息中心及观测设备维护工程量清单</w:t>
      </w:r>
    </w:p>
    <w:tbl>
      <w:tblPr>
        <w:tblStyle w:val="50"/>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611"/>
        <w:gridCol w:w="1230"/>
        <w:gridCol w:w="923"/>
        <w:gridCol w:w="3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32"/>
                <w:szCs w:val="32"/>
              </w:rPr>
            </w:pPr>
            <w:r>
              <w:rPr>
                <w:rFonts w:hint="eastAsia" w:ascii="仿宋_GB2312" w:eastAsia="仿宋_GB2312" w:cs="仿宋"/>
                <w:b/>
                <w:bCs/>
                <w:sz w:val="24"/>
              </w:rPr>
              <w:t>序号</w:t>
            </w:r>
          </w:p>
        </w:tc>
        <w:tc>
          <w:tcPr>
            <w:tcW w:w="2611" w:type="dxa"/>
            <w:noWrap w:val="0"/>
            <w:vAlign w:val="top"/>
          </w:tcPr>
          <w:p>
            <w:pPr>
              <w:spacing w:line="560" w:lineRule="exact"/>
              <w:jc w:val="center"/>
              <w:rPr>
                <w:rFonts w:ascii="仿宋_GB2312" w:eastAsia="仿宋_GB2312" w:cs="仿宋"/>
                <w:b/>
                <w:bCs/>
                <w:sz w:val="24"/>
              </w:rPr>
            </w:pPr>
            <w:r>
              <w:rPr>
                <w:rFonts w:hint="eastAsia" w:ascii="仿宋_GB2312" w:eastAsia="仿宋_GB2312" w:cs="仿宋"/>
                <w:b/>
                <w:bCs/>
                <w:sz w:val="24"/>
              </w:rPr>
              <w:t>维护项目</w:t>
            </w:r>
          </w:p>
        </w:tc>
        <w:tc>
          <w:tcPr>
            <w:tcW w:w="1230" w:type="dxa"/>
            <w:noWrap w:val="0"/>
            <w:vAlign w:val="top"/>
          </w:tcPr>
          <w:p>
            <w:pPr>
              <w:spacing w:line="560" w:lineRule="exact"/>
              <w:jc w:val="center"/>
              <w:rPr>
                <w:rFonts w:ascii="仿宋_GB2312" w:eastAsia="仿宋_GB2312" w:cs="仿宋"/>
                <w:sz w:val="32"/>
                <w:szCs w:val="32"/>
              </w:rPr>
            </w:pPr>
            <w:r>
              <w:rPr>
                <w:rFonts w:hint="eastAsia" w:ascii="仿宋_GB2312" w:eastAsia="仿宋_GB2312" w:cs="仿宋"/>
                <w:b/>
                <w:bCs/>
                <w:sz w:val="24"/>
              </w:rPr>
              <w:t>单位</w:t>
            </w:r>
          </w:p>
        </w:tc>
        <w:tc>
          <w:tcPr>
            <w:tcW w:w="923" w:type="dxa"/>
            <w:noWrap w:val="0"/>
            <w:vAlign w:val="top"/>
          </w:tcPr>
          <w:p>
            <w:pPr>
              <w:spacing w:line="560" w:lineRule="exact"/>
              <w:jc w:val="center"/>
              <w:rPr>
                <w:rFonts w:ascii="仿宋_GB2312" w:eastAsia="仿宋_GB2312" w:cs="仿宋"/>
                <w:b/>
                <w:bCs/>
                <w:sz w:val="24"/>
              </w:rPr>
            </w:pPr>
            <w:r>
              <w:rPr>
                <w:rFonts w:hint="eastAsia" w:ascii="仿宋_GB2312" w:eastAsia="仿宋_GB2312" w:cs="仿宋"/>
                <w:b/>
                <w:bCs/>
                <w:sz w:val="24"/>
              </w:rPr>
              <w:t>数量</w:t>
            </w:r>
          </w:p>
        </w:tc>
        <w:tc>
          <w:tcPr>
            <w:tcW w:w="3480" w:type="dxa"/>
            <w:noWrap w:val="0"/>
            <w:vAlign w:val="top"/>
          </w:tcPr>
          <w:p>
            <w:pPr>
              <w:spacing w:line="560" w:lineRule="exact"/>
              <w:jc w:val="center"/>
              <w:rPr>
                <w:rFonts w:ascii="仿宋_GB2312" w:eastAsia="仿宋_GB2312" w:cs="仿宋"/>
                <w:b/>
                <w:bCs/>
                <w:sz w:val="24"/>
              </w:rPr>
            </w:pPr>
            <w:r>
              <w:rPr>
                <w:rFonts w:hint="eastAsia" w:ascii="仿宋_GB2312" w:eastAsia="仿宋_GB2312" w:cs="仿宋"/>
                <w:b/>
                <w:bCs/>
                <w:sz w:val="24"/>
              </w:rPr>
              <w:t>维护频率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光纤</w:t>
            </w:r>
          </w:p>
        </w:tc>
        <w:tc>
          <w:tcPr>
            <w:tcW w:w="123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条</w:t>
            </w:r>
          </w:p>
        </w:tc>
        <w:tc>
          <w:tcPr>
            <w:tcW w:w="923"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一周一次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2</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GPRS接收设备</w:t>
            </w:r>
          </w:p>
        </w:tc>
        <w:tc>
          <w:tcPr>
            <w:tcW w:w="123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套</w:t>
            </w:r>
          </w:p>
        </w:tc>
        <w:tc>
          <w:tcPr>
            <w:tcW w:w="923"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一周一次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3</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采集服务器</w:t>
            </w:r>
          </w:p>
        </w:tc>
        <w:tc>
          <w:tcPr>
            <w:tcW w:w="123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台</w:t>
            </w:r>
          </w:p>
        </w:tc>
        <w:tc>
          <w:tcPr>
            <w:tcW w:w="923"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一周一次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4</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存储服务器</w:t>
            </w:r>
          </w:p>
        </w:tc>
        <w:tc>
          <w:tcPr>
            <w:tcW w:w="123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台</w:t>
            </w:r>
          </w:p>
        </w:tc>
        <w:tc>
          <w:tcPr>
            <w:tcW w:w="923"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一周一次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5</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客户端</w:t>
            </w:r>
          </w:p>
        </w:tc>
        <w:tc>
          <w:tcPr>
            <w:tcW w:w="123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台</w:t>
            </w:r>
          </w:p>
        </w:tc>
        <w:tc>
          <w:tcPr>
            <w:tcW w:w="923"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4</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一周一次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6</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KVM</w:t>
            </w:r>
          </w:p>
        </w:tc>
        <w:tc>
          <w:tcPr>
            <w:tcW w:w="123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台</w:t>
            </w:r>
          </w:p>
        </w:tc>
        <w:tc>
          <w:tcPr>
            <w:tcW w:w="923"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一周一次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7</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笔记本电脑</w:t>
            </w:r>
          </w:p>
        </w:tc>
        <w:tc>
          <w:tcPr>
            <w:tcW w:w="123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台</w:t>
            </w:r>
          </w:p>
        </w:tc>
        <w:tc>
          <w:tcPr>
            <w:tcW w:w="923"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一月一次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8</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交换机</w:t>
            </w:r>
          </w:p>
        </w:tc>
        <w:tc>
          <w:tcPr>
            <w:tcW w:w="123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台</w:t>
            </w:r>
          </w:p>
        </w:tc>
        <w:tc>
          <w:tcPr>
            <w:tcW w:w="923"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2</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一月一次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9</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打印机</w:t>
            </w:r>
          </w:p>
        </w:tc>
        <w:tc>
          <w:tcPr>
            <w:tcW w:w="123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台</w:t>
            </w:r>
          </w:p>
        </w:tc>
        <w:tc>
          <w:tcPr>
            <w:tcW w:w="923"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2</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一月一次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10</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打印传真一体机</w:t>
            </w:r>
          </w:p>
        </w:tc>
        <w:tc>
          <w:tcPr>
            <w:tcW w:w="123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台</w:t>
            </w:r>
          </w:p>
        </w:tc>
        <w:tc>
          <w:tcPr>
            <w:tcW w:w="923"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一月一次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11</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防雷保护器</w:t>
            </w:r>
          </w:p>
        </w:tc>
        <w:tc>
          <w:tcPr>
            <w:tcW w:w="123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套</w:t>
            </w:r>
          </w:p>
        </w:tc>
        <w:tc>
          <w:tcPr>
            <w:tcW w:w="923"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汛期一周一次，非汛期一月一次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12</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稳压电源</w:t>
            </w:r>
          </w:p>
        </w:tc>
        <w:tc>
          <w:tcPr>
            <w:tcW w:w="123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套</w:t>
            </w:r>
          </w:p>
        </w:tc>
        <w:tc>
          <w:tcPr>
            <w:tcW w:w="923"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一月一次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13</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路由器</w:t>
            </w:r>
          </w:p>
        </w:tc>
        <w:tc>
          <w:tcPr>
            <w:tcW w:w="123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台</w:t>
            </w:r>
          </w:p>
        </w:tc>
        <w:tc>
          <w:tcPr>
            <w:tcW w:w="923"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一月一次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14</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防火墙</w:t>
            </w:r>
          </w:p>
        </w:tc>
        <w:tc>
          <w:tcPr>
            <w:tcW w:w="123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台</w:t>
            </w:r>
          </w:p>
        </w:tc>
        <w:tc>
          <w:tcPr>
            <w:tcW w:w="923"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一月一次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15</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不断电源</w:t>
            </w:r>
          </w:p>
        </w:tc>
        <w:tc>
          <w:tcPr>
            <w:tcW w:w="123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套</w:t>
            </w:r>
          </w:p>
        </w:tc>
        <w:tc>
          <w:tcPr>
            <w:tcW w:w="923"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一周一次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16</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免维护电池</w:t>
            </w:r>
          </w:p>
        </w:tc>
        <w:tc>
          <w:tcPr>
            <w:tcW w:w="123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块</w:t>
            </w:r>
          </w:p>
        </w:tc>
        <w:tc>
          <w:tcPr>
            <w:tcW w:w="923"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2</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一周一次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17</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遥控电动船</w:t>
            </w:r>
          </w:p>
        </w:tc>
        <w:tc>
          <w:tcPr>
            <w:tcW w:w="123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艘</w:t>
            </w:r>
          </w:p>
        </w:tc>
        <w:tc>
          <w:tcPr>
            <w:tcW w:w="923"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一月一次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18</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ADV</w:t>
            </w:r>
          </w:p>
        </w:tc>
        <w:tc>
          <w:tcPr>
            <w:tcW w:w="123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套</w:t>
            </w:r>
          </w:p>
        </w:tc>
        <w:tc>
          <w:tcPr>
            <w:tcW w:w="923"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2</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一月一次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19</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ADCP</w:t>
            </w:r>
          </w:p>
        </w:tc>
        <w:tc>
          <w:tcPr>
            <w:tcW w:w="123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套</w:t>
            </w:r>
          </w:p>
        </w:tc>
        <w:tc>
          <w:tcPr>
            <w:tcW w:w="923"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一月一次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20</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DLP显示系统</w:t>
            </w:r>
          </w:p>
        </w:tc>
        <w:tc>
          <w:tcPr>
            <w:tcW w:w="123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套</w:t>
            </w:r>
          </w:p>
        </w:tc>
        <w:tc>
          <w:tcPr>
            <w:tcW w:w="923"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一周一次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21</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雷达水位计</w:t>
            </w:r>
          </w:p>
        </w:tc>
        <w:tc>
          <w:tcPr>
            <w:tcW w:w="123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套</w:t>
            </w:r>
          </w:p>
        </w:tc>
        <w:tc>
          <w:tcPr>
            <w:tcW w:w="923"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12</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一周一次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22</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雷达流量计</w:t>
            </w:r>
          </w:p>
        </w:tc>
        <w:tc>
          <w:tcPr>
            <w:tcW w:w="123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套</w:t>
            </w:r>
          </w:p>
        </w:tc>
        <w:tc>
          <w:tcPr>
            <w:tcW w:w="923"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15</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一周一次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23</w:t>
            </w:r>
          </w:p>
        </w:tc>
        <w:tc>
          <w:tcPr>
            <w:tcW w:w="2611" w:type="dxa"/>
            <w:noWrap w:val="0"/>
            <w:vAlign w:val="top"/>
          </w:tcPr>
          <w:p>
            <w:pPr>
              <w:spacing w:line="560" w:lineRule="exact"/>
              <w:jc w:val="center"/>
              <w:rPr>
                <w:rFonts w:hint="default" w:ascii="仿宋_GB2312" w:eastAsia="仿宋_GB2312" w:cs="仿宋"/>
                <w:sz w:val="24"/>
                <w:lang w:val="en-US" w:eastAsia="zh-CN"/>
              </w:rPr>
            </w:pPr>
            <w:r>
              <w:rPr>
                <w:rFonts w:hint="eastAsia" w:ascii="仿宋_GB2312" w:eastAsia="仿宋_GB2312" w:cs="仿宋"/>
                <w:sz w:val="24"/>
                <w:lang w:val="en-US" w:eastAsia="zh-CN"/>
              </w:rPr>
              <w:t>设立项目库房</w:t>
            </w:r>
          </w:p>
        </w:tc>
        <w:tc>
          <w:tcPr>
            <w:tcW w:w="1230" w:type="dxa"/>
            <w:noWrap w:val="0"/>
            <w:vAlign w:val="top"/>
          </w:tcPr>
          <w:p>
            <w:pPr>
              <w:spacing w:line="560" w:lineRule="exact"/>
              <w:jc w:val="center"/>
              <w:rPr>
                <w:rFonts w:hint="eastAsia" w:ascii="仿宋_GB2312" w:eastAsia="仿宋_GB2312" w:cs="仿宋"/>
                <w:sz w:val="24"/>
                <w:lang w:eastAsia="zh-CN"/>
              </w:rPr>
            </w:pPr>
            <w:r>
              <w:rPr>
                <w:rFonts w:hint="eastAsia" w:ascii="仿宋_GB2312" w:eastAsia="仿宋_GB2312" w:cs="仿宋"/>
                <w:sz w:val="24"/>
                <w:lang w:val="en-US" w:eastAsia="zh-CN"/>
              </w:rPr>
              <w:t>套</w:t>
            </w:r>
          </w:p>
        </w:tc>
        <w:tc>
          <w:tcPr>
            <w:tcW w:w="923"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w:t>
            </w:r>
          </w:p>
        </w:tc>
        <w:tc>
          <w:tcPr>
            <w:tcW w:w="3480" w:type="dxa"/>
            <w:noWrap w:val="0"/>
            <w:vAlign w:val="top"/>
          </w:tcPr>
          <w:p>
            <w:pPr>
              <w:spacing w:line="560" w:lineRule="exact"/>
              <w:jc w:val="center"/>
              <w:rPr>
                <w:rFonts w:hint="default" w:ascii="仿宋_GB2312" w:eastAsia="仿宋_GB2312" w:cs="仿宋"/>
                <w:sz w:val="24"/>
                <w:lang w:val="en-US" w:eastAsia="zh-CN"/>
              </w:rPr>
            </w:pPr>
            <w:r>
              <w:rPr>
                <w:rFonts w:hint="eastAsia" w:ascii="仿宋_GB2312" w:eastAsia="仿宋_GB2312" w:cs="仿宋"/>
                <w:sz w:val="24"/>
                <w:lang w:val="en-US" w:eastAsia="zh-CN"/>
              </w:rPr>
              <w:t>满足项目备用设施、设备存储，存放日常管护工具、监测设备。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24</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工具</w:t>
            </w:r>
            <w:r>
              <w:rPr>
                <w:rFonts w:ascii="仿宋_GB2312" w:eastAsia="仿宋_GB2312" w:cs="仿宋"/>
                <w:sz w:val="24"/>
              </w:rPr>
              <w:t>配备</w:t>
            </w:r>
          </w:p>
        </w:tc>
        <w:tc>
          <w:tcPr>
            <w:tcW w:w="1230" w:type="dxa"/>
            <w:noWrap w:val="0"/>
            <w:vAlign w:val="top"/>
          </w:tcPr>
          <w:p>
            <w:pPr>
              <w:spacing w:line="560" w:lineRule="exact"/>
              <w:jc w:val="center"/>
              <w:rPr>
                <w:rFonts w:ascii="仿宋_GB2312" w:eastAsia="仿宋_GB2312" w:cs="仿宋"/>
                <w:sz w:val="24"/>
              </w:rPr>
            </w:pPr>
            <w:r>
              <w:rPr>
                <w:rFonts w:ascii="仿宋_GB2312" w:eastAsia="仿宋_GB2312" w:cs="仿宋"/>
                <w:sz w:val="24"/>
              </w:rPr>
              <w:t>套</w:t>
            </w:r>
          </w:p>
        </w:tc>
        <w:tc>
          <w:tcPr>
            <w:tcW w:w="923" w:type="dxa"/>
            <w:noWrap w:val="0"/>
            <w:vAlign w:val="top"/>
          </w:tcPr>
          <w:p>
            <w:pPr>
              <w:spacing w:line="560" w:lineRule="exact"/>
              <w:jc w:val="center"/>
              <w:rPr>
                <w:rFonts w:hint="eastAsia" w:ascii="仿宋_GB2312" w:eastAsia="仿宋_GB2312" w:cs="仿宋"/>
                <w:sz w:val="24"/>
                <w:lang w:eastAsia="zh-CN"/>
              </w:rPr>
            </w:pPr>
            <w:r>
              <w:rPr>
                <w:rFonts w:hint="eastAsia" w:ascii="仿宋_GB2312" w:eastAsia="仿宋_GB2312" w:cs="仿宋"/>
                <w:sz w:val="24"/>
                <w:lang w:val="en-US" w:eastAsia="zh-CN"/>
              </w:rPr>
              <w:t>1</w:t>
            </w:r>
          </w:p>
        </w:tc>
        <w:tc>
          <w:tcPr>
            <w:tcW w:w="3480" w:type="dxa"/>
            <w:noWrap w:val="0"/>
            <w:vAlign w:val="top"/>
          </w:tcPr>
          <w:p>
            <w:pPr>
              <w:spacing w:line="560" w:lineRule="exact"/>
              <w:jc w:val="center"/>
              <w:rPr>
                <w:rFonts w:ascii="仿宋_GB2312" w:eastAsia="仿宋_GB2312" w:cs="仿宋"/>
                <w:sz w:val="24"/>
              </w:rPr>
            </w:pPr>
            <w:r>
              <w:rPr>
                <w:rFonts w:ascii="仿宋_GB2312" w:eastAsia="仿宋_GB2312" w:cs="仿宋"/>
                <w:sz w:val="24"/>
              </w:rPr>
              <w:t>满足信息中心、河道设备设施日常</w:t>
            </w:r>
            <w:r>
              <w:rPr>
                <w:rFonts w:hint="eastAsia" w:ascii="仿宋_GB2312" w:eastAsia="仿宋_GB2312" w:cs="仿宋"/>
                <w:sz w:val="24"/>
              </w:rPr>
              <w:t>检查、</w:t>
            </w:r>
            <w:r>
              <w:rPr>
                <w:rFonts w:ascii="仿宋_GB2312" w:eastAsia="仿宋_GB2312" w:cs="仿宋"/>
                <w:sz w:val="24"/>
              </w:rPr>
              <w:t>维修使用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25</w:t>
            </w:r>
          </w:p>
        </w:tc>
        <w:tc>
          <w:tcPr>
            <w:tcW w:w="2611" w:type="dxa"/>
            <w:noWrap w:val="0"/>
            <w:vAlign w:val="top"/>
          </w:tcPr>
          <w:p>
            <w:pPr>
              <w:spacing w:line="560" w:lineRule="exact"/>
              <w:jc w:val="center"/>
              <w:rPr>
                <w:rFonts w:ascii="仿宋_GB2312" w:eastAsia="仿宋_GB2312" w:cs="仿宋"/>
                <w:sz w:val="24"/>
              </w:rPr>
            </w:pPr>
            <w:r>
              <w:rPr>
                <w:rFonts w:ascii="仿宋_GB2312" w:eastAsia="仿宋_GB2312" w:cs="仿宋"/>
                <w:sz w:val="24"/>
              </w:rPr>
              <w:t>安全防护用品配备</w:t>
            </w:r>
          </w:p>
        </w:tc>
        <w:tc>
          <w:tcPr>
            <w:tcW w:w="123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批</w:t>
            </w:r>
          </w:p>
        </w:tc>
        <w:tc>
          <w:tcPr>
            <w:tcW w:w="923" w:type="dxa"/>
            <w:noWrap w:val="0"/>
            <w:vAlign w:val="top"/>
          </w:tcPr>
          <w:p>
            <w:pPr>
              <w:spacing w:line="560" w:lineRule="exact"/>
              <w:jc w:val="center"/>
              <w:rPr>
                <w:rFonts w:ascii="仿宋_GB2312" w:eastAsia="仿宋_GB2312" w:cs="仿宋"/>
                <w:sz w:val="24"/>
              </w:rPr>
            </w:pPr>
            <w:r>
              <w:rPr>
                <w:rFonts w:ascii="仿宋_GB2312" w:eastAsia="仿宋_GB2312" w:cs="仿宋"/>
                <w:sz w:val="24"/>
              </w:rPr>
              <w:t>1</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lang w:val="en-US" w:eastAsia="zh-CN"/>
              </w:rPr>
              <w:t>满足项目日常维护、巡检、迎检，保障人员安全、便利，保障设施设备安全</w:t>
            </w:r>
            <w:r>
              <w:rPr>
                <w:rFonts w:ascii="仿宋_GB2312" w:eastAsia="仿宋_GB2312"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ascii="仿宋_GB2312" w:eastAsia="仿宋_GB2312" w:cs="仿宋"/>
                <w:sz w:val="24"/>
              </w:rPr>
              <w:t>26</w:t>
            </w:r>
          </w:p>
        </w:tc>
        <w:tc>
          <w:tcPr>
            <w:tcW w:w="2611" w:type="dxa"/>
            <w:noWrap w:val="0"/>
            <w:vAlign w:val="top"/>
          </w:tcPr>
          <w:p>
            <w:pPr>
              <w:spacing w:line="560" w:lineRule="exact"/>
              <w:jc w:val="center"/>
              <w:rPr>
                <w:rFonts w:ascii="仿宋_GB2312" w:eastAsia="仿宋_GB2312" w:cs="仿宋"/>
                <w:sz w:val="24"/>
              </w:rPr>
            </w:pPr>
            <w:r>
              <w:rPr>
                <w:rFonts w:ascii="仿宋_GB2312" w:eastAsia="仿宋_GB2312" w:cs="仿宋"/>
                <w:sz w:val="24"/>
              </w:rPr>
              <w:t>报告、</w:t>
            </w:r>
            <w:r>
              <w:rPr>
                <w:rFonts w:hint="eastAsia" w:ascii="仿宋_GB2312" w:eastAsia="仿宋_GB2312" w:cs="仿宋"/>
                <w:sz w:val="24"/>
              </w:rPr>
              <w:t>报表印刷</w:t>
            </w:r>
          </w:p>
        </w:tc>
        <w:tc>
          <w:tcPr>
            <w:tcW w:w="1230" w:type="dxa"/>
            <w:noWrap w:val="0"/>
            <w:vAlign w:val="top"/>
          </w:tcPr>
          <w:p>
            <w:pPr>
              <w:spacing w:line="560" w:lineRule="exact"/>
              <w:jc w:val="center"/>
              <w:rPr>
                <w:rFonts w:ascii="仿宋_GB2312" w:eastAsia="仿宋_GB2312" w:cs="仿宋"/>
                <w:sz w:val="24"/>
              </w:rPr>
            </w:pPr>
            <w:r>
              <w:rPr>
                <w:rFonts w:ascii="仿宋_GB2312" w:eastAsia="仿宋_GB2312" w:cs="仿宋"/>
                <w:sz w:val="24"/>
              </w:rPr>
              <w:t>批</w:t>
            </w:r>
          </w:p>
        </w:tc>
        <w:tc>
          <w:tcPr>
            <w:tcW w:w="923" w:type="dxa"/>
            <w:noWrap w:val="0"/>
            <w:vAlign w:val="top"/>
          </w:tcPr>
          <w:p>
            <w:pPr>
              <w:spacing w:line="560" w:lineRule="exact"/>
              <w:jc w:val="center"/>
              <w:rPr>
                <w:rFonts w:hint="eastAsia" w:ascii="仿宋_GB2312" w:eastAsia="仿宋_GB2312" w:cs="仿宋"/>
                <w:sz w:val="24"/>
                <w:lang w:eastAsia="zh-CN"/>
              </w:rPr>
            </w:pPr>
            <w:r>
              <w:rPr>
                <w:rFonts w:hint="eastAsia" w:ascii="仿宋_GB2312" w:eastAsia="仿宋_GB2312" w:cs="仿宋"/>
                <w:sz w:val="24"/>
                <w:lang w:val="en-US" w:eastAsia="zh-CN"/>
              </w:rPr>
              <w:t>1</w:t>
            </w: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spacing w:line="560" w:lineRule="exact"/>
              <w:jc w:val="center"/>
              <w:rPr>
                <w:rFonts w:ascii="仿宋_GB2312" w:eastAsia="仿宋_GB2312" w:cs="仿宋"/>
                <w:sz w:val="24"/>
              </w:rPr>
            </w:pPr>
            <w:r>
              <w:rPr>
                <w:rFonts w:ascii="仿宋_GB2312" w:eastAsia="仿宋_GB2312" w:cs="仿宋"/>
                <w:sz w:val="24"/>
              </w:rPr>
              <w:t>27</w:t>
            </w:r>
          </w:p>
        </w:tc>
        <w:tc>
          <w:tcPr>
            <w:tcW w:w="261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数据传输整体稳定性</w:t>
            </w:r>
          </w:p>
        </w:tc>
        <w:tc>
          <w:tcPr>
            <w:tcW w:w="1230" w:type="dxa"/>
            <w:noWrap w:val="0"/>
            <w:vAlign w:val="top"/>
          </w:tcPr>
          <w:p>
            <w:pPr>
              <w:spacing w:line="560" w:lineRule="exact"/>
              <w:jc w:val="center"/>
              <w:rPr>
                <w:rFonts w:ascii="仿宋_GB2312" w:eastAsia="仿宋_GB2312" w:cs="仿宋"/>
                <w:sz w:val="24"/>
              </w:rPr>
            </w:pPr>
          </w:p>
        </w:tc>
        <w:tc>
          <w:tcPr>
            <w:tcW w:w="923" w:type="dxa"/>
            <w:noWrap w:val="0"/>
            <w:vAlign w:val="top"/>
          </w:tcPr>
          <w:p>
            <w:pPr>
              <w:spacing w:line="560" w:lineRule="exact"/>
              <w:jc w:val="center"/>
              <w:rPr>
                <w:rFonts w:ascii="仿宋_GB2312" w:eastAsia="仿宋_GB2312" w:cs="仿宋"/>
                <w:sz w:val="24"/>
              </w:rPr>
            </w:pPr>
          </w:p>
        </w:tc>
        <w:tc>
          <w:tcPr>
            <w:tcW w:w="3480"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一月一次</w:t>
            </w:r>
          </w:p>
        </w:tc>
      </w:tr>
    </w:tbl>
    <w:p>
      <w:pPr>
        <w:spacing w:line="560" w:lineRule="exact"/>
        <w:ind w:firstLine="646"/>
        <w:jc w:val="center"/>
        <w:rPr>
          <w:rFonts w:ascii="仿宋_GB2312" w:eastAsia="仿宋_GB2312" w:cs="仿宋"/>
          <w:sz w:val="28"/>
          <w:szCs w:val="28"/>
          <w:lang w:val="zh-CN"/>
        </w:rPr>
      </w:pPr>
    </w:p>
    <w:p>
      <w:pPr>
        <w:spacing w:line="560" w:lineRule="exact"/>
        <w:ind w:firstLine="646"/>
        <w:jc w:val="center"/>
        <w:rPr>
          <w:rFonts w:ascii="仿宋_GB2312" w:eastAsia="仿宋_GB2312" w:cs="仿宋"/>
          <w:sz w:val="28"/>
          <w:szCs w:val="28"/>
          <w:lang w:val="zh-CN"/>
        </w:rPr>
      </w:pPr>
      <w:r>
        <w:rPr>
          <w:rFonts w:hint="eastAsia" w:ascii="仿宋_GB2312" w:eastAsia="仿宋_GB2312" w:cs="仿宋"/>
          <w:sz w:val="28"/>
          <w:szCs w:val="28"/>
          <w:lang w:val="zh-CN"/>
        </w:rPr>
        <w:t>表</w:t>
      </w:r>
      <w:r>
        <w:rPr>
          <w:rFonts w:hint="eastAsia" w:ascii="仿宋_GB2312" w:eastAsia="仿宋_GB2312" w:cs="仿宋"/>
          <w:sz w:val="28"/>
          <w:szCs w:val="28"/>
        </w:rPr>
        <w:t>4.2</w:t>
      </w:r>
      <w:r>
        <w:rPr>
          <w:rFonts w:hint="eastAsia" w:ascii="仿宋_GB2312" w:eastAsia="仿宋_GB2312" w:cs="仿宋"/>
          <w:sz w:val="28"/>
          <w:szCs w:val="28"/>
          <w:lang w:val="zh-CN"/>
        </w:rPr>
        <w:t>水位流量关系曲线率定工程量清单</w:t>
      </w:r>
    </w:p>
    <w:tbl>
      <w:tblPr>
        <w:tblStyle w:val="50"/>
        <w:tblW w:w="9028" w:type="dxa"/>
        <w:tblInd w:w="0" w:type="dxa"/>
        <w:tblLayout w:type="fixed"/>
        <w:tblCellMar>
          <w:top w:w="15" w:type="dxa"/>
          <w:left w:w="15" w:type="dxa"/>
          <w:bottom w:w="15" w:type="dxa"/>
          <w:right w:w="15" w:type="dxa"/>
        </w:tblCellMar>
      </w:tblPr>
      <w:tblGrid>
        <w:gridCol w:w="1950"/>
        <w:gridCol w:w="2610"/>
        <w:gridCol w:w="1498"/>
        <w:gridCol w:w="2970"/>
      </w:tblGrid>
      <w:tr>
        <w:tblPrEx>
          <w:tblCellMar>
            <w:top w:w="15" w:type="dxa"/>
            <w:left w:w="15" w:type="dxa"/>
            <w:bottom w:w="15" w:type="dxa"/>
            <w:right w:w="15" w:type="dxa"/>
          </w:tblCellMar>
        </w:tblPrEx>
        <w:trPr>
          <w:trHeight w:val="285" w:hRule="atLeast"/>
        </w:trPr>
        <w:tc>
          <w:tcPr>
            <w:tcW w:w="195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站  名</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流量测量范围</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次  数</w:t>
            </w:r>
          </w:p>
        </w:tc>
        <w:tc>
          <w:tcPr>
            <w:tcW w:w="29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cs="宋体"/>
                <w:color w:val="000000"/>
                <w:sz w:val="24"/>
              </w:rPr>
            </w:pPr>
            <w:r>
              <w:rPr>
                <w:rFonts w:hint="eastAsia" w:ascii="宋体" w:cs="宋体"/>
                <w:color w:val="000000"/>
                <w:kern w:val="0"/>
                <w:sz w:val="24"/>
              </w:rPr>
              <w:t>备  注</w:t>
            </w:r>
          </w:p>
        </w:tc>
      </w:tr>
      <w:tr>
        <w:tblPrEx>
          <w:tblCellMar>
            <w:top w:w="15" w:type="dxa"/>
            <w:left w:w="15" w:type="dxa"/>
            <w:bottom w:w="15" w:type="dxa"/>
            <w:right w:w="15" w:type="dxa"/>
          </w:tblCellMar>
        </w:tblPrEx>
        <w:trPr>
          <w:trHeight w:val="285" w:hRule="atLeast"/>
        </w:trPr>
        <w:tc>
          <w:tcPr>
            <w:tcW w:w="195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浐河长安区水质水量监测断面</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Q＜10m3/s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4</w:t>
            </w:r>
          </w:p>
        </w:tc>
        <w:tc>
          <w:tcPr>
            <w:tcW w:w="29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cs="宋体"/>
                <w:color w:val="000000"/>
                <w:sz w:val="24"/>
              </w:rPr>
            </w:pPr>
            <w:r>
              <w:rPr>
                <w:rFonts w:hint="eastAsia" w:ascii="宋体" w:cs="宋体"/>
                <w:color w:val="000000"/>
                <w:kern w:val="0"/>
                <w:sz w:val="24"/>
              </w:rPr>
              <w:t xml:space="preserve">    </w:t>
            </w:r>
            <w:r>
              <w:rPr>
                <w:rFonts w:hint="eastAsia" w:ascii="仿宋_GB2312" w:eastAsia="仿宋_GB2312" w:cs="仿宋"/>
                <w:sz w:val="24"/>
              </w:rPr>
              <w:t>测速垂线的布设及流速测点的分布均严格按照《河流流量测验规范》GB50179-93中的规定执行。保存完整的原始记录，出具相应报告文案初稿、终稿各5份。</w:t>
            </w: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10m3/s＜Q＜50m3/s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3</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50m3/s＜Q＜100m3/s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3</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100m3/s＜Q＜150m3/s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3</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Q＞150m3/s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2</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浐河蓝田县水质水量监测断面</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Q＜10m3/s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4</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10m3/s＜Q＜50m3/s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3</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50m3/s＜Q＜100m3/s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3</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100m3/s＜Q＜150m3/s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3</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Q＞150m3/s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2</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新河户县水质水量监测断面</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Q＜5m3/s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5</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5m3/s＜Q＜50m3/s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4</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50m3/s＜Q＜100m3/s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4</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Q＞100m3/s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2</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皂河长安区水质水量监测断面</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Q＜5m3/s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5</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5m3/s＜Q＜50m3/s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4</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50m3/s＜Q＜100m3/s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4</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Q＞100m3/s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2</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临潼河临潼区水质水量监测断面</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Q＜1m3/s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5</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1m3/s＜Q＜10m3/s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4</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10m3/s＜Q＜25m3/s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4</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Q＞25m3/s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2</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黑河周至水质水量监测断面</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Q＜10m3/s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4</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10m3/s＜Q＜50m3/s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3</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50m3/s＜Q＜100m3/s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3</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100m3/s＜Q＜150m3/s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3</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Q＞150m3/s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2</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涝河户县水质水量监测断面</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Q＜5m3/s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5</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5m3/s＜Q＜50m3/s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4</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50m3/s＜Q＜100m3/s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4</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Q＞100m3/s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2</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太平河户县水质水量监测断面</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Q＜5m3/s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5</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5m3/s＜Q＜50m3/s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4</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50m3/s＜Q＜100m3/s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4</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Q＞100m3/s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2</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restart"/>
            <w:tcBorders>
              <w:top w:val="single" w:color="000000" w:sz="4" w:space="0"/>
              <w:left w:val="single" w:color="auto"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沣河长安水质水量监测断面</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Q＜10m3/s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4</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auto"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10m3/s＜Q＜50m3/s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3</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auto"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50m3/s＜Q＜100m3/s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3</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auto"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100m3/s＜Q＜150m3/s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3</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auto"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Q＞150m3/s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2</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零河临潼水质水量监测断面</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Q＜1m3/s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5</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1m3/s＜Q＜10m3/s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4</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10m3/s＜Q＜25m3/s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4</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Q＞25m3/s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2</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石川河阎良水质水量监测断面</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Q＜5m3/s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5</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5m3/s＜Q＜50m3/s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4</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50m3/s＜Q＜100m3/s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4</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Q＞100m3/s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2</w:t>
            </w:r>
          </w:p>
        </w:tc>
        <w:tc>
          <w:tcPr>
            <w:tcW w:w="2970" w:type="dxa"/>
            <w:vMerge w:val="restart"/>
            <w:tcBorders>
              <w:top w:val="single" w:color="000000" w:sz="4" w:space="0"/>
              <w:left w:val="single" w:color="000000" w:sz="4" w:space="0"/>
              <w:right w:val="single" w:color="000000" w:sz="4" w:space="0"/>
            </w:tcBorders>
            <w:noWrap w:val="0"/>
            <w:vAlign w:val="center"/>
          </w:tcPr>
          <w:p>
            <w:pPr>
              <w:jc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195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泾河高陵水质水量监测断面</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Q＜10m3/s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4</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10m3/s＜Q＜100m3/s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3</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100m3/s＜Q＜500m3/s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3</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500m3/s＜Q＜1000m3/s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3</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r>
        <w:tblPrEx>
          <w:tblCellMar>
            <w:top w:w="15" w:type="dxa"/>
            <w:left w:w="15" w:type="dxa"/>
            <w:bottom w:w="15" w:type="dxa"/>
            <w:right w:w="15" w:type="dxa"/>
          </w:tblCellMar>
        </w:tblPrEx>
        <w:trPr>
          <w:trHeight w:val="285" w:hRule="atLeast"/>
        </w:trPr>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Q＞1000m3/s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eastAsia="仿宋_GB2312" w:cs="仿宋"/>
                <w:sz w:val="24"/>
              </w:rPr>
            </w:pPr>
            <w:r>
              <w:rPr>
                <w:rFonts w:hint="eastAsia" w:ascii="仿宋_GB2312" w:eastAsia="仿宋_GB2312" w:cs="仿宋"/>
                <w:sz w:val="24"/>
              </w:rPr>
              <w:t>2</w:t>
            </w:r>
          </w:p>
        </w:tc>
        <w:tc>
          <w:tcPr>
            <w:tcW w:w="2970" w:type="dxa"/>
            <w:vMerge w:val="continue"/>
            <w:tcBorders>
              <w:top w:val="single" w:color="000000" w:sz="4" w:space="0"/>
              <w:left w:val="single" w:color="000000" w:sz="4" w:space="0"/>
              <w:bottom w:val="single" w:color="000000" w:sz="4" w:space="0"/>
              <w:right w:val="single" w:color="000000" w:sz="4" w:space="0"/>
            </w:tcBorders>
            <w:noWrap w:val="0"/>
            <w:vAlign w:val="center"/>
          </w:tcPr>
          <w:p/>
        </w:tc>
      </w:tr>
    </w:tbl>
    <w:p>
      <w:pPr>
        <w:spacing w:line="560" w:lineRule="exact"/>
        <w:ind w:firstLine="1419" w:firstLineChars="507"/>
        <w:jc w:val="center"/>
        <w:rPr>
          <w:rFonts w:ascii="仿宋_GB2312" w:eastAsia="仿宋_GB2312" w:cs="仿宋"/>
          <w:sz w:val="28"/>
          <w:szCs w:val="28"/>
          <w:lang w:val="zh-CN"/>
        </w:rPr>
      </w:pPr>
      <w:r>
        <w:rPr>
          <w:rFonts w:hint="eastAsia" w:ascii="仿宋_GB2312" w:eastAsia="仿宋_GB2312" w:cs="仿宋"/>
          <w:sz w:val="28"/>
          <w:szCs w:val="28"/>
          <w:lang w:val="zh-CN"/>
        </w:rPr>
        <w:t>表</w:t>
      </w:r>
      <w:r>
        <w:rPr>
          <w:rFonts w:hint="eastAsia" w:ascii="仿宋_GB2312" w:eastAsia="仿宋_GB2312" w:cs="仿宋"/>
          <w:sz w:val="28"/>
          <w:szCs w:val="28"/>
        </w:rPr>
        <w:t>4.3</w:t>
      </w:r>
      <w:r>
        <w:rPr>
          <w:rFonts w:hint="eastAsia" w:ascii="仿宋_GB2312" w:eastAsia="仿宋_GB2312" w:cs="仿宋"/>
          <w:sz w:val="28"/>
          <w:szCs w:val="28"/>
          <w:lang w:val="zh-CN"/>
        </w:rPr>
        <w:t>水利设施维护工程量清单</w:t>
      </w:r>
    </w:p>
    <w:tbl>
      <w:tblPr>
        <w:tblStyle w:val="50"/>
        <w:tblW w:w="93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768"/>
        <w:gridCol w:w="2040"/>
        <w:gridCol w:w="3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noWrap w:val="0"/>
            <w:vAlign w:val="top"/>
          </w:tcPr>
          <w:p>
            <w:pPr>
              <w:spacing w:line="560" w:lineRule="exact"/>
              <w:jc w:val="center"/>
              <w:rPr>
                <w:rFonts w:ascii="仿宋_GB2312" w:eastAsia="仿宋_GB2312"/>
                <w:sz w:val="24"/>
              </w:rPr>
            </w:pPr>
            <w:r>
              <w:rPr>
                <w:rFonts w:hint="eastAsia" w:ascii="仿宋_GB2312" w:eastAsia="仿宋_GB2312" w:cs="仿宋"/>
                <w:b/>
                <w:bCs/>
                <w:sz w:val="24"/>
              </w:rPr>
              <w:t>序号</w:t>
            </w:r>
          </w:p>
        </w:tc>
        <w:tc>
          <w:tcPr>
            <w:tcW w:w="2768" w:type="dxa"/>
            <w:noWrap w:val="0"/>
            <w:vAlign w:val="top"/>
          </w:tcPr>
          <w:p>
            <w:pPr>
              <w:spacing w:line="560" w:lineRule="exact"/>
              <w:jc w:val="center"/>
              <w:rPr>
                <w:rFonts w:ascii="仿宋_GB2312" w:eastAsia="仿宋_GB2312"/>
                <w:b/>
                <w:bCs/>
                <w:sz w:val="32"/>
                <w:szCs w:val="32"/>
              </w:rPr>
            </w:pPr>
            <w:r>
              <w:rPr>
                <w:rFonts w:hint="eastAsia" w:ascii="仿宋_GB2312" w:eastAsia="仿宋_GB2312" w:cs="仿宋"/>
                <w:b/>
                <w:bCs/>
                <w:sz w:val="24"/>
              </w:rPr>
              <w:t>维护项目</w:t>
            </w:r>
          </w:p>
        </w:tc>
        <w:tc>
          <w:tcPr>
            <w:tcW w:w="2040" w:type="dxa"/>
            <w:noWrap w:val="0"/>
            <w:vAlign w:val="top"/>
          </w:tcPr>
          <w:p>
            <w:pPr>
              <w:spacing w:line="560" w:lineRule="exact"/>
              <w:jc w:val="center"/>
              <w:rPr>
                <w:rFonts w:ascii="仿宋_GB2312" w:eastAsia="仿宋_GB2312"/>
                <w:b/>
                <w:bCs/>
                <w:sz w:val="32"/>
                <w:szCs w:val="32"/>
              </w:rPr>
            </w:pPr>
            <w:r>
              <w:rPr>
                <w:rFonts w:hint="eastAsia" w:ascii="仿宋_GB2312" w:eastAsia="仿宋_GB2312"/>
                <w:b/>
                <w:bCs/>
                <w:sz w:val="24"/>
              </w:rPr>
              <w:t>维护频率</w:t>
            </w:r>
          </w:p>
        </w:tc>
        <w:tc>
          <w:tcPr>
            <w:tcW w:w="3630" w:type="dxa"/>
            <w:noWrap w:val="0"/>
            <w:vAlign w:val="top"/>
          </w:tcPr>
          <w:p>
            <w:pPr>
              <w:spacing w:line="560" w:lineRule="exact"/>
              <w:jc w:val="center"/>
              <w:rPr>
                <w:rFonts w:ascii="仿宋_GB2312" w:eastAsia="仿宋_GB2312"/>
                <w:b/>
                <w:bCs/>
                <w:sz w:val="32"/>
                <w:szCs w:val="32"/>
              </w:rPr>
            </w:pPr>
            <w:r>
              <w:rPr>
                <w:rFonts w:hint="eastAsia" w:ascii="仿宋_GB2312" w:eastAsia="仿宋_GB2312"/>
                <w:b/>
                <w:bCs/>
                <w:sz w:val="24"/>
              </w:rPr>
              <w:t>修复时间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noWrap w:val="0"/>
            <w:vAlign w:val="top"/>
          </w:tcPr>
          <w:p>
            <w:pPr>
              <w:spacing w:line="560" w:lineRule="exact"/>
              <w:jc w:val="center"/>
              <w:rPr>
                <w:rFonts w:ascii="仿宋_GB2312" w:eastAsia="仿宋_GB2312"/>
                <w:sz w:val="32"/>
                <w:szCs w:val="32"/>
              </w:rPr>
            </w:pPr>
            <w:r>
              <w:rPr>
                <w:rFonts w:hint="eastAsia" w:ascii="仿宋_GB2312" w:eastAsia="仿宋_GB2312" w:cs="仿宋"/>
                <w:sz w:val="24"/>
              </w:rPr>
              <w:t>1</w:t>
            </w:r>
          </w:p>
        </w:tc>
        <w:tc>
          <w:tcPr>
            <w:tcW w:w="2768" w:type="dxa"/>
            <w:noWrap w:val="0"/>
            <w:vAlign w:val="top"/>
          </w:tcPr>
          <w:p>
            <w:pPr>
              <w:spacing w:line="560" w:lineRule="exact"/>
              <w:jc w:val="center"/>
              <w:rPr>
                <w:rFonts w:ascii="仿宋_GB2312" w:eastAsia="仿宋_GB2312"/>
                <w:sz w:val="24"/>
              </w:rPr>
            </w:pPr>
            <w:r>
              <w:rPr>
                <w:rFonts w:hint="eastAsia" w:ascii="仿宋_GB2312" w:eastAsia="仿宋_GB2312"/>
                <w:sz w:val="24"/>
              </w:rPr>
              <w:t>水位计流量计塔</w:t>
            </w:r>
          </w:p>
        </w:tc>
        <w:tc>
          <w:tcPr>
            <w:tcW w:w="2040" w:type="dxa"/>
            <w:noWrap w:val="0"/>
            <w:vAlign w:val="top"/>
          </w:tcPr>
          <w:p>
            <w:pPr>
              <w:spacing w:line="560" w:lineRule="exact"/>
              <w:jc w:val="center"/>
              <w:rPr>
                <w:rFonts w:ascii="仿宋_GB2312" w:eastAsia="仿宋_GB2312"/>
                <w:sz w:val="24"/>
              </w:rPr>
            </w:pPr>
            <w:r>
              <w:rPr>
                <w:rFonts w:hint="eastAsia" w:ascii="仿宋_GB2312" w:eastAsia="仿宋_GB2312"/>
                <w:sz w:val="24"/>
              </w:rPr>
              <w:t>30天一次</w:t>
            </w:r>
          </w:p>
        </w:tc>
        <w:tc>
          <w:tcPr>
            <w:tcW w:w="3630" w:type="dxa"/>
            <w:noWrap w:val="0"/>
            <w:vAlign w:val="center"/>
          </w:tcPr>
          <w:p>
            <w:pPr>
              <w:jc w:val="center"/>
              <w:rPr>
                <w:rFonts w:ascii="仿宋_GB2312" w:eastAsia="仿宋_GB2312"/>
                <w:b/>
                <w:bCs/>
                <w:sz w:val="32"/>
                <w:szCs w:val="32"/>
              </w:rPr>
            </w:pPr>
            <w:r>
              <w:rPr>
                <w:rFonts w:hint="eastAsia" w:ascii="仿宋_GB2312" w:eastAsia="仿宋_GB2312"/>
                <w:b/>
                <w:bCs/>
                <w:sz w:val="32"/>
                <w:szCs w:val="32"/>
              </w:rPr>
              <w:t>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71" w:type="dxa"/>
            <w:noWrap w:val="0"/>
            <w:vAlign w:val="top"/>
          </w:tcPr>
          <w:p>
            <w:pPr>
              <w:spacing w:line="560" w:lineRule="exact"/>
              <w:jc w:val="center"/>
              <w:rPr>
                <w:rFonts w:ascii="仿宋_GB2312" w:eastAsia="仿宋_GB2312"/>
                <w:sz w:val="32"/>
                <w:szCs w:val="32"/>
              </w:rPr>
            </w:pPr>
            <w:r>
              <w:rPr>
                <w:rFonts w:hint="eastAsia" w:ascii="仿宋_GB2312" w:eastAsia="仿宋_GB2312" w:cs="仿宋"/>
                <w:sz w:val="24"/>
              </w:rPr>
              <w:t>2</w:t>
            </w:r>
          </w:p>
        </w:tc>
        <w:tc>
          <w:tcPr>
            <w:tcW w:w="2768" w:type="dxa"/>
            <w:noWrap w:val="0"/>
            <w:vAlign w:val="top"/>
          </w:tcPr>
          <w:p>
            <w:pPr>
              <w:spacing w:line="560" w:lineRule="exact"/>
              <w:jc w:val="center"/>
              <w:rPr>
                <w:rFonts w:ascii="仿宋_GB2312" w:eastAsia="仿宋_GB2312"/>
                <w:sz w:val="24"/>
              </w:rPr>
            </w:pPr>
            <w:r>
              <w:rPr>
                <w:rFonts w:hint="eastAsia" w:ascii="仿宋_GB2312" w:eastAsia="仿宋_GB2312"/>
                <w:sz w:val="24"/>
              </w:rPr>
              <w:t>水尺</w:t>
            </w:r>
          </w:p>
        </w:tc>
        <w:tc>
          <w:tcPr>
            <w:tcW w:w="2040" w:type="dxa"/>
            <w:noWrap w:val="0"/>
            <w:vAlign w:val="top"/>
          </w:tcPr>
          <w:p>
            <w:pPr>
              <w:spacing w:line="560" w:lineRule="exact"/>
              <w:jc w:val="center"/>
              <w:rPr>
                <w:rFonts w:ascii="仿宋_GB2312" w:eastAsia="仿宋_GB2312"/>
                <w:sz w:val="24"/>
              </w:rPr>
            </w:pPr>
            <w:r>
              <w:rPr>
                <w:rFonts w:hint="eastAsia" w:ascii="仿宋_GB2312" w:eastAsia="仿宋_GB2312"/>
                <w:sz w:val="24"/>
              </w:rPr>
              <w:t>30天一次</w:t>
            </w:r>
          </w:p>
        </w:tc>
        <w:tc>
          <w:tcPr>
            <w:tcW w:w="3630" w:type="dxa"/>
            <w:noWrap w:val="0"/>
            <w:vAlign w:val="center"/>
          </w:tcPr>
          <w:p>
            <w:pPr>
              <w:jc w:val="center"/>
              <w:rPr>
                <w:rFonts w:ascii="仿宋_GB2312" w:eastAsia="仿宋_GB2312"/>
                <w:b/>
                <w:bCs/>
                <w:sz w:val="32"/>
                <w:szCs w:val="32"/>
              </w:rPr>
            </w:pPr>
            <w:r>
              <w:rPr>
                <w:rFonts w:hint="eastAsia" w:ascii="仿宋_GB2312" w:eastAsia="仿宋_GB2312"/>
                <w:b/>
                <w:bCs/>
                <w:sz w:val="32"/>
                <w:szCs w:val="32"/>
              </w:rPr>
              <w:t>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noWrap w:val="0"/>
            <w:vAlign w:val="top"/>
          </w:tcPr>
          <w:p>
            <w:pPr>
              <w:spacing w:line="560" w:lineRule="exact"/>
              <w:jc w:val="center"/>
              <w:rPr>
                <w:rFonts w:ascii="仿宋_GB2312" w:eastAsia="仿宋_GB2312"/>
                <w:sz w:val="32"/>
                <w:szCs w:val="32"/>
              </w:rPr>
            </w:pPr>
            <w:r>
              <w:rPr>
                <w:rFonts w:hint="eastAsia" w:ascii="仿宋_GB2312" w:eastAsia="仿宋_GB2312" w:cs="仿宋"/>
                <w:sz w:val="24"/>
              </w:rPr>
              <w:t>3</w:t>
            </w:r>
          </w:p>
        </w:tc>
        <w:tc>
          <w:tcPr>
            <w:tcW w:w="2768" w:type="dxa"/>
            <w:noWrap w:val="0"/>
            <w:vAlign w:val="top"/>
          </w:tcPr>
          <w:p>
            <w:pPr>
              <w:spacing w:line="560" w:lineRule="exact"/>
              <w:jc w:val="center"/>
              <w:rPr>
                <w:rFonts w:ascii="仿宋_GB2312" w:eastAsia="仿宋_GB2312"/>
                <w:sz w:val="24"/>
              </w:rPr>
            </w:pPr>
            <w:r>
              <w:rPr>
                <w:rFonts w:hint="eastAsia" w:ascii="仿宋_GB2312" w:eastAsia="仿宋_GB2312"/>
                <w:sz w:val="24"/>
              </w:rPr>
              <w:t>下河道路</w:t>
            </w:r>
          </w:p>
        </w:tc>
        <w:tc>
          <w:tcPr>
            <w:tcW w:w="2040" w:type="dxa"/>
            <w:noWrap w:val="0"/>
            <w:vAlign w:val="top"/>
          </w:tcPr>
          <w:p>
            <w:pPr>
              <w:spacing w:line="560" w:lineRule="exact"/>
              <w:jc w:val="center"/>
              <w:rPr>
                <w:rFonts w:ascii="仿宋_GB2312" w:eastAsia="仿宋_GB2312"/>
                <w:sz w:val="24"/>
              </w:rPr>
            </w:pPr>
            <w:r>
              <w:rPr>
                <w:rFonts w:hint="eastAsia" w:ascii="仿宋_GB2312" w:eastAsia="仿宋_GB2312"/>
                <w:sz w:val="24"/>
              </w:rPr>
              <w:t>30天一次</w:t>
            </w:r>
          </w:p>
        </w:tc>
        <w:tc>
          <w:tcPr>
            <w:tcW w:w="3630" w:type="dxa"/>
            <w:noWrap w:val="0"/>
            <w:vAlign w:val="center"/>
          </w:tcPr>
          <w:p>
            <w:pPr>
              <w:jc w:val="center"/>
              <w:rPr>
                <w:rFonts w:ascii="仿宋_GB2312" w:eastAsia="仿宋_GB2312"/>
                <w:b/>
                <w:bCs/>
                <w:sz w:val="32"/>
                <w:szCs w:val="32"/>
              </w:rPr>
            </w:pPr>
            <w:r>
              <w:rPr>
                <w:rFonts w:hint="eastAsia" w:ascii="仿宋_GB2312" w:eastAsia="仿宋_GB2312"/>
                <w:b/>
                <w:bCs/>
                <w:sz w:val="32"/>
                <w:szCs w:val="32"/>
              </w:rPr>
              <w:t>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noWrap w:val="0"/>
            <w:vAlign w:val="top"/>
          </w:tcPr>
          <w:p>
            <w:pPr>
              <w:spacing w:line="560" w:lineRule="exact"/>
              <w:jc w:val="center"/>
              <w:rPr>
                <w:rFonts w:ascii="仿宋_GB2312" w:eastAsia="仿宋_GB2312"/>
                <w:sz w:val="32"/>
                <w:szCs w:val="32"/>
              </w:rPr>
            </w:pPr>
            <w:r>
              <w:rPr>
                <w:rFonts w:hint="eastAsia" w:ascii="仿宋_GB2312" w:eastAsia="仿宋_GB2312" w:cs="仿宋"/>
                <w:sz w:val="24"/>
              </w:rPr>
              <w:t>4</w:t>
            </w:r>
          </w:p>
        </w:tc>
        <w:tc>
          <w:tcPr>
            <w:tcW w:w="2768" w:type="dxa"/>
            <w:noWrap w:val="0"/>
            <w:vAlign w:val="top"/>
          </w:tcPr>
          <w:p>
            <w:pPr>
              <w:spacing w:line="560" w:lineRule="exact"/>
              <w:jc w:val="center"/>
              <w:rPr>
                <w:rFonts w:ascii="仿宋_GB2312" w:eastAsia="仿宋_GB2312"/>
                <w:sz w:val="24"/>
              </w:rPr>
            </w:pPr>
            <w:r>
              <w:rPr>
                <w:rFonts w:hint="eastAsia" w:ascii="仿宋_GB2312" w:eastAsia="仿宋_GB2312"/>
                <w:sz w:val="24"/>
              </w:rPr>
              <w:t>断面标志碑</w:t>
            </w:r>
          </w:p>
        </w:tc>
        <w:tc>
          <w:tcPr>
            <w:tcW w:w="2040" w:type="dxa"/>
            <w:noWrap w:val="0"/>
            <w:vAlign w:val="top"/>
          </w:tcPr>
          <w:p>
            <w:pPr>
              <w:spacing w:line="560" w:lineRule="exact"/>
              <w:jc w:val="center"/>
              <w:rPr>
                <w:rFonts w:ascii="仿宋_GB2312" w:eastAsia="仿宋_GB2312"/>
                <w:sz w:val="24"/>
              </w:rPr>
            </w:pPr>
            <w:r>
              <w:rPr>
                <w:rFonts w:hint="eastAsia" w:ascii="仿宋_GB2312" w:eastAsia="仿宋_GB2312"/>
                <w:sz w:val="24"/>
              </w:rPr>
              <w:t>30天一次</w:t>
            </w:r>
          </w:p>
        </w:tc>
        <w:tc>
          <w:tcPr>
            <w:tcW w:w="3630" w:type="dxa"/>
            <w:noWrap w:val="0"/>
            <w:vAlign w:val="center"/>
          </w:tcPr>
          <w:p>
            <w:pPr>
              <w:jc w:val="center"/>
              <w:rPr>
                <w:rFonts w:ascii="仿宋_GB2312" w:eastAsia="仿宋_GB2312"/>
                <w:b/>
                <w:bCs/>
                <w:sz w:val="32"/>
                <w:szCs w:val="32"/>
              </w:rPr>
            </w:pPr>
            <w:r>
              <w:rPr>
                <w:rFonts w:hint="eastAsia" w:ascii="仿宋_GB2312" w:eastAsia="仿宋_GB2312"/>
                <w:b/>
                <w:bCs/>
                <w:sz w:val="32"/>
                <w:szCs w:val="32"/>
              </w:rPr>
              <w:t>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noWrap w:val="0"/>
            <w:vAlign w:val="top"/>
          </w:tcPr>
          <w:p>
            <w:pPr>
              <w:spacing w:line="560" w:lineRule="exact"/>
              <w:jc w:val="center"/>
              <w:rPr>
                <w:rFonts w:ascii="仿宋_GB2312" w:eastAsia="仿宋_GB2312"/>
                <w:sz w:val="32"/>
                <w:szCs w:val="32"/>
              </w:rPr>
            </w:pPr>
            <w:r>
              <w:rPr>
                <w:rFonts w:hint="eastAsia" w:ascii="仿宋_GB2312" w:eastAsia="仿宋_GB2312" w:cs="仿宋"/>
                <w:sz w:val="24"/>
              </w:rPr>
              <w:t>5</w:t>
            </w:r>
          </w:p>
        </w:tc>
        <w:tc>
          <w:tcPr>
            <w:tcW w:w="2768" w:type="dxa"/>
            <w:noWrap w:val="0"/>
            <w:vAlign w:val="top"/>
          </w:tcPr>
          <w:p>
            <w:pPr>
              <w:spacing w:line="560" w:lineRule="exact"/>
              <w:jc w:val="center"/>
              <w:rPr>
                <w:rFonts w:ascii="仿宋_GB2312" w:eastAsia="仿宋_GB2312"/>
                <w:sz w:val="24"/>
              </w:rPr>
            </w:pPr>
            <w:r>
              <w:rPr>
                <w:rFonts w:hint="eastAsia" w:ascii="仿宋_GB2312" w:eastAsia="仿宋_GB2312"/>
                <w:sz w:val="24"/>
              </w:rPr>
              <w:t>水准点</w:t>
            </w:r>
          </w:p>
        </w:tc>
        <w:tc>
          <w:tcPr>
            <w:tcW w:w="2040" w:type="dxa"/>
            <w:noWrap w:val="0"/>
            <w:vAlign w:val="top"/>
          </w:tcPr>
          <w:p>
            <w:pPr>
              <w:spacing w:line="560" w:lineRule="exact"/>
              <w:jc w:val="center"/>
              <w:rPr>
                <w:rFonts w:ascii="仿宋_GB2312" w:eastAsia="仿宋_GB2312"/>
                <w:sz w:val="24"/>
              </w:rPr>
            </w:pPr>
            <w:r>
              <w:rPr>
                <w:rFonts w:hint="eastAsia" w:ascii="仿宋_GB2312" w:eastAsia="仿宋_GB2312"/>
                <w:sz w:val="24"/>
              </w:rPr>
              <w:t>30天一次</w:t>
            </w:r>
          </w:p>
        </w:tc>
        <w:tc>
          <w:tcPr>
            <w:tcW w:w="3630" w:type="dxa"/>
            <w:noWrap w:val="0"/>
            <w:vAlign w:val="center"/>
          </w:tcPr>
          <w:p>
            <w:pPr>
              <w:jc w:val="center"/>
              <w:rPr>
                <w:rFonts w:ascii="仿宋_GB2312" w:eastAsia="仿宋_GB2312"/>
                <w:b/>
                <w:bCs/>
                <w:sz w:val="32"/>
                <w:szCs w:val="32"/>
              </w:rPr>
            </w:pPr>
            <w:r>
              <w:rPr>
                <w:rFonts w:hint="eastAsia" w:ascii="仿宋_GB2312" w:eastAsia="仿宋_GB2312"/>
                <w:b/>
                <w:bCs/>
                <w:sz w:val="32"/>
                <w:szCs w:val="32"/>
              </w:rPr>
              <w:t>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noWrap w:val="0"/>
            <w:vAlign w:val="top"/>
          </w:tcPr>
          <w:p>
            <w:pPr>
              <w:spacing w:line="560" w:lineRule="exact"/>
              <w:jc w:val="center"/>
              <w:rPr>
                <w:rFonts w:ascii="仿宋_GB2312" w:eastAsia="仿宋_GB2312"/>
                <w:sz w:val="32"/>
                <w:szCs w:val="32"/>
              </w:rPr>
            </w:pPr>
            <w:r>
              <w:rPr>
                <w:rFonts w:hint="eastAsia" w:ascii="仿宋_GB2312" w:eastAsia="仿宋_GB2312" w:cs="仿宋"/>
                <w:sz w:val="24"/>
              </w:rPr>
              <w:t>6</w:t>
            </w:r>
          </w:p>
        </w:tc>
        <w:tc>
          <w:tcPr>
            <w:tcW w:w="2768" w:type="dxa"/>
            <w:noWrap w:val="0"/>
            <w:vAlign w:val="top"/>
          </w:tcPr>
          <w:p>
            <w:pPr>
              <w:spacing w:line="560" w:lineRule="exact"/>
              <w:jc w:val="center"/>
              <w:rPr>
                <w:rFonts w:ascii="仿宋_GB2312" w:eastAsia="仿宋_GB2312"/>
                <w:sz w:val="24"/>
              </w:rPr>
            </w:pPr>
            <w:r>
              <w:rPr>
                <w:rFonts w:hint="eastAsia" w:ascii="仿宋_GB2312" w:eastAsia="仿宋_GB2312"/>
                <w:sz w:val="24"/>
              </w:rPr>
              <w:t>仪器箱</w:t>
            </w:r>
          </w:p>
        </w:tc>
        <w:tc>
          <w:tcPr>
            <w:tcW w:w="2040" w:type="dxa"/>
            <w:noWrap w:val="0"/>
            <w:vAlign w:val="top"/>
          </w:tcPr>
          <w:p>
            <w:pPr>
              <w:spacing w:line="560" w:lineRule="exact"/>
              <w:jc w:val="center"/>
              <w:rPr>
                <w:rFonts w:ascii="仿宋_GB2312" w:eastAsia="仿宋_GB2312"/>
                <w:sz w:val="24"/>
              </w:rPr>
            </w:pPr>
            <w:r>
              <w:rPr>
                <w:rFonts w:hint="eastAsia" w:ascii="仿宋_GB2312" w:eastAsia="仿宋_GB2312"/>
                <w:sz w:val="24"/>
              </w:rPr>
              <w:t>15天一次</w:t>
            </w:r>
          </w:p>
        </w:tc>
        <w:tc>
          <w:tcPr>
            <w:tcW w:w="3630" w:type="dxa"/>
            <w:noWrap w:val="0"/>
            <w:vAlign w:val="center"/>
          </w:tcPr>
          <w:p>
            <w:pPr>
              <w:jc w:val="center"/>
              <w:rPr>
                <w:rFonts w:ascii="仿宋_GB2312" w:eastAsia="仿宋_GB2312"/>
                <w:b/>
                <w:bCs/>
                <w:sz w:val="32"/>
                <w:szCs w:val="32"/>
              </w:rPr>
            </w:pPr>
            <w:r>
              <w:rPr>
                <w:rFonts w:hint="eastAsia" w:ascii="仿宋_GB2312" w:eastAsia="仿宋_GB2312"/>
                <w:b/>
                <w:bCs/>
                <w:sz w:val="32"/>
                <w:szCs w:val="32"/>
              </w:rPr>
              <w:t>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noWrap w:val="0"/>
            <w:vAlign w:val="top"/>
          </w:tcPr>
          <w:p>
            <w:pPr>
              <w:spacing w:line="560" w:lineRule="exact"/>
              <w:jc w:val="center"/>
              <w:rPr>
                <w:rFonts w:ascii="仿宋_GB2312" w:eastAsia="仿宋_GB2312"/>
                <w:sz w:val="32"/>
                <w:szCs w:val="32"/>
              </w:rPr>
            </w:pPr>
            <w:r>
              <w:rPr>
                <w:rFonts w:hint="eastAsia" w:ascii="仿宋_GB2312" w:eastAsia="仿宋_GB2312" w:cs="仿宋"/>
                <w:sz w:val="24"/>
              </w:rPr>
              <w:t>7</w:t>
            </w:r>
          </w:p>
        </w:tc>
        <w:tc>
          <w:tcPr>
            <w:tcW w:w="2768" w:type="dxa"/>
            <w:noWrap w:val="0"/>
            <w:vAlign w:val="top"/>
          </w:tcPr>
          <w:p>
            <w:pPr>
              <w:spacing w:line="560" w:lineRule="exact"/>
              <w:jc w:val="center"/>
              <w:rPr>
                <w:rFonts w:ascii="仿宋_GB2312" w:eastAsia="仿宋_GB2312"/>
                <w:sz w:val="24"/>
              </w:rPr>
            </w:pPr>
            <w:r>
              <w:rPr>
                <w:rFonts w:hint="eastAsia" w:ascii="仿宋_GB2312" w:eastAsia="仿宋_GB2312"/>
                <w:sz w:val="24"/>
              </w:rPr>
              <w:t>操作平台</w:t>
            </w:r>
          </w:p>
        </w:tc>
        <w:tc>
          <w:tcPr>
            <w:tcW w:w="2040" w:type="dxa"/>
            <w:noWrap w:val="0"/>
            <w:vAlign w:val="top"/>
          </w:tcPr>
          <w:p>
            <w:pPr>
              <w:spacing w:line="560" w:lineRule="exact"/>
              <w:jc w:val="center"/>
              <w:rPr>
                <w:rFonts w:ascii="仿宋_GB2312" w:eastAsia="仿宋_GB2312"/>
                <w:sz w:val="24"/>
              </w:rPr>
            </w:pPr>
            <w:r>
              <w:rPr>
                <w:rFonts w:hint="eastAsia" w:ascii="仿宋_GB2312" w:eastAsia="仿宋_GB2312"/>
                <w:sz w:val="24"/>
              </w:rPr>
              <w:t>10天一次</w:t>
            </w:r>
          </w:p>
        </w:tc>
        <w:tc>
          <w:tcPr>
            <w:tcW w:w="3630" w:type="dxa"/>
            <w:noWrap w:val="0"/>
            <w:vAlign w:val="center"/>
          </w:tcPr>
          <w:p>
            <w:pPr>
              <w:jc w:val="center"/>
              <w:rPr>
                <w:rFonts w:ascii="仿宋_GB2312" w:eastAsia="仿宋_GB2312"/>
                <w:b/>
                <w:bCs/>
                <w:sz w:val="32"/>
                <w:szCs w:val="32"/>
              </w:rPr>
            </w:pPr>
            <w:r>
              <w:rPr>
                <w:rFonts w:hint="eastAsia" w:ascii="仿宋_GB2312" w:eastAsia="仿宋_GB2312"/>
                <w:b/>
                <w:bCs/>
                <w:sz w:val="32"/>
                <w:szCs w:val="32"/>
              </w:rPr>
              <w:t>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8</w:t>
            </w:r>
          </w:p>
        </w:tc>
        <w:tc>
          <w:tcPr>
            <w:tcW w:w="2768" w:type="dxa"/>
            <w:noWrap w:val="0"/>
            <w:vAlign w:val="top"/>
          </w:tcPr>
          <w:p>
            <w:pPr>
              <w:spacing w:line="560" w:lineRule="exact"/>
              <w:jc w:val="center"/>
              <w:rPr>
                <w:rFonts w:ascii="仿宋_GB2312" w:eastAsia="仿宋_GB2312"/>
                <w:sz w:val="24"/>
              </w:rPr>
            </w:pPr>
            <w:r>
              <w:rPr>
                <w:rFonts w:hint="eastAsia" w:ascii="仿宋_GB2312" w:eastAsia="仿宋_GB2312"/>
                <w:sz w:val="24"/>
              </w:rPr>
              <w:t>爬梯</w:t>
            </w:r>
          </w:p>
        </w:tc>
        <w:tc>
          <w:tcPr>
            <w:tcW w:w="2040" w:type="dxa"/>
            <w:noWrap w:val="0"/>
            <w:vAlign w:val="top"/>
          </w:tcPr>
          <w:p>
            <w:pPr>
              <w:spacing w:line="560" w:lineRule="exact"/>
              <w:jc w:val="center"/>
              <w:rPr>
                <w:rFonts w:ascii="仿宋_GB2312" w:eastAsia="仿宋_GB2312"/>
                <w:sz w:val="24"/>
              </w:rPr>
            </w:pPr>
            <w:r>
              <w:rPr>
                <w:rFonts w:hint="eastAsia" w:ascii="仿宋_GB2312" w:eastAsia="仿宋_GB2312"/>
                <w:sz w:val="24"/>
              </w:rPr>
              <w:t>15天一次</w:t>
            </w:r>
          </w:p>
        </w:tc>
        <w:tc>
          <w:tcPr>
            <w:tcW w:w="3630" w:type="dxa"/>
            <w:noWrap w:val="0"/>
            <w:vAlign w:val="center"/>
          </w:tcPr>
          <w:p>
            <w:pPr>
              <w:jc w:val="center"/>
              <w:rPr>
                <w:rFonts w:ascii="仿宋_GB2312" w:eastAsia="仿宋_GB2312"/>
                <w:b/>
                <w:bCs/>
                <w:sz w:val="32"/>
                <w:szCs w:val="32"/>
              </w:rPr>
            </w:pPr>
            <w:r>
              <w:rPr>
                <w:rFonts w:hint="eastAsia" w:ascii="仿宋_GB2312" w:eastAsia="仿宋_GB2312"/>
                <w:b/>
                <w:bCs/>
                <w:sz w:val="32"/>
                <w:szCs w:val="32"/>
              </w:rPr>
              <w:t>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9</w:t>
            </w:r>
          </w:p>
        </w:tc>
        <w:tc>
          <w:tcPr>
            <w:tcW w:w="2768" w:type="dxa"/>
            <w:noWrap w:val="0"/>
            <w:vAlign w:val="top"/>
          </w:tcPr>
          <w:p>
            <w:pPr>
              <w:spacing w:line="560" w:lineRule="exact"/>
              <w:jc w:val="center"/>
              <w:rPr>
                <w:rFonts w:ascii="仿宋_GB2312" w:eastAsia="仿宋_GB2312"/>
                <w:sz w:val="24"/>
              </w:rPr>
            </w:pPr>
            <w:r>
              <w:rPr>
                <w:rFonts w:hint="eastAsia" w:ascii="仿宋_GB2312" w:eastAsia="仿宋_GB2312"/>
                <w:sz w:val="24"/>
              </w:rPr>
              <w:t>悬臂</w:t>
            </w:r>
          </w:p>
        </w:tc>
        <w:tc>
          <w:tcPr>
            <w:tcW w:w="2040" w:type="dxa"/>
            <w:noWrap w:val="0"/>
            <w:vAlign w:val="top"/>
          </w:tcPr>
          <w:p>
            <w:pPr>
              <w:spacing w:line="560" w:lineRule="exact"/>
              <w:jc w:val="center"/>
              <w:rPr>
                <w:rFonts w:ascii="仿宋_GB2312" w:eastAsia="仿宋_GB2312"/>
                <w:sz w:val="24"/>
              </w:rPr>
            </w:pPr>
            <w:r>
              <w:rPr>
                <w:rFonts w:hint="eastAsia" w:ascii="仿宋_GB2312" w:eastAsia="仿宋_GB2312"/>
                <w:sz w:val="24"/>
              </w:rPr>
              <w:t>15天一次</w:t>
            </w:r>
          </w:p>
        </w:tc>
        <w:tc>
          <w:tcPr>
            <w:tcW w:w="3630" w:type="dxa"/>
            <w:noWrap w:val="0"/>
            <w:vAlign w:val="center"/>
          </w:tcPr>
          <w:p>
            <w:pPr>
              <w:jc w:val="center"/>
              <w:rPr>
                <w:rFonts w:ascii="仿宋_GB2312" w:eastAsia="仿宋_GB2312"/>
                <w:b/>
                <w:bCs/>
                <w:sz w:val="32"/>
                <w:szCs w:val="32"/>
              </w:rPr>
            </w:pPr>
            <w:r>
              <w:rPr>
                <w:rFonts w:hint="eastAsia" w:ascii="仿宋_GB2312" w:eastAsia="仿宋_GB2312"/>
                <w:b/>
                <w:bCs/>
                <w:sz w:val="32"/>
                <w:szCs w:val="32"/>
              </w:rPr>
              <w:t>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10</w:t>
            </w:r>
          </w:p>
        </w:tc>
        <w:tc>
          <w:tcPr>
            <w:tcW w:w="2768" w:type="dxa"/>
            <w:noWrap w:val="0"/>
            <w:vAlign w:val="top"/>
          </w:tcPr>
          <w:p>
            <w:pPr>
              <w:spacing w:line="560" w:lineRule="exact"/>
              <w:jc w:val="center"/>
              <w:rPr>
                <w:rFonts w:ascii="仿宋_GB2312" w:eastAsia="仿宋_GB2312"/>
                <w:sz w:val="24"/>
              </w:rPr>
            </w:pPr>
            <w:r>
              <w:rPr>
                <w:rFonts w:hint="eastAsia" w:ascii="仿宋_GB2312" w:eastAsia="仿宋_GB2312"/>
                <w:sz w:val="24"/>
              </w:rPr>
              <w:t>防雷</w:t>
            </w:r>
          </w:p>
        </w:tc>
        <w:tc>
          <w:tcPr>
            <w:tcW w:w="2040" w:type="dxa"/>
            <w:noWrap w:val="0"/>
            <w:vAlign w:val="top"/>
          </w:tcPr>
          <w:p>
            <w:pPr>
              <w:spacing w:line="560" w:lineRule="exact"/>
              <w:jc w:val="center"/>
              <w:rPr>
                <w:rFonts w:ascii="仿宋_GB2312" w:eastAsia="仿宋_GB2312"/>
                <w:sz w:val="24"/>
              </w:rPr>
            </w:pPr>
            <w:r>
              <w:rPr>
                <w:rFonts w:hint="eastAsia" w:ascii="仿宋_GB2312" w:eastAsia="仿宋_GB2312" w:cs="仿宋"/>
                <w:sz w:val="24"/>
              </w:rPr>
              <w:t>汛期一周一次，非汛期一月一次</w:t>
            </w:r>
          </w:p>
        </w:tc>
        <w:tc>
          <w:tcPr>
            <w:tcW w:w="3630" w:type="dxa"/>
            <w:noWrap w:val="0"/>
            <w:vAlign w:val="center"/>
          </w:tcPr>
          <w:p>
            <w:pPr>
              <w:jc w:val="center"/>
              <w:rPr>
                <w:rFonts w:ascii="仿宋_GB2312" w:eastAsia="仿宋_GB2312"/>
                <w:b/>
                <w:bCs/>
                <w:sz w:val="32"/>
                <w:szCs w:val="32"/>
              </w:rPr>
            </w:pPr>
            <w:r>
              <w:rPr>
                <w:rFonts w:hint="eastAsia" w:ascii="仿宋_GB2312" w:eastAsia="仿宋_GB2312"/>
                <w:b/>
                <w:bCs/>
                <w:sz w:val="32"/>
                <w:szCs w:val="32"/>
              </w:rPr>
              <w:t>即时修复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11</w:t>
            </w:r>
          </w:p>
        </w:tc>
        <w:tc>
          <w:tcPr>
            <w:tcW w:w="2768" w:type="dxa"/>
            <w:noWrap w:val="0"/>
            <w:vAlign w:val="top"/>
          </w:tcPr>
          <w:p>
            <w:pPr>
              <w:spacing w:line="560" w:lineRule="exact"/>
              <w:jc w:val="center"/>
              <w:rPr>
                <w:rFonts w:ascii="仿宋_GB2312" w:eastAsia="仿宋_GB2312"/>
                <w:sz w:val="24"/>
              </w:rPr>
            </w:pPr>
            <w:r>
              <w:rPr>
                <w:rFonts w:hint="eastAsia" w:ascii="仿宋_GB2312" w:eastAsia="仿宋_GB2312"/>
                <w:sz w:val="24"/>
              </w:rPr>
              <w:t>周边杂草</w:t>
            </w:r>
          </w:p>
        </w:tc>
        <w:tc>
          <w:tcPr>
            <w:tcW w:w="2040" w:type="dxa"/>
            <w:noWrap w:val="0"/>
            <w:vAlign w:val="top"/>
          </w:tcPr>
          <w:p>
            <w:pPr>
              <w:spacing w:line="560" w:lineRule="exact"/>
              <w:jc w:val="center"/>
              <w:rPr>
                <w:rFonts w:ascii="仿宋_GB2312" w:eastAsia="仿宋_GB2312"/>
                <w:sz w:val="24"/>
              </w:rPr>
            </w:pPr>
            <w:r>
              <w:rPr>
                <w:rFonts w:hint="eastAsia" w:ascii="仿宋_GB2312" w:eastAsia="仿宋_GB2312"/>
                <w:sz w:val="24"/>
              </w:rPr>
              <w:t>10天一次</w:t>
            </w:r>
          </w:p>
        </w:tc>
        <w:tc>
          <w:tcPr>
            <w:tcW w:w="3630" w:type="dxa"/>
            <w:noWrap w:val="0"/>
            <w:vAlign w:val="center"/>
          </w:tcPr>
          <w:p>
            <w:pPr>
              <w:jc w:val="center"/>
              <w:rPr>
                <w:rFonts w:ascii="仿宋_GB2312" w:eastAsia="仿宋_GB2312"/>
                <w:b/>
                <w:bCs/>
                <w:sz w:val="32"/>
                <w:szCs w:val="32"/>
              </w:rPr>
            </w:pPr>
            <w:r>
              <w:rPr>
                <w:rFonts w:hint="eastAsia" w:ascii="仿宋_GB2312" w:eastAsia="仿宋_GB2312"/>
                <w:b/>
                <w:bCs/>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noWrap w:val="0"/>
            <w:vAlign w:val="top"/>
          </w:tcPr>
          <w:p>
            <w:pPr>
              <w:spacing w:line="560" w:lineRule="exact"/>
              <w:jc w:val="center"/>
              <w:rPr>
                <w:rFonts w:ascii="仿宋_GB2312" w:eastAsia="仿宋_GB2312" w:cs="仿宋"/>
                <w:sz w:val="24"/>
              </w:rPr>
            </w:pPr>
            <w:r>
              <w:rPr>
                <w:rFonts w:hint="eastAsia" w:ascii="仿宋_GB2312" w:eastAsia="仿宋_GB2312" w:cs="仿宋"/>
                <w:sz w:val="24"/>
              </w:rPr>
              <w:t>12</w:t>
            </w:r>
          </w:p>
        </w:tc>
        <w:tc>
          <w:tcPr>
            <w:tcW w:w="2768" w:type="dxa"/>
            <w:noWrap w:val="0"/>
            <w:vAlign w:val="top"/>
          </w:tcPr>
          <w:p>
            <w:pPr>
              <w:spacing w:line="560" w:lineRule="exact"/>
              <w:jc w:val="center"/>
              <w:rPr>
                <w:rFonts w:ascii="仿宋_GB2312" w:eastAsia="仿宋_GB2312"/>
                <w:sz w:val="24"/>
              </w:rPr>
            </w:pPr>
            <w:r>
              <w:rPr>
                <w:rFonts w:hint="eastAsia" w:ascii="仿宋_GB2312" w:eastAsia="仿宋_GB2312"/>
                <w:sz w:val="24"/>
              </w:rPr>
              <w:t>河道垃圾</w:t>
            </w:r>
          </w:p>
        </w:tc>
        <w:tc>
          <w:tcPr>
            <w:tcW w:w="2040" w:type="dxa"/>
            <w:noWrap w:val="0"/>
            <w:vAlign w:val="top"/>
          </w:tcPr>
          <w:p>
            <w:pPr>
              <w:spacing w:line="560" w:lineRule="exact"/>
              <w:jc w:val="center"/>
              <w:rPr>
                <w:rFonts w:ascii="仿宋_GB2312" w:eastAsia="仿宋_GB2312"/>
                <w:sz w:val="24"/>
              </w:rPr>
            </w:pPr>
            <w:r>
              <w:rPr>
                <w:rFonts w:hint="eastAsia" w:ascii="仿宋_GB2312" w:eastAsia="仿宋_GB2312"/>
                <w:sz w:val="24"/>
              </w:rPr>
              <w:t>10天一次</w:t>
            </w:r>
          </w:p>
        </w:tc>
        <w:tc>
          <w:tcPr>
            <w:tcW w:w="3630" w:type="dxa"/>
            <w:noWrap w:val="0"/>
            <w:vAlign w:val="center"/>
          </w:tcPr>
          <w:p>
            <w:pPr>
              <w:jc w:val="center"/>
              <w:rPr>
                <w:rFonts w:ascii="仿宋_GB2312" w:eastAsia="仿宋_GB2312"/>
                <w:b/>
                <w:bCs/>
                <w:sz w:val="32"/>
                <w:szCs w:val="32"/>
              </w:rPr>
            </w:pPr>
            <w:r>
              <w:rPr>
                <w:rFonts w:hint="eastAsia" w:ascii="仿宋_GB2312" w:eastAsia="仿宋_GB2312"/>
                <w:b/>
                <w:bCs/>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noWrap w:val="0"/>
            <w:vAlign w:val="top"/>
          </w:tcPr>
          <w:p>
            <w:pPr>
              <w:spacing w:line="560" w:lineRule="exact"/>
              <w:jc w:val="center"/>
              <w:rPr>
                <w:rFonts w:ascii="仿宋_GB2312" w:eastAsia="仿宋_GB2312" w:cs="仿宋"/>
                <w:sz w:val="24"/>
              </w:rPr>
            </w:pPr>
            <w:r>
              <w:rPr>
                <w:rFonts w:ascii="仿宋_GB2312" w:eastAsia="仿宋_GB2312" w:cs="仿宋"/>
                <w:sz w:val="24"/>
              </w:rPr>
              <w:t>13</w:t>
            </w:r>
          </w:p>
        </w:tc>
        <w:tc>
          <w:tcPr>
            <w:tcW w:w="2768" w:type="dxa"/>
            <w:noWrap w:val="0"/>
            <w:vAlign w:val="top"/>
          </w:tcPr>
          <w:p>
            <w:pPr>
              <w:spacing w:line="560" w:lineRule="exact"/>
              <w:jc w:val="center"/>
              <w:rPr>
                <w:rFonts w:ascii="仿宋_GB2312" w:eastAsia="仿宋_GB2312"/>
                <w:sz w:val="24"/>
              </w:rPr>
            </w:pPr>
            <w:r>
              <w:rPr>
                <w:rFonts w:ascii="仿宋_GB2312" w:eastAsia="仿宋_GB2312"/>
                <w:sz w:val="24"/>
              </w:rPr>
              <w:t>安全警示牌</w:t>
            </w:r>
          </w:p>
        </w:tc>
        <w:tc>
          <w:tcPr>
            <w:tcW w:w="2040" w:type="dxa"/>
            <w:noWrap w:val="0"/>
            <w:vAlign w:val="top"/>
          </w:tcPr>
          <w:p>
            <w:pPr>
              <w:spacing w:line="560" w:lineRule="exact"/>
              <w:jc w:val="center"/>
              <w:rPr>
                <w:rFonts w:ascii="仿宋_GB2312" w:eastAsia="仿宋_GB2312"/>
                <w:sz w:val="24"/>
              </w:rPr>
            </w:pPr>
            <w:r>
              <w:rPr>
                <w:rFonts w:ascii="仿宋_GB2312" w:eastAsia="仿宋_GB2312"/>
                <w:sz w:val="24"/>
              </w:rPr>
              <w:t>每个断面设立并维护</w:t>
            </w:r>
          </w:p>
        </w:tc>
        <w:tc>
          <w:tcPr>
            <w:tcW w:w="3630" w:type="dxa"/>
            <w:noWrap w:val="0"/>
            <w:vAlign w:val="center"/>
          </w:tcPr>
          <w:p>
            <w:pPr>
              <w:jc w:val="center"/>
              <w:rPr>
                <w:rFonts w:ascii="仿宋_GB2312" w:eastAsia="仿宋_GB2312"/>
                <w:b/>
                <w:bCs/>
                <w:sz w:val="32"/>
                <w:szCs w:val="32"/>
              </w:rPr>
            </w:pPr>
            <w:r>
              <w:rPr>
                <w:rFonts w:hint="eastAsia" w:ascii="仿宋_GB2312" w:eastAsia="仿宋_GB2312"/>
                <w:b/>
                <w:bCs/>
                <w:sz w:val="32"/>
                <w:szCs w:val="32"/>
              </w:rPr>
              <w:t>即时修复</w:t>
            </w:r>
          </w:p>
        </w:tc>
      </w:tr>
    </w:tbl>
    <w:p>
      <w:pPr>
        <w:spacing w:line="560" w:lineRule="exact"/>
        <w:ind w:firstLine="1419" w:firstLineChars="507"/>
        <w:jc w:val="center"/>
        <w:rPr>
          <w:rFonts w:ascii="仿宋_GB2312" w:eastAsia="仿宋_GB2312" w:cs="仿宋"/>
          <w:sz w:val="28"/>
          <w:szCs w:val="28"/>
          <w:lang w:val="zh-CN"/>
        </w:rPr>
      </w:pPr>
      <w:r>
        <w:rPr>
          <w:rFonts w:hint="eastAsia" w:ascii="仿宋_GB2312" w:eastAsia="仿宋_GB2312" w:cs="仿宋"/>
          <w:sz w:val="28"/>
          <w:szCs w:val="28"/>
          <w:lang w:val="zh-CN"/>
        </w:rPr>
        <w:t>表</w:t>
      </w:r>
      <w:r>
        <w:rPr>
          <w:rFonts w:hint="eastAsia" w:ascii="仿宋_GB2312" w:eastAsia="仿宋_GB2312" w:cs="仿宋"/>
          <w:sz w:val="28"/>
          <w:szCs w:val="28"/>
        </w:rPr>
        <w:t>4.4</w:t>
      </w:r>
      <w:r>
        <w:rPr>
          <w:rFonts w:hint="eastAsia" w:ascii="仿宋_GB2312" w:eastAsia="仿宋_GB2312" w:cs="仿宋"/>
          <w:sz w:val="28"/>
          <w:szCs w:val="28"/>
          <w:lang w:val="zh-CN"/>
        </w:rPr>
        <w:t>其他工作量清单</w:t>
      </w:r>
    </w:p>
    <w:tbl>
      <w:tblPr>
        <w:tblStyle w:val="50"/>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3673"/>
        <w:gridCol w:w="4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noWrap w:val="0"/>
            <w:vAlign w:val="top"/>
          </w:tcPr>
          <w:p>
            <w:pPr>
              <w:spacing w:line="560" w:lineRule="exact"/>
              <w:jc w:val="center"/>
              <w:rPr>
                <w:rFonts w:ascii="仿宋_GB2312" w:eastAsia="仿宋_GB2312"/>
                <w:sz w:val="24"/>
              </w:rPr>
            </w:pPr>
            <w:r>
              <w:rPr>
                <w:rFonts w:hint="eastAsia" w:ascii="仿宋_GB2312" w:eastAsia="仿宋_GB2312" w:cs="仿宋"/>
                <w:b/>
                <w:bCs/>
                <w:sz w:val="24"/>
              </w:rPr>
              <w:t>序号</w:t>
            </w:r>
          </w:p>
        </w:tc>
        <w:tc>
          <w:tcPr>
            <w:tcW w:w="3673" w:type="dxa"/>
            <w:noWrap w:val="0"/>
            <w:vAlign w:val="top"/>
          </w:tcPr>
          <w:p>
            <w:pPr>
              <w:spacing w:line="560" w:lineRule="exact"/>
              <w:jc w:val="center"/>
              <w:rPr>
                <w:rFonts w:ascii="仿宋_GB2312" w:eastAsia="仿宋_GB2312"/>
                <w:b/>
                <w:bCs/>
                <w:sz w:val="32"/>
                <w:szCs w:val="32"/>
              </w:rPr>
            </w:pPr>
            <w:r>
              <w:rPr>
                <w:rFonts w:hint="eastAsia" w:ascii="仿宋_GB2312" w:eastAsia="仿宋_GB2312" w:cs="仿宋"/>
                <w:b/>
                <w:bCs/>
                <w:sz w:val="24"/>
              </w:rPr>
              <w:t>项  目</w:t>
            </w:r>
          </w:p>
        </w:tc>
        <w:tc>
          <w:tcPr>
            <w:tcW w:w="4767" w:type="dxa"/>
            <w:noWrap w:val="0"/>
            <w:vAlign w:val="top"/>
          </w:tcPr>
          <w:p>
            <w:pPr>
              <w:spacing w:line="560" w:lineRule="exact"/>
              <w:jc w:val="center"/>
              <w:rPr>
                <w:rFonts w:ascii="仿宋_GB2312" w:eastAsia="仿宋_GB2312"/>
                <w:b/>
                <w:bCs/>
                <w:sz w:val="32"/>
                <w:szCs w:val="32"/>
              </w:rPr>
            </w:pPr>
            <w:r>
              <w:rPr>
                <w:rFonts w:hint="eastAsia" w:ascii="仿宋_GB2312" w:eastAsia="仿宋_GB2312"/>
                <w:b/>
                <w:bCs/>
                <w:sz w:val="24"/>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noWrap w:val="0"/>
            <w:vAlign w:val="top"/>
          </w:tcPr>
          <w:p>
            <w:pPr>
              <w:spacing w:line="560" w:lineRule="exact"/>
              <w:jc w:val="center"/>
              <w:rPr>
                <w:rFonts w:ascii="仿宋_GB2312" w:eastAsia="仿宋_GB2312"/>
                <w:sz w:val="32"/>
                <w:szCs w:val="32"/>
              </w:rPr>
            </w:pPr>
            <w:r>
              <w:rPr>
                <w:rFonts w:hint="eastAsia" w:ascii="仿宋_GB2312" w:eastAsia="仿宋_GB2312" w:cs="仿宋"/>
                <w:sz w:val="24"/>
              </w:rPr>
              <w:t>1</w:t>
            </w:r>
          </w:p>
        </w:tc>
        <w:tc>
          <w:tcPr>
            <w:tcW w:w="3673" w:type="dxa"/>
            <w:noWrap w:val="0"/>
            <w:vAlign w:val="top"/>
          </w:tcPr>
          <w:p>
            <w:pPr>
              <w:spacing w:line="560" w:lineRule="exact"/>
              <w:jc w:val="center"/>
              <w:rPr>
                <w:rFonts w:ascii="仿宋_GB2312" w:eastAsia="仿宋_GB2312"/>
                <w:sz w:val="24"/>
              </w:rPr>
            </w:pPr>
            <w:r>
              <w:rPr>
                <w:rFonts w:hint="eastAsia" w:ascii="仿宋_GB2312" w:eastAsia="仿宋_GB2312"/>
                <w:sz w:val="24"/>
              </w:rPr>
              <w:t>光纤通讯保障</w:t>
            </w:r>
          </w:p>
        </w:tc>
        <w:tc>
          <w:tcPr>
            <w:tcW w:w="4767" w:type="dxa"/>
            <w:noWrap w:val="0"/>
            <w:vAlign w:val="center"/>
          </w:tcPr>
          <w:p>
            <w:pPr>
              <w:jc w:val="center"/>
              <w:rPr>
                <w:rFonts w:ascii="仿宋_GB2312" w:eastAsia="仿宋_GB2312"/>
                <w:b/>
                <w:bCs/>
                <w:sz w:val="32"/>
                <w:szCs w:val="32"/>
              </w:rPr>
            </w:pPr>
            <w:r>
              <w:rPr>
                <w:rFonts w:hint="eastAsia" w:ascii="仿宋_GB2312" w:eastAsia="仿宋_GB2312"/>
                <w:sz w:val="24"/>
              </w:rPr>
              <w:t>及时与电信部门沟通协调，做好光纤维护，按时向电信部门支付光纤使用费，保障通信畅通。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71" w:type="dxa"/>
            <w:noWrap w:val="0"/>
            <w:vAlign w:val="top"/>
          </w:tcPr>
          <w:p>
            <w:pPr>
              <w:spacing w:line="560" w:lineRule="exact"/>
              <w:jc w:val="center"/>
              <w:rPr>
                <w:rFonts w:ascii="仿宋_GB2312" w:eastAsia="仿宋_GB2312"/>
                <w:sz w:val="32"/>
                <w:szCs w:val="32"/>
              </w:rPr>
            </w:pPr>
            <w:r>
              <w:rPr>
                <w:rFonts w:hint="eastAsia" w:ascii="仿宋_GB2312" w:eastAsia="仿宋_GB2312" w:cs="仿宋"/>
                <w:sz w:val="24"/>
              </w:rPr>
              <w:t>2</w:t>
            </w:r>
          </w:p>
        </w:tc>
        <w:tc>
          <w:tcPr>
            <w:tcW w:w="3673" w:type="dxa"/>
            <w:noWrap w:val="0"/>
            <w:vAlign w:val="top"/>
          </w:tcPr>
          <w:p>
            <w:pPr>
              <w:spacing w:line="560" w:lineRule="exact"/>
              <w:jc w:val="center"/>
              <w:rPr>
                <w:rFonts w:ascii="仿宋_GB2312" w:eastAsia="仿宋_GB2312"/>
                <w:sz w:val="24"/>
              </w:rPr>
            </w:pPr>
            <w:r>
              <w:rPr>
                <w:rFonts w:hint="eastAsia" w:ascii="仿宋_GB2312" w:eastAsia="仿宋_GB2312"/>
                <w:sz w:val="24"/>
              </w:rPr>
              <w:t>通信数据卡</w:t>
            </w:r>
          </w:p>
        </w:tc>
        <w:tc>
          <w:tcPr>
            <w:tcW w:w="4767" w:type="dxa"/>
            <w:noWrap w:val="0"/>
            <w:vAlign w:val="center"/>
          </w:tcPr>
          <w:p>
            <w:pPr>
              <w:jc w:val="center"/>
              <w:rPr>
                <w:rFonts w:ascii="仿宋_GB2312" w:eastAsia="仿宋_GB2312"/>
                <w:b/>
                <w:bCs/>
                <w:sz w:val="32"/>
                <w:szCs w:val="32"/>
              </w:rPr>
            </w:pPr>
            <w:r>
              <w:rPr>
                <w:rFonts w:hint="eastAsia" w:ascii="仿宋_GB2312" w:eastAsia="仿宋_GB2312"/>
                <w:sz w:val="24"/>
              </w:rPr>
              <w:t>及时缴纳电话费，保障数据传输正常。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noWrap w:val="0"/>
            <w:vAlign w:val="top"/>
          </w:tcPr>
          <w:p>
            <w:pPr>
              <w:spacing w:line="560" w:lineRule="exact"/>
              <w:jc w:val="center"/>
              <w:rPr>
                <w:rFonts w:ascii="仿宋_GB2312" w:eastAsia="仿宋_GB2312"/>
                <w:sz w:val="32"/>
                <w:szCs w:val="32"/>
              </w:rPr>
            </w:pPr>
            <w:r>
              <w:rPr>
                <w:rFonts w:hint="eastAsia" w:ascii="仿宋_GB2312" w:eastAsia="仿宋_GB2312" w:cs="仿宋"/>
                <w:sz w:val="24"/>
              </w:rPr>
              <w:t>3</w:t>
            </w:r>
          </w:p>
        </w:tc>
        <w:tc>
          <w:tcPr>
            <w:tcW w:w="3673" w:type="dxa"/>
            <w:noWrap w:val="0"/>
            <w:vAlign w:val="top"/>
          </w:tcPr>
          <w:p>
            <w:pPr>
              <w:spacing w:line="560" w:lineRule="exact"/>
              <w:jc w:val="center"/>
              <w:rPr>
                <w:rFonts w:ascii="仿宋_GB2312" w:eastAsia="仿宋_GB2312"/>
                <w:sz w:val="24"/>
              </w:rPr>
            </w:pPr>
            <w:r>
              <w:rPr>
                <w:rFonts w:hint="eastAsia" w:ascii="仿宋_GB2312" w:eastAsia="仿宋_GB2312"/>
                <w:sz w:val="24"/>
              </w:rPr>
              <w:t>断面</w:t>
            </w:r>
            <w:r>
              <w:rPr>
                <w:rFonts w:hint="eastAsia" w:ascii="仿宋_GB2312" w:eastAsia="仿宋_GB2312"/>
                <w:sz w:val="24"/>
                <w:lang w:val="en-US" w:eastAsia="zh-CN"/>
              </w:rPr>
              <w:t>巡检</w:t>
            </w:r>
            <w:r>
              <w:rPr>
                <w:rFonts w:hint="eastAsia" w:ascii="仿宋_GB2312" w:eastAsia="仿宋_GB2312"/>
                <w:sz w:val="24"/>
              </w:rPr>
              <w:t>人员</w:t>
            </w:r>
            <w:r>
              <w:rPr>
                <w:rFonts w:hint="eastAsia" w:ascii="仿宋_GB2312" w:eastAsia="仿宋_GB2312"/>
                <w:sz w:val="24"/>
                <w:lang w:eastAsia="zh-CN"/>
              </w:rPr>
              <w:t>、</w:t>
            </w:r>
            <w:r>
              <w:rPr>
                <w:rFonts w:hint="eastAsia" w:ascii="仿宋_GB2312" w:eastAsia="仿宋_GB2312"/>
                <w:sz w:val="24"/>
                <w:lang w:val="en-US" w:eastAsia="zh-CN"/>
              </w:rPr>
              <w:t>库房管理员</w:t>
            </w:r>
            <w:r>
              <w:rPr>
                <w:rFonts w:hint="eastAsia" w:ascii="仿宋_GB2312" w:eastAsia="仿宋_GB2312"/>
                <w:sz w:val="24"/>
              </w:rPr>
              <w:t>工资</w:t>
            </w:r>
          </w:p>
        </w:tc>
        <w:tc>
          <w:tcPr>
            <w:tcW w:w="4767" w:type="dxa"/>
            <w:noWrap w:val="0"/>
            <w:vAlign w:val="center"/>
          </w:tcPr>
          <w:p>
            <w:pPr>
              <w:jc w:val="center"/>
              <w:rPr>
                <w:rFonts w:ascii="仿宋_GB2312" w:eastAsia="仿宋_GB2312"/>
                <w:b/>
                <w:bCs/>
                <w:sz w:val="32"/>
                <w:szCs w:val="32"/>
              </w:rPr>
            </w:pPr>
            <w:r>
              <w:rPr>
                <w:rFonts w:hint="eastAsia" w:ascii="仿宋_GB2312" w:eastAsia="仿宋_GB2312"/>
                <w:sz w:val="24"/>
              </w:rPr>
              <w:t>管理</w:t>
            </w:r>
            <w:r>
              <w:rPr>
                <w:rFonts w:hint="eastAsia" w:ascii="仿宋_GB2312" w:eastAsia="仿宋_GB2312"/>
                <w:sz w:val="24"/>
                <w:lang w:val="en-US" w:eastAsia="zh-CN"/>
              </w:rPr>
              <w:t>项目</w:t>
            </w:r>
            <w:r>
              <w:rPr>
                <w:rFonts w:hint="eastAsia" w:ascii="仿宋_GB2312" w:eastAsia="仿宋_GB2312"/>
                <w:sz w:val="24"/>
              </w:rPr>
              <w:t>人员，发放</w:t>
            </w:r>
            <w:r>
              <w:rPr>
                <w:rFonts w:hint="eastAsia" w:ascii="仿宋_GB2312" w:eastAsia="仿宋_GB2312"/>
                <w:sz w:val="24"/>
                <w:lang w:val="en-US" w:eastAsia="zh-CN"/>
              </w:rPr>
              <w:t>巡检</w:t>
            </w:r>
            <w:r>
              <w:rPr>
                <w:rFonts w:hint="eastAsia" w:ascii="仿宋_GB2312" w:eastAsia="仿宋_GB2312"/>
                <w:sz w:val="24"/>
              </w:rPr>
              <w:t>人员</w:t>
            </w:r>
            <w:r>
              <w:rPr>
                <w:rFonts w:hint="eastAsia" w:ascii="仿宋_GB2312" w:eastAsia="仿宋_GB2312"/>
                <w:sz w:val="24"/>
                <w:lang w:eastAsia="zh-CN"/>
              </w:rPr>
              <w:t>、</w:t>
            </w:r>
            <w:r>
              <w:rPr>
                <w:rFonts w:hint="eastAsia" w:ascii="仿宋_GB2312" w:eastAsia="仿宋_GB2312"/>
                <w:sz w:val="24"/>
                <w:lang w:val="en-US" w:eastAsia="zh-CN"/>
              </w:rPr>
              <w:t>库房管理员工资</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noWrap w:val="0"/>
            <w:vAlign w:val="top"/>
          </w:tcPr>
          <w:p>
            <w:pPr>
              <w:spacing w:line="560" w:lineRule="exact"/>
              <w:jc w:val="center"/>
              <w:rPr>
                <w:rFonts w:ascii="仿宋_GB2312" w:eastAsia="仿宋_GB2312"/>
                <w:sz w:val="32"/>
                <w:szCs w:val="32"/>
              </w:rPr>
            </w:pPr>
            <w:r>
              <w:rPr>
                <w:rFonts w:hint="eastAsia" w:ascii="仿宋_GB2312" w:eastAsia="仿宋_GB2312" w:cs="仿宋"/>
                <w:sz w:val="24"/>
              </w:rPr>
              <w:t>4</w:t>
            </w:r>
          </w:p>
        </w:tc>
        <w:tc>
          <w:tcPr>
            <w:tcW w:w="3673" w:type="dxa"/>
            <w:noWrap w:val="0"/>
            <w:vAlign w:val="top"/>
          </w:tcPr>
          <w:p>
            <w:pPr>
              <w:spacing w:line="560" w:lineRule="exact"/>
              <w:jc w:val="center"/>
              <w:rPr>
                <w:rFonts w:ascii="仿宋_GB2312" w:eastAsia="仿宋_GB2312"/>
                <w:sz w:val="24"/>
              </w:rPr>
            </w:pPr>
            <w:r>
              <w:rPr>
                <w:rFonts w:hint="eastAsia" w:ascii="仿宋_GB2312" w:eastAsia="仿宋_GB2312"/>
                <w:sz w:val="24"/>
              </w:rPr>
              <w:t>运行效果评估</w:t>
            </w:r>
          </w:p>
        </w:tc>
        <w:tc>
          <w:tcPr>
            <w:tcW w:w="4767" w:type="dxa"/>
            <w:noWrap w:val="0"/>
            <w:vAlign w:val="center"/>
          </w:tcPr>
          <w:p>
            <w:pPr>
              <w:rPr>
                <w:rFonts w:ascii="仿宋_GB2312" w:eastAsia="仿宋_GB2312"/>
                <w:b/>
                <w:bCs/>
                <w:sz w:val="32"/>
                <w:szCs w:val="32"/>
              </w:rPr>
            </w:pPr>
            <w:r>
              <w:rPr>
                <w:rFonts w:hint="eastAsia" w:ascii="仿宋_GB2312" w:eastAsia="仿宋_GB2312"/>
                <w:sz w:val="24"/>
              </w:rPr>
              <w:t>委托相关专家，召开评审会，就运行效果进行评估。</w:t>
            </w:r>
          </w:p>
        </w:tc>
      </w:tr>
    </w:tbl>
    <w:p>
      <w:pPr>
        <w:pStyle w:val="47"/>
        <w:spacing w:line="360" w:lineRule="auto"/>
        <w:rPr>
          <w:rStyle w:val="203"/>
          <w:rFonts w:hint="eastAsia" w:ascii="宋体" w:hAnsi="宋体" w:eastAsia="宋体"/>
          <w:color w:val="auto"/>
          <w:sz w:val="36"/>
          <w:szCs w:val="36"/>
          <w:highlight w:val="none"/>
        </w:rPr>
        <w:sectPr>
          <w:footerReference r:id="rId8" w:type="default"/>
          <w:pgSz w:w="11906" w:h="16838"/>
          <w:pgMar w:top="1418" w:right="1418" w:bottom="1418" w:left="1418" w:header="851" w:footer="992" w:gutter="0"/>
          <w:pgNumType w:fmt="decimal"/>
          <w:cols w:space="720" w:num="1"/>
          <w:docGrid w:linePitch="312" w:charSpace="0"/>
        </w:sectPr>
      </w:pPr>
      <w:r>
        <w:rPr>
          <w:rStyle w:val="203"/>
          <w:rFonts w:hint="eastAsia" w:ascii="宋体" w:hAnsi="宋体" w:eastAsia="宋体"/>
          <w:color w:val="auto"/>
          <w:sz w:val="36"/>
          <w:szCs w:val="36"/>
          <w:highlight w:val="none"/>
        </w:rPr>
        <w:br w:type="page"/>
      </w:r>
    </w:p>
    <w:p>
      <w:pPr>
        <w:pStyle w:val="47"/>
        <w:spacing w:line="360" w:lineRule="auto"/>
        <w:rPr>
          <w:rStyle w:val="203"/>
          <w:rFonts w:hint="eastAsia" w:ascii="宋体" w:hAnsi="宋体" w:eastAsia="宋体"/>
          <w:color w:val="auto"/>
          <w:sz w:val="36"/>
          <w:szCs w:val="36"/>
          <w:highlight w:val="none"/>
        </w:rPr>
      </w:pPr>
      <w:r>
        <w:rPr>
          <w:rStyle w:val="203"/>
          <w:rFonts w:hint="eastAsia" w:ascii="宋体" w:hAnsi="宋体" w:eastAsia="宋体"/>
          <w:color w:val="auto"/>
          <w:sz w:val="36"/>
          <w:szCs w:val="36"/>
          <w:highlight w:val="none"/>
        </w:rPr>
        <w:t>第六章  磋商响应文件格式</w:t>
      </w:r>
      <w:bookmarkEnd w:id="440"/>
      <w:bookmarkEnd w:id="441"/>
      <w:bookmarkEnd w:id="442"/>
      <w:bookmarkEnd w:id="443"/>
      <w:bookmarkEnd w:id="444"/>
      <w:bookmarkEnd w:id="445"/>
    </w:p>
    <w:p>
      <w:pPr>
        <w:pStyle w:val="158"/>
        <w:ind w:firstLine="7068" w:firstLineChars="2200"/>
        <w:rPr>
          <w:rFonts w:hint="eastAsia"/>
          <w:color w:val="auto"/>
          <w:highlight w:val="none"/>
          <w:lang w:val="zh-CN"/>
        </w:rPr>
      </w:pPr>
      <w:bookmarkStart w:id="446" w:name="_Toc62196433"/>
    </w:p>
    <w:p>
      <w:pPr>
        <w:pStyle w:val="158"/>
        <w:ind w:firstLine="7168" w:firstLineChars="2550"/>
        <w:rPr>
          <w:bCs/>
          <w:color w:val="auto"/>
          <w:sz w:val="28"/>
          <w:highlight w:val="none"/>
          <w:lang w:val="zh-CN"/>
        </w:rPr>
      </w:pPr>
      <w:r>
        <w:rPr>
          <w:rFonts w:hint="eastAsia"/>
          <w:color w:val="auto"/>
          <w:sz w:val="28"/>
          <w:highlight w:val="none"/>
          <w:lang w:val="zh-CN"/>
        </w:rPr>
        <w:t>正本/副本</w:t>
      </w:r>
      <w:bookmarkEnd w:id="446"/>
    </w:p>
    <w:p>
      <w:pPr>
        <w:autoSpaceDE w:val="0"/>
        <w:autoSpaceDN w:val="0"/>
        <w:adjustRightInd w:val="0"/>
        <w:snapToGrid w:val="0"/>
        <w:spacing w:line="360" w:lineRule="auto"/>
        <w:jc w:val="left"/>
        <w:rPr>
          <w:rFonts w:ascii="仿宋_GB2312" w:hAnsi="仿宋_GB2312" w:eastAsia="仿宋_GB2312" w:cs="仿宋_GB2312"/>
          <w:b/>
          <w:bCs/>
          <w:color w:val="auto"/>
          <w:sz w:val="28"/>
          <w:szCs w:val="32"/>
          <w:highlight w:val="none"/>
          <w:lang w:val="zh-CN"/>
        </w:rPr>
      </w:pPr>
      <w:r>
        <w:rPr>
          <w:rFonts w:hint="eastAsia" w:ascii="仿宋_GB2312" w:hAnsi="仿宋_GB2312" w:eastAsia="仿宋_GB2312" w:cs="仿宋_GB2312"/>
          <w:b/>
          <w:bCs/>
          <w:color w:val="auto"/>
          <w:sz w:val="28"/>
          <w:szCs w:val="32"/>
          <w:highlight w:val="none"/>
          <w:lang w:val="zh-CN"/>
        </w:rPr>
        <w:t>政府采购项目</w:t>
      </w:r>
    </w:p>
    <w:p>
      <w:pPr>
        <w:autoSpaceDE w:val="0"/>
        <w:autoSpaceDN w:val="0"/>
        <w:adjustRightInd w:val="0"/>
        <w:snapToGrid w:val="0"/>
        <w:spacing w:line="360" w:lineRule="auto"/>
        <w:jc w:val="left"/>
        <w:rPr>
          <w:rFonts w:ascii="仿宋_GB2312" w:hAnsi="仿宋_GB2312" w:eastAsia="仿宋_GB2312" w:cs="仿宋_GB2312"/>
          <w:b/>
          <w:bCs/>
          <w:color w:val="auto"/>
          <w:sz w:val="28"/>
          <w:szCs w:val="32"/>
          <w:highlight w:val="none"/>
          <w:lang w:val="zh-CN"/>
        </w:rPr>
      </w:pPr>
      <w:r>
        <w:rPr>
          <w:rFonts w:hint="eastAsia" w:ascii="仿宋_GB2312" w:hAnsi="仿宋_GB2312" w:eastAsia="仿宋_GB2312" w:cs="仿宋_GB2312"/>
          <w:b/>
          <w:bCs/>
          <w:color w:val="auto"/>
          <w:sz w:val="28"/>
          <w:szCs w:val="32"/>
          <w:highlight w:val="none"/>
          <w:lang w:val="zh-CN"/>
        </w:rPr>
        <w:t>采购项目编号：HXTDJC20220210</w:t>
      </w: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18"/>
          <w:szCs w:val="19"/>
          <w:highlight w:val="none"/>
        </w:rPr>
      </w:pPr>
    </w:p>
    <w:p>
      <w:pPr>
        <w:tabs>
          <w:tab w:val="left" w:pos="5670"/>
        </w:tabs>
        <w:autoSpaceDE w:val="0"/>
        <w:autoSpaceDN w:val="0"/>
        <w:adjustRightInd w:val="0"/>
        <w:snapToGrid w:val="0"/>
        <w:spacing w:line="360" w:lineRule="auto"/>
        <w:jc w:val="center"/>
        <w:rPr>
          <w:rFonts w:hint="eastAsia" w:ascii="仿宋_GB2312" w:hAnsi="仿宋_GB2312" w:eastAsia="仿宋_GB2312" w:cs="仿宋_GB2312"/>
          <w:color w:val="auto"/>
          <w:sz w:val="19"/>
          <w:szCs w:val="19"/>
          <w:highlight w:val="none"/>
        </w:rPr>
      </w:pPr>
    </w:p>
    <w:p>
      <w:pPr>
        <w:pStyle w:val="3"/>
        <w:rPr>
          <w:rFonts w:hint="eastAsia" w:eastAsiaTheme="minorEastAsia"/>
          <w:color w:val="auto"/>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19"/>
          <w:szCs w:val="19"/>
          <w:highlight w:val="none"/>
        </w:rPr>
      </w:pPr>
    </w:p>
    <w:p>
      <w:pPr>
        <w:autoSpaceDE w:val="0"/>
        <w:autoSpaceDN w:val="0"/>
        <w:adjustRightInd w:val="0"/>
        <w:snapToGrid w:val="0"/>
        <w:spacing w:line="360" w:lineRule="auto"/>
        <w:jc w:val="center"/>
        <w:rPr>
          <w:rFonts w:hint="eastAsia" w:ascii="仿宋_GB2312" w:hAnsi="仿宋_GB2312" w:eastAsia="仿宋_GB2312" w:cs="仿宋_GB2312"/>
          <w:b/>
          <w:bCs/>
          <w:color w:val="auto"/>
          <w:sz w:val="44"/>
          <w:szCs w:val="44"/>
          <w:highlight w:val="none"/>
          <w:lang w:eastAsia="zh-CN"/>
        </w:rPr>
      </w:pPr>
      <w:r>
        <w:rPr>
          <w:rFonts w:hint="eastAsia" w:ascii="仿宋_GB2312" w:hAnsi="仿宋_GB2312" w:eastAsia="仿宋_GB2312" w:cs="仿宋_GB2312"/>
          <w:b/>
          <w:bCs/>
          <w:color w:val="auto"/>
          <w:sz w:val="44"/>
          <w:szCs w:val="44"/>
          <w:highlight w:val="none"/>
          <w:lang w:eastAsia="zh-CN"/>
        </w:rPr>
        <w:t>13个行政监测断面设施设备运行维护</w:t>
      </w: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36"/>
          <w:szCs w:val="36"/>
          <w:highlight w:val="none"/>
          <w:lang w:val="zh-CN"/>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52"/>
          <w:szCs w:val="52"/>
          <w:highlight w:val="none"/>
          <w:lang w:val="zh-CN"/>
        </w:rPr>
      </w:pPr>
      <w:r>
        <w:rPr>
          <w:rFonts w:hint="eastAsia" w:ascii="仿宋_GB2312" w:hAnsi="仿宋_GB2312" w:eastAsia="仿宋_GB2312" w:cs="仿宋_GB2312"/>
          <w:b/>
          <w:bCs/>
          <w:color w:val="auto"/>
          <w:sz w:val="52"/>
          <w:szCs w:val="52"/>
          <w:highlight w:val="none"/>
          <w:lang w:val="zh-CN"/>
        </w:rPr>
        <w:t>磋商响应文件</w:t>
      </w:r>
    </w:p>
    <w:p>
      <w:pPr>
        <w:pStyle w:val="195"/>
        <w:ind w:firstLine="0"/>
        <w:jc w:val="center"/>
        <w:rPr>
          <w:rFonts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w:t>
      </w:r>
      <w:r>
        <w:rPr>
          <w:rFonts w:hint="eastAsia"/>
          <w:b/>
          <w:color w:val="auto"/>
          <w:sz w:val="30"/>
          <w:szCs w:val="30"/>
          <w:highlight w:val="none"/>
        </w:rPr>
        <w:t>资格证明文件</w:t>
      </w:r>
      <w:r>
        <w:rPr>
          <w:rFonts w:hint="eastAsia" w:ascii="仿宋_GB2312" w:hAnsi="仿宋_GB2312" w:eastAsia="仿宋_GB2312" w:cs="仿宋_GB2312"/>
          <w:b/>
          <w:color w:val="auto"/>
          <w:sz w:val="30"/>
          <w:szCs w:val="30"/>
          <w:highlight w:val="none"/>
        </w:rPr>
        <w:t>）</w:t>
      </w:r>
    </w:p>
    <w:p>
      <w:pPr>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autoSpaceDE w:val="0"/>
        <w:autoSpaceDN w:val="0"/>
        <w:adjustRightInd w:val="0"/>
        <w:snapToGrid w:val="0"/>
        <w:spacing w:line="360" w:lineRule="auto"/>
        <w:rPr>
          <w:rFonts w:ascii="仿宋_GB2312" w:hAnsi="仿宋_GB2312" w:eastAsia="仿宋_GB2312" w:cs="仿宋_GB2312"/>
          <w:b/>
          <w:bCs/>
          <w:color w:val="auto"/>
          <w:sz w:val="32"/>
          <w:szCs w:val="32"/>
          <w:highlight w:val="none"/>
          <w:lang w:val="zh-CN"/>
        </w:rPr>
      </w:pPr>
    </w:p>
    <w:p>
      <w:pPr>
        <w:autoSpaceDE w:val="0"/>
        <w:autoSpaceDN w:val="0"/>
        <w:adjustRightInd w:val="0"/>
        <w:snapToGrid w:val="0"/>
        <w:spacing w:line="360" w:lineRule="auto"/>
        <w:rPr>
          <w:rFonts w:ascii="仿宋_GB2312" w:hAnsi="仿宋_GB2312" w:eastAsia="仿宋_GB2312" w:cs="仿宋_GB2312"/>
          <w:b/>
          <w:bCs/>
          <w:color w:val="auto"/>
          <w:sz w:val="32"/>
          <w:szCs w:val="32"/>
          <w:highlight w:val="none"/>
          <w:lang w:val="zh-CN"/>
        </w:rPr>
      </w:pPr>
    </w:p>
    <w:p>
      <w:pPr>
        <w:autoSpaceDE w:val="0"/>
        <w:autoSpaceDN w:val="0"/>
        <w:adjustRightInd w:val="0"/>
        <w:snapToGrid w:val="0"/>
        <w:spacing w:line="360" w:lineRule="auto"/>
        <w:ind w:firstLine="964" w:firstLineChars="300"/>
        <w:rPr>
          <w:rFonts w:ascii="仿宋_GB2312" w:hAnsi="仿宋_GB2312" w:eastAsia="仿宋_GB2312" w:cs="仿宋_GB2312"/>
          <w:b/>
          <w:bCs/>
          <w:color w:val="auto"/>
          <w:sz w:val="32"/>
          <w:szCs w:val="32"/>
          <w:highlight w:val="none"/>
        </w:rPr>
      </w:pPr>
    </w:p>
    <w:p>
      <w:pPr>
        <w:autoSpaceDE w:val="0"/>
        <w:autoSpaceDN w:val="0"/>
        <w:adjustRightInd w:val="0"/>
        <w:snapToGrid w:val="0"/>
        <w:spacing w:line="360" w:lineRule="auto"/>
        <w:rPr>
          <w:rFonts w:ascii="仿宋_GB2312" w:hAnsi="仿宋_GB2312" w:eastAsia="仿宋_GB2312" w:cs="仿宋_GB2312"/>
          <w:color w:val="auto"/>
          <w:sz w:val="30"/>
          <w:szCs w:val="30"/>
          <w:highlight w:val="none"/>
        </w:rPr>
      </w:pPr>
    </w:p>
    <w:p>
      <w:pPr>
        <w:autoSpaceDE w:val="0"/>
        <w:autoSpaceDN w:val="0"/>
        <w:adjustRightInd w:val="0"/>
        <w:snapToGrid w:val="0"/>
        <w:spacing w:line="360" w:lineRule="auto"/>
        <w:ind w:firstLine="1124" w:firstLineChars="350"/>
        <w:rPr>
          <w:rFonts w:ascii="仿宋_GB2312" w:hAnsi="仿宋_GB2312" w:eastAsia="仿宋_GB2312" w:cs="仿宋_GB2312"/>
          <w:b/>
          <w:bCs/>
          <w:color w:val="auto"/>
          <w:sz w:val="32"/>
          <w:szCs w:val="32"/>
          <w:highlight w:val="none"/>
          <w:u w:val="single"/>
        </w:rPr>
      </w:pPr>
      <w:r>
        <w:rPr>
          <w:rFonts w:hint="eastAsia" w:ascii="仿宋_GB2312" w:hAnsi="仿宋_GB2312" w:eastAsia="仿宋_GB2312" w:cs="仿宋_GB2312"/>
          <w:b/>
          <w:bCs/>
          <w:color w:val="auto"/>
          <w:sz w:val="32"/>
          <w:szCs w:val="32"/>
          <w:highlight w:val="none"/>
          <w:lang w:val="zh-CN"/>
        </w:rPr>
        <w:t>供应商：</w:t>
      </w:r>
      <w:r>
        <w:rPr>
          <w:rFonts w:hint="eastAsia" w:ascii="仿宋_GB2312" w:hAnsi="仿宋_GB2312" w:eastAsia="仿宋_GB2312" w:cs="仿宋_GB2312"/>
          <w:b/>
          <w:bCs/>
          <w:color w:val="auto"/>
          <w:sz w:val="32"/>
          <w:szCs w:val="32"/>
          <w:highlight w:val="none"/>
          <w:u w:val="single"/>
          <w:lang w:val="zh-CN"/>
        </w:rPr>
        <w:t xml:space="preserve">                           </w:t>
      </w:r>
      <w:r>
        <w:rPr>
          <w:rFonts w:hint="eastAsia" w:ascii="仿宋_GB2312" w:hAnsi="仿宋_GB2312" w:eastAsia="仿宋_GB2312" w:cs="仿宋_GB2312"/>
          <w:b/>
          <w:bCs/>
          <w:color w:val="auto"/>
          <w:sz w:val="32"/>
          <w:szCs w:val="32"/>
          <w:highlight w:val="none"/>
          <w:u w:val="single"/>
        </w:rPr>
        <w:t xml:space="preserve"> </w:t>
      </w:r>
    </w:p>
    <w:p>
      <w:pPr>
        <w:autoSpaceDE w:val="0"/>
        <w:autoSpaceDN w:val="0"/>
        <w:adjustRightInd w:val="0"/>
        <w:snapToGrid w:val="0"/>
        <w:spacing w:line="360" w:lineRule="auto"/>
        <w:rPr>
          <w:rFonts w:ascii="仿宋_GB2312" w:hAnsi="仿宋_GB2312" w:eastAsia="仿宋_GB2312" w:cs="仿宋_GB2312"/>
          <w:b/>
          <w:bCs/>
          <w:color w:val="auto"/>
          <w:sz w:val="32"/>
          <w:szCs w:val="32"/>
          <w:highlight w:val="none"/>
        </w:rPr>
      </w:pPr>
    </w:p>
    <w:p>
      <w:pPr>
        <w:autoSpaceDE w:val="0"/>
        <w:autoSpaceDN w:val="0"/>
        <w:adjustRightInd w:val="0"/>
        <w:snapToGrid w:val="0"/>
        <w:spacing w:line="360" w:lineRule="auto"/>
        <w:ind w:firstLine="1124" w:firstLineChars="350"/>
        <w:rPr>
          <w:rFonts w:ascii="仿宋_GB2312" w:hAnsi="仿宋_GB2312" w:eastAsia="仿宋_GB2312" w:cs="仿宋_GB2312"/>
          <w:b/>
          <w:bCs/>
          <w:color w:val="auto"/>
          <w:sz w:val="32"/>
          <w:szCs w:val="32"/>
          <w:highlight w:val="none"/>
          <w:u w:val="single"/>
        </w:rPr>
      </w:pPr>
      <w:r>
        <w:rPr>
          <w:rFonts w:hint="eastAsia" w:ascii="仿宋_GB2312" w:hAnsi="仿宋_GB2312" w:eastAsia="仿宋_GB2312" w:cs="仿宋_GB2312"/>
          <w:b/>
          <w:bCs/>
          <w:color w:val="auto"/>
          <w:sz w:val="32"/>
          <w:szCs w:val="32"/>
          <w:highlight w:val="none"/>
          <w:lang w:val="zh-CN"/>
        </w:rPr>
        <w:t>时  间：</w:t>
      </w:r>
    </w:p>
    <w:p>
      <w:pPr>
        <w:pStyle w:val="3"/>
        <w:rPr>
          <w:color w:val="auto"/>
          <w:highlight w:val="none"/>
        </w:rPr>
      </w:pPr>
      <w:r>
        <w:rPr>
          <w:color w:val="auto"/>
          <w:highlight w:val="none"/>
        </w:rPr>
        <w:br w:type="page"/>
      </w:r>
    </w:p>
    <w:p>
      <w:pPr>
        <w:pStyle w:val="195"/>
        <w:ind w:firstLine="0"/>
        <w:jc w:val="center"/>
        <w:rPr>
          <w:b/>
          <w:color w:val="auto"/>
          <w:sz w:val="32"/>
          <w:szCs w:val="32"/>
          <w:highlight w:val="none"/>
        </w:rPr>
      </w:pPr>
      <w:r>
        <w:rPr>
          <w:rFonts w:hint="eastAsia"/>
          <w:b/>
          <w:color w:val="auto"/>
          <w:sz w:val="32"/>
          <w:szCs w:val="32"/>
          <w:highlight w:val="none"/>
        </w:rPr>
        <w:t>第一部分  身份证明文件</w:t>
      </w:r>
    </w:p>
    <w:p>
      <w:pPr>
        <w:spacing w:after="120"/>
        <w:rPr>
          <w:rFonts w:ascii="仿宋_GB2312" w:hAnsi="仿宋_GB2312" w:eastAsia="仿宋_GB2312" w:cs="仿宋_GB2312"/>
          <w:color w:val="auto"/>
          <w:highlight w:val="none"/>
        </w:rPr>
      </w:pPr>
    </w:p>
    <w:p>
      <w:pPr>
        <w:widowControl/>
        <w:jc w:val="center"/>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lang w:val="zh-CN"/>
        </w:rPr>
        <w:t>1、法定代表人授权书</w:t>
      </w:r>
    </w:p>
    <w:p>
      <w:pPr>
        <w:autoSpaceDE w:val="0"/>
        <w:autoSpaceDN w:val="0"/>
        <w:adjustRightInd w:val="0"/>
        <w:spacing w:line="348" w:lineRule="auto"/>
        <w:ind w:firstLine="400"/>
        <w:rPr>
          <w:rFonts w:ascii="仿宋_GB2312" w:hAnsi="仿宋_GB2312" w:eastAsia="仿宋_GB2312" w:cs="仿宋_GB2312"/>
          <w:b/>
          <w:bCs/>
          <w:color w:val="auto"/>
          <w:sz w:val="20"/>
          <w:highlight w:val="none"/>
        </w:rPr>
      </w:pPr>
    </w:p>
    <w:p>
      <w:pPr>
        <w:autoSpaceDE w:val="0"/>
        <w:autoSpaceDN w:val="0"/>
        <w:adjustRightInd w:val="0"/>
        <w:spacing w:line="348"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陕西鸿信泰鼎建设项目管理有限公司：</w:t>
      </w:r>
    </w:p>
    <w:p>
      <w:pPr>
        <w:autoSpaceDE w:val="0"/>
        <w:autoSpaceDN w:val="0"/>
        <w:adjustRightInd w:val="0"/>
        <w:spacing w:line="348" w:lineRule="auto"/>
        <w:ind w:firstLine="64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注册于</w:t>
      </w:r>
      <w:r>
        <w:rPr>
          <w:rFonts w:hint="eastAsia" w:ascii="仿宋_GB2312" w:hAnsi="仿宋_GB2312" w:eastAsia="仿宋_GB2312" w:cs="仿宋_GB2312"/>
          <w:color w:val="auto"/>
          <w:sz w:val="24"/>
          <w:highlight w:val="none"/>
          <w:u w:val="single"/>
          <w:lang w:val="zh-CN"/>
        </w:rPr>
        <w:t>（工商行政管理局名称）</w:t>
      </w:r>
      <w:r>
        <w:rPr>
          <w:rFonts w:hint="eastAsia" w:ascii="仿宋_GB2312" w:hAnsi="仿宋_GB2312" w:eastAsia="仿宋_GB2312" w:cs="仿宋_GB2312"/>
          <w:color w:val="auto"/>
          <w:sz w:val="24"/>
          <w:highlight w:val="none"/>
          <w:lang w:val="zh-CN"/>
        </w:rPr>
        <w:t>之</w:t>
      </w:r>
      <w:r>
        <w:rPr>
          <w:rFonts w:hint="eastAsia" w:ascii="仿宋_GB2312" w:hAnsi="仿宋_GB2312" w:eastAsia="仿宋_GB2312" w:cs="仿宋_GB2312"/>
          <w:color w:val="auto"/>
          <w:sz w:val="24"/>
          <w:highlight w:val="none"/>
          <w:u w:val="single"/>
          <w:lang w:val="zh-CN"/>
        </w:rPr>
        <w:t>（供应商全称）</w:t>
      </w:r>
      <w:r>
        <w:rPr>
          <w:rFonts w:hint="eastAsia" w:ascii="仿宋_GB2312" w:hAnsi="仿宋_GB2312" w:eastAsia="仿宋_GB2312" w:cs="仿宋_GB2312"/>
          <w:color w:val="auto"/>
          <w:sz w:val="24"/>
          <w:highlight w:val="none"/>
          <w:lang w:val="zh-CN"/>
        </w:rPr>
        <w:t>法人代表</w:t>
      </w:r>
      <w:r>
        <w:rPr>
          <w:rFonts w:hint="eastAsia" w:ascii="仿宋_GB2312" w:hAnsi="仿宋_GB2312" w:eastAsia="仿宋_GB2312" w:cs="仿宋_GB2312"/>
          <w:color w:val="auto"/>
          <w:sz w:val="24"/>
          <w:highlight w:val="none"/>
          <w:u w:val="single"/>
          <w:lang w:val="zh-CN"/>
        </w:rPr>
        <w:t>（姓名、职务）</w:t>
      </w:r>
      <w:r>
        <w:rPr>
          <w:rFonts w:hint="eastAsia" w:ascii="仿宋_GB2312" w:hAnsi="仿宋_GB2312" w:eastAsia="仿宋_GB2312" w:cs="仿宋_GB2312"/>
          <w:color w:val="auto"/>
          <w:sz w:val="24"/>
          <w:highlight w:val="none"/>
          <w:lang w:val="zh-CN"/>
        </w:rPr>
        <w:t>授权</w:t>
      </w:r>
      <w:r>
        <w:rPr>
          <w:rFonts w:hint="eastAsia" w:ascii="仿宋_GB2312" w:hAnsi="仿宋_GB2312" w:eastAsia="仿宋_GB2312" w:cs="仿宋_GB2312"/>
          <w:color w:val="auto"/>
          <w:sz w:val="24"/>
          <w:highlight w:val="none"/>
          <w:u w:val="single"/>
          <w:lang w:val="zh-CN"/>
        </w:rPr>
        <w:t>（被授权人姓名、职务）</w:t>
      </w:r>
      <w:r>
        <w:rPr>
          <w:rFonts w:hint="eastAsia" w:ascii="仿宋_GB2312" w:hAnsi="仿宋_GB2312" w:eastAsia="仿宋_GB2312" w:cs="仿宋_GB2312"/>
          <w:color w:val="auto"/>
          <w:sz w:val="24"/>
          <w:highlight w:val="none"/>
          <w:lang w:val="zh-CN"/>
        </w:rPr>
        <w:t>为本公司的合法代理人，就</w:t>
      </w:r>
      <w:r>
        <w:rPr>
          <w:rFonts w:hint="eastAsia" w:ascii="仿宋_GB2312" w:hAnsi="仿宋_GB2312" w:eastAsia="仿宋_GB2312" w:cs="仿宋_GB2312"/>
          <w:color w:val="auto"/>
          <w:sz w:val="24"/>
          <w:highlight w:val="none"/>
          <w:u w:val="single"/>
          <w:lang w:val="zh-CN"/>
        </w:rPr>
        <w:t>13个行政监测断面设施设备运行维护</w:t>
      </w:r>
      <w:r>
        <w:rPr>
          <w:rFonts w:hint="eastAsia" w:ascii="仿宋_GB2312" w:hAnsi="仿宋_GB2312" w:eastAsia="仿宋_GB2312" w:cs="仿宋_GB2312"/>
          <w:color w:val="auto"/>
          <w:sz w:val="24"/>
          <w:highlight w:val="none"/>
          <w:lang w:val="zh-CN"/>
        </w:rPr>
        <w:t>的磋商及合同的执行和完成，以本公司的名义处理一切与之有关的事宜。</w:t>
      </w:r>
    </w:p>
    <w:p>
      <w:pPr>
        <w:snapToGrid w:val="0"/>
        <w:spacing w:line="360" w:lineRule="auto"/>
        <w:ind w:firstLine="480" w:firstLineChars="200"/>
        <w:rPr>
          <w:rFonts w:ascii="仿宋_GB2312" w:hAnsi="仿宋_GB2312" w:eastAsia="仿宋_GB2312" w:cs="仿宋_GB2312"/>
          <w:b/>
          <w:bCs/>
          <w:color w:val="auto"/>
          <w:sz w:val="24"/>
          <w:highlight w:val="none"/>
          <w:lang w:val="zh-CN"/>
        </w:rPr>
      </w:pPr>
      <w:r>
        <w:rPr>
          <w:rFonts w:hint="eastAsia" w:ascii="仿宋_GB2312" w:hAnsi="仿宋_GB2312" w:eastAsia="仿宋_GB2312" w:cs="仿宋_GB2312"/>
          <w:color w:val="auto"/>
          <w:sz w:val="24"/>
          <w:highlight w:val="none"/>
          <w:lang w:val="zh-CN"/>
        </w:rPr>
        <w:t>本授权自</w:t>
      </w:r>
      <w:r>
        <w:rPr>
          <w:rFonts w:hint="eastAsia" w:ascii="仿宋_GB2312" w:hAnsi="仿宋_GB2312" w:eastAsia="仿宋_GB2312" w:cs="仿宋_GB2312"/>
          <w:color w:val="auto"/>
          <w:sz w:val="24"/>
          <w:highlight w:val="none"/>
          <w:u w:val="single"/>
          <w:lang w:val="zh-CN"/>
        </w:rPr>
        <w:t xml:space="preserve">    </w:t>
      </w:r>
      <w:r>
        <w:rPr>
          <w:rFonts w:hint="eastAsia" w:ascii="仿宋_GB2312" w:hAnsi="仿宋_GB2312" w:eastAsia="仿宋_GB2312" w:cs="仿宋_GB2312"/>
          <w:color w:val="auto"/>
          <w:sz w:val="24"/>
          <w:highlight w:val="none"/>
          <w:lang w:val="zh-CN"/>
        </w:rPr>
        <w:t>年</w:t>
      </w:r>
      <w:r>
        <w:rPr>
          <w:rFonts w:hint="eastAsia" w:ascii="仿宋_GB2312" w:hAnsi="仿宋_GB2312" w:eastAsia="仿宋_GB2312" w:cs="仿宋_GB2312"/>
          <w:color w:val="auto"/>
          <w:sz w:val="24"/>
          <w:highlight w:val="none"/>
          <w:u w:val="single"/>
          <w:lang w:val="zh-CN"/>
        </w:rPr>
        <w:t xml:space="preserve">    </w:t>
      </w:r>
      <w:r>
        <w:rPr>
          <w:rFonts w:hint="eastAsia" w:ascii="仿宋_GB2312" w:hAnsi="仿宋_GB2312" w:eastAsia="仿宋_GB2312" w:cs="仿宋_GB2312"/>
          <w:color w:val="auto"/>
          <w:sz w:val="24"/>
          <w:highlight w:val="none"/>
          <w:lang w:val="zh-CN"/>
        </w:rPr>
        <w:t>月</w:t>
      </w:r>
      <w:r>
        <w:rPr>
          <w:rFonts w:hint="eastAsia" w:ascii="仿宋_GB2312" w:hAnsi="仿宋_GB2312" w:eastAsia="仿宋_GB2312" w:cs="仿宋_GB2312"/>
          <w:color w:val="auto"/>
          <w:sz w:val="24"/>
          <w:highlight w:val="none"/>
          <w:u w:val="single"/>
          <w:lang w:val="zh-CN"/>
        </w:rPr>
        <w:t xml:space="preserve">    </w:t>
      </w:r>
      <w:r>
        <w:rPr>
          <w:rFonts w:hint="eastAsia" w:ascii="仿宋_GB2312" w:hAnsi="仿宋_GB2312" w:eastAsia="仿宋_GB2312" w:cs="仿宋_GB2312"/>
          <w:color w:val="auto"/>
          <w:sz w:val="24"/>
          <w:highlight w:val="none"/>
          <w:lang w:val="zh-CN"/>
        </w:rPr>
        <w:t>日起生效。（</w:t>
      </w:r>
      <w:r>
        <w:rPr>
          <w:rFonts w:hint="eastAsia" w:ascii="仿宋_GB2312" w:hAnsi="仿宋_GB2312" w:eastAsia="仿宋_GB2312" w:cs="仿宋_GB2312"/>
          <w:b/>
          <w:color w:val="auto"/>
          <w:sz w:val="24"/>
          <w:highlight w:val="none"/>
          <w:lang w:val="zh-CN"/>
        </w:rPr>
        <w:t>提示：此日期不应晚于磋商响应函签署日期</w:t>
      </w:r>
      <w:r>
        <w:rPr>
          <w:rFonts w:hint="eastAsia" w:ascii="仿宋_GB2312" w:hAnsi="仿宋_GB2312" w:eastAsia="仿宋_GB2312" w:cs="仿宋_GB2312"/>
          <w:color w:val="auto"/>
          <w:sz w:val="24"/>
          <w:highlight w:val="none"/>
          <w:lang w:val="zh-CN"/>
        </w:rPr>
        <w:t>）</w:t>
      </w:r>
    </w:p>
    <w:p>
      <w:pPr>
        <w:autoSpaceDE w:val="0"/>
        <w:autoSpaceDN w:val="0"/>
        <w:adjustRightInd w:val="0"/>
        <w:spacing w:line="348" w:lineRule="auto"/>
        <w:rPr>
          <w:rFonts w:ascii="仿宋_GB2312" w:hAnsi="仿宋_GB2312" w:eastAsia="仿宋_GB2312" w:cs="仿宋_GB2312"/>
          <w:color w:val="auto"/>
          <w:sz w:val="24"/>
          <w:highlight w:val="none"/>
        </w:rPr>
      </w:pPr>
    </w:p>
    <w:p>
      <w:pPr>
        <w:autoSpaceDE w:val="0"/>
        <w:autoSpaceDN w:val="0"/>
        <w:adjustRightInd w:val="0"/>
        <w:spacing w:line="348" w:lineRule="auto"/>
        <w:rPr>
          <w:rFonts w:hint="eastAsia" w:ascii="仿宋_GB2312" w:hAnsi="仿宋_GB2312" w:eastAsia="仿宋_GB2312" w:cs="仿宋_GB2312"/>
          <w:color w:val="auto"/>
          <w:sz w:val="24"/>
          <w:highlight w:val="none"/>
          <w:u w:val="single"/>
          <w:lang w:val="en-US" w:eastAsia="zh-CN"/>
        </w:rPr>
      </w:pPr>
      <w:r>
        <w:rPr>
          <w:rFonts w:hint="eastAsia" w:ascii="仿宋_GB2312" w:hAnsi="仿宋_GB2312" w:eastAsia="仿宋_GB2312" w:cs="仿宋_GB2312"/>
          <w:color w:val="auto"/>
          <w:sz w:val="24"/>
          <w:highlight w:val="none"/>
          <w:lang w:val="zh-CN"/>
        </w:rPr>
        <w:t>附：被授权人姓名：</w:t>
      </w: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sz w:val="24"/>
          <w:highlight w:val="none"/>
          <w:lang w:val="zh-CN"/>
        </w:rPr>
        <w:t>性别：</w:t>
      </w: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sz w:val="24"/>
          <w:highlight w:val="none"/>
          <w:lang w:val="zh-CN"/>
        </w:rPr>
        <w:t>年龄：</w:t>
      </w:r>
      <w:r>
        <w:rPr>
          <w:rFonts w:hint="eastAsia" w:ascii="仿宋_GB2312" w:hAnsi="仿宋_GB2312" w:eastAsia="仿宋_GB2312" w:cs="仿宋_GB2312"/>
          <w:color w:val="auto"/>
          <w:sz w:val="24"/>
          <w:highlight w:val="none"/>
          <w:u w:val="single"/>
          <w:lang w:val="en-US" w:eastAsia="zh-CN"/>
        </w:rPr>
        <w:t xml:space="preserve"> </w:t>
      </w:r>
    </w:p>
    <w:p>
      <w:pPr>
        <w:autoSpaceDE w:val="0"/>
        <w:autoSpaceDN w:val="0"/>
        <w:adjustRightInd w:val="0"/>
        <w:spacing w:line="348" w:lineRule="auto"/>
        <w:ind w:firstLine="63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职务：</w:t>
      </w: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sz w:val="24"/>
          <w:highlight w:val="none"/>
          <w:lang w:val="zh-CN"/>
        </w:rPr>
        <w:t>身份证号码：</w:t>
      </w:r>
    </w:p>
    <w:p>
      <w:pPr>
        <w:autoSpaceDE w:val="0"/>
        <w:autoSpaceDN w:val="0"/>
        <w:adjustRightInd w:val="0"/>
        <w:spacing w:line="348" w:lineRule="auto"/>
        <w:ind w:firstLine="63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lang w:val="zh-CN"/>
        </w:rPr>
        <w:t>通讯地址：</w:t>
      </w:r>
    </w:p>
    <w:p>
      <w:pPr>
        <w:autoSpaceDE w:val="0"/>
        <w:autoSpaceDN w:val="0"/>
        <w:adjustRightInd w:val="0"/>
        <w:spacing w:line="348" w:lineRule="auto"/>
        <w:ind w:firstLine="63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lang w:val="zh-CN"/>
        </w:rPr>
        <w:t>邮政编码：</w:t>
      </w:r>
    </w:p>
    <w:p>
      <w:pPr>
        <w:autoSpaceDE w:val="0"/>
        <w:autoSpaceDN w:val="0"/>
        <w:adjustRightInd w:val="0"/>
        <w:spacing w:line="348" w:lineRule="auto"/>
        <w:ind w:firstLine="63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lang w:val="zh-CN"/>
        </w:rPr>
        <w:t>电话：</w:t>
      </w: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sz w:val="24"/>
          <w:highlight w:val="none"/>
          <w:lang w:val="zh-CN"/>
        </w:rPr>
        <w:t>传真：</w:t>
      </w:r>
    </w:p>
    <w:p>
      <w:pPr>
        <w:autoSpaceDE w:val="0"/>
        <w:autoSpaceDN w:val="0"/>
        <w:adjustRightInd w:val="0"/>
        <w:spacing w:line="348" w:lineRule="auto"/>
        <w:rPr>
          <w:rFonts w:ascii="仿宋_GB2312" w:hAnsi="仿宋_GB2312" w:eastAsia="仿宋_GB2312" w:cs="仿宋_GB2312"/>
          <w:color w:val="auto"/>
          <w:sz w:val="24"/>
          <w:highlight w:val="none"/>
        </w:rPr>
      </w:pPr>
    </w:p>
    <w:p>
      <w:pPr>
        <w:autoSpaceDE w:val="0"/>
        <w:autoSpaceDN w:val="0"/>
        <w:adjustRightInd w:val="0"/>
        <w:spacing w:line="34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法定代表人</w:t>
      </w:r>
      <w:r>
        <w:rPr>
          <w:rFonts w:hint="eastAsia" w:ascii="仿宋_GB2312" w:hAnsi="仿宋_GB2312" w:eastAsia="仿宋_GB2312" w:cs="仿宋_GB2312"/>
          <w:color w:val="auto"/>
          <w:sz w:val="24"/>
          <w:highlight w:val="none"/>
        </w:rPr>
        <w:t>及</w:t>
      </w:r>
      <w:r>
        <w:rPr>
          <w:rFonts w:hint="eastAsia" w:ascii="仿宋_GB2312" w:hAnsi="仿宋_GB2312" w:eastAsia="仿宋_GB2312" w:cs="仿宋_GB2312"/>
          <w:color w:val="auto"/>
          <w:sz w:val="24"/>
          <w:highlight w:val="none"/>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法定代表人身份证复印件</w:t>
            </w:r>
          </w:p>
          <w:p>
            <w:pPr>
              <w:autoSpaceDE w:val="0"/>
              <w:autoSpaceDN w:val="0"/>
              <w:adjustRightInd w:val="0"/>
              <w:spacing w:line="348" w:lineRule="auto"/>
              <w:jc w:val="center"/>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授权代表身份证复印件</w:t>
            </w:r>
          </w:p>
          <w:p>
            <w:pPr>
              <w:autoSpaceDE w:val="0"/>
              <w:autoSpaceDN w:val="0"/>
              <w:adjustRightInd w:val="0"/>
              <w:spacing w:line="348" w:lineRule="auto"/>
              <w:jc w:val="center"/>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lang w:val="zh-CN"/>
              </w:rPr>
              <w:t>（正反面）</w:t>
            </w:r>
          </w:p>
        </w:tc>
      </w:tr>
    </w:tbl>
    <w:p>
      <w:pPr>
        <w:adjustRightInd w:val="0"/>
        <w:snapToGrid w:val="0"/>
        <w:spacing w:line="360" w:lineRule="auto"/>
        <w:rPr>
          <w:rFonts w:ascii="仿宋_GB2312" w:hAnsi="仿宋_GB2312" w:eastAsia="仿宋_GB2312" w:cs="仿宋_GB2312"/>
          <w:color w:val="auto"/>
          <w:sz w:val="24"/>
          <w:highlight w:val="none"/>
        </w:rPr>
      </w:pPr>
    </w:p>
    <w:p>
      <w:pPr>
        <w:adjustRightInd w:val="0"/>
        <w:snapToGrid w:val="0"/>
        <w:spacing w:line="360" w:lineRule="auto"/>
        <w:rPr>
          <w:rFonts w:ascii="仿宋_GB2312" w:hAnsi="仿宋_GB2312" w:eastAsia="仿宋_GB2312" w:cs="仿宋_GB2312"/>
          <w:color w:val="auto"/>
          <w:sz w:val="24"/>
          <w:highlight w:val="none"/>
        </w:rPr>
      </w:pPr>
    </w:p>
    <w:p>
      <w:pPr>
        <w:adjustRightInd w:val="0"/>
        <w:snapToGrid w:val="0"/>
        <w:spacing w:line="360" w:lineRule="auto"/>
        <w:ind w:firstLine="1440" w:firstLineChars="6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                             法定代表人</w:t>
      </w:r>
    </w:p>
    <w:p>
      <w:pPr>
        <w:adjustRightInd w:val="0"/>
        <w:snapToGrid w:val="0"/>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（公章）：                           （签字）：</w:t>
      </w:r>
    </w:p>
    <w:p>
      <w:pPr>
        <w:spacing w:after="12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br w:type="page"/>
      </w:r>
    </w:p>
    <w:p>
      <w:pPr>
        <w:autoSpaceDE w:val="0"/>
        <w:autoSpaceDN w:val="0"/>
        <w:adjustRightInd w:val="0"/>
        <w:jc w:val="center"/>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2、法定代表人身份证明</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供应商名称：</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单位性质： </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地    址： </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成立时间： 年月日</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经营期限：</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姓名：性别：年龄： 职务：系（投标人名称）的法定代表人。</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特此证明。</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ind w:left="5399" w:leftChars="2571"/>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投标人：           （公章）</w:t>
      </w:r>
    </w:p>
    <w:p>
      <w:pPr>
        <w:autoSpaceDE w:val="0"/>
        <w:autoSpaceDN w:val="0"/>
        <w:adjustRightInd w:val="0"/>
        <w:spacing w:line="360" w:lineRule="auto"/>
        <w:ind w:left="5399" w:leftChars="2571"/>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ind w:left="6659" w:leftChars="3171"/>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年  月  日</w:t>
      </w:r>
    </w:p>
    <w:p>
      <w:pPr>
        <w:spacing w:after="12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br w:type="page"/>
      </w:r>
    </w:p>
    <w:p>
      <w:pPr>
        <w:autoSpaceDE w:val="0"/>
        <w:autoSpaceDN w:val="0"/>
        <w:adjustRightInd w:val="0"/>
        <w:jc w:val="center"/>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3、授权代表本单位证明</w:t>
      </w:r>
    </w:p>
    <w:p>
      <w:pPr>
        <w:spacing w:after="120"/>
        <w:rPr>
          <w:rFonts w:ascii="仿宋_GB2312" w:hAnsi="仿宋_GB2312" w:eastAsia="仿宋_GB2312" w:cs="仿宋_GB2312"/>
          <w:color w:val="auto"/>
          <w:highlight w:val="none"/>
        </w:rPr>
      </w:pPr>
    </w:p>
    <w:p>
      <w:pPr>
        <w:autoSpaceDE w:val="0"/>
        <w:autoSpaceDN w:val="0"/>
        <w:adjustRightInd w:val="0"/>
        <w:spacing w:line="348" w:lineRule="auto"/>
        <w:jc w:val="center"/>
        <w:rPr>
          <w:rFonts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w:t>
      </w:r>
      <w:r>
        <w:rPr>
          <w:rFonts w:hint="eastAsia" w:ascii="仿宋_GB2312" w:hAnsi="仿宋_GB2312" w:eastAsia="仿宋_GB2312" w:cs="仿宋_GB2312"/>
          <w:color w:val="auto"/>
          <w:sz w:val="28"/>
          <w:szCs w:val="28"/>
          <w:highlight w:val="none"/>
        </w:rPr>
        <w:t>养老保险缴纳证明或劳动合同复印件</w:t>
      </w:r>
      <w:r>
        <w:rPr>
          <w:rFonts w:hint="eastAsia" w:ascii="仿宋_GB2312" w:hAnsi="仿宋_GB2312" w:eastAsia="仿宋_GB2312" w:cs="仿宋_GB2312"/>
          <w:color w:val="auto"/>
          <w:sz w:val="28"/>
          <w:szCs w:val="28"/>
          <w:highlight w:val="none"/>
          <w:lang w:val="zh-CN"/>
        </w:rPr>
        <w:t>）</w:t>
      </w: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br w:type="page"/>
      </w:r>
    </w:p>
    <w:p>
      <w:pPr>
        <w:pStyle w:val="195"/>
        <w:ind w:firstLine="2570" w:firstLineChars="800"/>
        <w:rPr>
          <w:b/>
          <w:color w:val="auto"/>
          <w:sz w:val="32"/>
          <w:szCs w:val="32"/>
          <w:highlight w:val="none"/>
        </w:rPr>
      </w:pPr>
      <w:r>
        <w:rPr>
          <w:rFonts w:hint="eastAsia"/>
          <w:b/>
          <w:color w:val="auto"/>
          <w:sz w:val="32"/>
          <w:szCs w:val="32"/>
          <w:highlight w:val="none"/>
        </w:rPr>
        <w:t>第二部分  资格证明文件</w:t>
      </w:r>
    </w:p>
    <w:p>
      <w:pPr>
        <w:spacing w:after="120"/>
        <w:rPr>
          <w:rFonts w:ascii="仿宋_GB2312" w:hAnsi="仿宋_GB2312" w:eastAsia="仿宋_GB2312" w:cs="仿宋_GB2312"/>
          <w:color w:val="auto"/>
          <w:highlight w:val="none"/>
        </w:rPr>
      </w:pPr>
    </w:p>
    <w:p>
      <w:pPr>
        <w:numPr>
          <w:ilvl w:val="1"/>
          <w:numId w:val="14"/>
        </w:numPr>
        <w:tabs>
          <w:tab w:val="left" w:pos="993"/>
          <w:tab w:val="left" w:pos="1030"/>
          <w:tab w:val="left" w:pos="8364"/>
        </w:tabs>
        <w:snapToGrid w:val="0"/>
        <w:spacing w:afterLines="50" w:line="360" w:lineRule="auto"/>
        <w:ind w:right="-57" w:rightChars="-27"/>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供应商的企业法人营业执照副本复印件（格式要求见附件6-1）；</w:t>
      </w:r>
    </w:p>
    <w:p>
      <w:pPr>
        <w:numPr>
          <w:ilvl w:val="1"/>
          <w:numId w:val="14"/>
        </w:numPr>
        <w:tabs>
          <w:tab w:val="left" w:pos="993"/>
          <w:tab w:val="left" w:pos="1030"/>
          <w:tab w:val="left" w:pos="8364"/>
        </w:tabs>
        <w:snapToGrid w:val="0"/>
        <w:spacing w:afterLines="50" w:line="360" w:lineRule="auto"/>
        <w:ind w:left="833" w:right="-57" w:rightChars="-27" w:hanging="413"/>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供应商提供2021年度的审计报告或单位财务报表或本年度基本开户银行出具的资信证明（格式要求见附件6-2）；</w:t>
      </w:r>
    </w:p>
    <w:p>
      <w:pPr>
        <w:numPr>
          <w:ilvl w:val="1"/>
          <w:numId w:val="14"/>
        </w:numPr>
        <w:tabs>
          <w:tab w:val="left" w:pos="993"/>
          <w:tab w:val="left" w:pos="1030"/>
          <w:tab w:val="left" w:pos="8364"/>
        </w:tabs>
        <w:snapToGrid w:val="0"/>
        <w:spacing w:afterLines="50" w:line="360" w:lineRule="auto"/>
        <w:ind w:left="833" w:right="-57" w:rightChars="-27" w:hanging="413"/>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依法缴纳税收和社会保障资金的证明材料复印件（格式见附件6-3、6-4）</w:t>
      </w:r>
    </w:p>
    <w:p>
      <w:pPr>
        <w:numPr>
          <w:ilvl w:val="1"/>
          <w:numId w:val="14"/>
        </w:numPr>
        <w:tabs>
          <w:tab w:val="left" w:pos="993"/>
          <w:tab w:val="left" w:pos="1030"/>
          <w:tab w:val="left" w:pos="8364"/>
        </w:tabs>
        <w:snapToGrid w:val="0"/>
        <w:spacing w:afterLines="50" w:line="360" w:lineRule="auto"/>
        <w:ind w:left="993" w:right="-57" w:rightChars="-27" w:hanging="573"/>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具备履行合同所必需的设备和专业技术能力的承诺原件（格式见附件6-5）；</w:t>
      </w:r>
    </w:p>
    <w:p>
      <w:pPr>
        <w:numPr>
          <w:ilvl w:val="1"/>
          <w:numId w:val="14"/>
        </w:numPr>
        <w:tabs>
          <w:tab w:val="left" w:pos="420"/>
          <w:tab w:val="left" w:pos="8364"/>
        </w:tabs>
        <w:snapToGrid w:val="0"/>
        <w:spacing w:afterLines="50" w:line="360" w:lineRule="auto"/>
        <w:ind w:left="853" w:right="-57" w:rightChars="-27" w:hanging="433"/>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供应商参加政府采购活动前3年内在经营活动中没有重大违法记录的书面声明原件（格式见附件6-6）</w:t>
      </w:r>
    </w:p>
    <w:p>
      <w:pPr>
        <w:numPr>
          <w:ilvl w:val="1"/>
          <w:numId w:val="14"/>
        </w:numPr>
        <w:tabs>
          <w:tab w:val="left" w:pos="200"/>
          <w:tab w:val="left" w:pos="8364"/>
        </w:tabs>
        <w:snapToGrid w:val="0"/>
        <w:spacing w:afterLines="50" w:line="360" w:lineRule="auto"/>
        <w:ind w:left="853" w:right="-57" w:rightChars="-27" w:hanging="433"/>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供应商控股股东名称、控股公司的名称和存在管理、被管理关系的单位名称说明（格式见附件6-7)</w:t>
      </w:r>
    </w:p>
    <w:p>
      <w:pPr>
        <w:numPr>
          <w:ilvl w:val="1"/>
          <w:numId w:val="14"/>
        </w:numPr>
        <w:tabs>
          <w:tab w:val="left" w:pos="220"/>
          <w:tab w:val="left" w:pos="420"/>
          <w:tab w:val="left" w:pos="8364"/>
        </w:tabs>
        <w:snapToGrid w:val="0"/>
        <w:spacing w:afterLines="50" w:line="360" w:lineRule="auto"/>
        <w:ind w:left="853" w:right="-57" w:rightChars="-27" w:hanging="433"/>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供应商是否属于为本项目提供整体设计、规范编制或者项目管理、监理、检测等服务的供应商声明原件（格式见附件6-8)</w:t>
      </w:r>
    </w:p>
    <w:p>
      <w:pPr>
        <w:spacing w:after="120"/>
        <w:ind w:left="780"/>
        <w:rPr>
          <w:rFonts w:ascii="仿宋_GB2312" w:hAnsi="仿宋_GB2312" w:eastAsia="仿宋_GB2312" w:cs="仿宋_GB2312"/>
          <w:color w:val="auto"/>
          <w:highlight w:val="none"/>
        </w:rPr>
      </w:pPr>
    </w:p>
    <w:p>
      <w:pPr>
        <w:adjustRightInd w:val="0"/>
        <w:spacing w:line="360" w:lineRule="auto"/>
        <w:ind w:firstLine="480" w:firstLineChars="200"/>
        <w:jc w:val="left"/>
        <w:textAlignment w:val="baseline"/>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以上提供的扫描件、复印件必须加盖供应商公章。</w:t>
      </w:r>
    </w:p>
    <w:p>
      <w:pPr>
        <w:spacing w:after="12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br w:type="page"/>
      </w:r>
    </w:p>
    <w:p>
      <w:pPr>
        <w:jc w:val="left"/>
        <w:outlineLvl w:val="2"/>
        <w:rPr>
          <w:rFonts w:ascii="仿宋_GB2312" w:hAnsi="仿宋_GB2312" w:eastAsia="仿宋_GB2312" w:cs="仿宋_GB2312"/>
          <w:b/>
          <w:color w:val="auto"/>
          <w:sz w:val="24"/>
          <w:highlight w:val="none"/>
        </w:rPr>
      </w:pPr>
      <w:bookmarkStart w:id="447" w:name="_Toc7005120"/>
      <w:r>
        <w:rPr>
          <w:rFonts w:hint="eastAsia" w:ascii="仿宋_GB2312" w:hAnsi="仿宋_GB2312" w:eastAsia="仿宋_GB2312" w:cs="仿宋_GB2312"/>
          <w:b/>
          <w:color w:val="auto"/>
          <w:sz w:val="24"/>
          <w:highlight w:val="none"/>
        </w:rPr>
        <w:t>6-1  供应商的企业法人营业执照副本复印件（加盖公章）</w:t>
      </w:r>
      <w:bookmarkEnd w:id="447"/>
    </w:p>
    <w:p>
      <w:pPr>
        <w:jc w:val="left"/>
        <w:rPr>
          <w:rFonts w:ascii="仿宋_GB2312" w:hAnsi="仿宋_GB2312" w:eastAsia="仿宋_GB2312" w:cs="仿宋_GB2312"/>
          <w:color w:val="auto"/>
          <w:sz w:val="24"/>
          <w:highlight w:val="none"/>
        </w:rPr>
      </w:pPr>
    </w:p>
    <w:p>
      <w:pPr>
        <w:tabs>
          <w:tab w:val="left" w:pos="993"/>
          <w:tab w:val="left" w:pos="1030"/>
          <w:tab w:val="left" w:pos="8364"/>
        </w:tabs>
        <w:snapToGrid w:val="0"/>
        <w:spacing w:afterLines="50"/>
        <w:ind w:right="-57" w:rightChars="-27"/>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（注：根据项目实际情况，本项内容可能要求提供“事业单位法人证书”、执业许可证、自然人身份证明等证明材料）</w:t>
      </w:r>
    </w:p>
    <w:p>
      <w:pPr>
        <w:adjustRightInd w:val="0"/>
        <w:spacing w:line="360" w:lineRule="atLeast"/>
        <w:jc w:val="left"/>
        <w:textAlignment w:val="baseline"/>
        <w:rPr>
          <w:rFonts w:ascii="仿宋_GB2312" w:hAnsi="仿宋_GB2312" w:eastAsia="仿宋_GB2312" w:cs="仿宋_GB2312"/>
          <w:b/>
          <w:color w:val="auto"/>
          <w:sz w:val="28"/>
          <w:highlight w:val="none"/>
        </w:rPr>
      </w:pPr>
    </w:p>
    <w:p>
      <w:pPr>
        <w:adjustRightInd w:val="0"/>
        <w:spacing w:line="360" w:lineRule="atLeast"/>
        <w:jc w:val="left"/>
        <w:textAlignment w:val="baseline"/>
        <w:rPr>
          <w:rFonts w:ascii="仿宋_GB2312" w:hAnsi="仿宋_GB2312" w:eastAsia="仿宋_GB2312" w:cs="仿宋_GB2312"/>
          <w:b/>
          <w:color w:val="auto"/>
          <w:sz w:val="28"/>
          <w:highlight w:val="none"/>
        </w:rPr>
      </w:pPr>
    </w:p>
    <w:p>
      <w:pPr>
        <w:jc w:val="left"/>
        <w:outlineLvl w:val="2"/>
        <w:rPr>
          <w:rFonts w:hint="eastAsia" w:ascii="仿宋_GB2312" w:hAnsi="仿宋_GB2312" w:eastAsia="仿宋_GB2312" w:cs="仿宋_GB2312"/>
          <w:b/>
          <w:color w:val="auto"/>
          <w:sz w:val="24"/>
          <w:highlight w:val="none"/>
          <w:lang w:val="en-US" w:eastAsia="zh-CN"/>
        </w:rPr>
      </w:pPr>
      <w:bookmarkStart w:id="448" w:name="_Ref527015333"/>
      <w:bookmarkStart w:id="449" w:name="_Toc7005121"/>
      <w:r>
        <w:rPr>
          <w:rFonts w:hint="eastAsia" w:ascii="仿宋_GB2312" w:hAnsi="仿宋_GB2312" w:eastAsia="仿宋_GB2312" w:cs="仿宋_GB2312"/>
          <w:b/>
          <w:color w:val="auto"/>
          <w:sz w:val="24"/>
          <w:highlight w:val="none"/>
        </w:rPr>
        <w:t xml:space="preserve">6-2  </w:t>
      </w:r>
      <w:bookmarkEnd w:id="448"/>
      <w:bookmarkEnd w:id="449"/>
      <w:r>
        <w:rPr>
          <w:rFonts w:hint="eastAsia" w:ascii="仿宋_GB2312" w:hAnsi="仿宋_GB2312" w:eastAsia="仿宋_GB2312" w:cs="仿宋_GB2312"/>
          <w:b/>
          <w:color w:val="auto"/>
          <w:sz w:val="24"/>
          <w:highlight w:val="none"/>
        </w:rPr>
        <w:t>财务</w:t>
      </w:r>
      <w:r>
        <w:rPr>
          <w:rFonts w:hint="eastAsia" w:ascii="仿宋_GB2312" w:hAnsi="仿宋_GB2312" w:eastAsia="仿宋_GB2312" w:cs="仿宋_GB2312"/>
          <w:b/>
          <w:color w:val="auto"/>
          <w:sz w:val="24"/>
          <w:highlight w:val="none"/>
          <w:lang w:val="en-US" w:eastAsia="zh-CN"/>
        </w:rPr>
        <w:t>状况</w:t>
      </w:r>
    </w:p>
    <w:p>
      <w:pPr>
        <w:spacing w:line="360" w:lineRule="auto"/>
        <w:rPr>
          <w:rFonts w:ascii="仿宋_GB2312" w:hAnsi="仿宋_GB2312" w:eastAsia="仿宋_GB2312" w:cs="仿宋_GB2312"/>
          <w:color w:val="auto"/>
          <w:szCs w:val="21"/>
          <w:highlight w:val="none"/>
        </w:rPr>
      </w:pPr>
    </w:p>
    <w:p>
      <w:pPr>
        <w:tabs>
          <w:tab w:val="left" w:pos="993"/>
          <w:tab w:val="left" w:pos="1030"/>
          <w:tab w:val="left" w:pos="8364"/>
        </w:tabs>
        <w:snapToGrid w:val="0"/>
        <w:spacing w:afterLines="50"/>
        <w:ind w:right="-57" w:rightChars="-27"/>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供应商提供2021年度的审计报告或单位财务报表或本年度基本开户银行出具的资信证明</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复印件或扫描件、所有复印件或扫描件需加盖单位公章。</w:t>
      </w:r>
    </w:p>
    <w:p>
      <w:pPr>
        <w:spacing w:line="360" w:lineRule="auto"/>
        <w:rPr>
          <w:rFonts w:ascii="仿宋_GB2312" w:hAnsi="仿宋_GB2312" w:eastAsia="仿宋_GB2312" w:cs="仿宋_GB2312"/>
          <w:color w:val="auto"/>
          <w:szCs w:val="21"/>
          <w:highlight w:val="none"/>
        </w:rPr>
      </w:pPr>
    </w:p>
    <w:p>
      <w:pPr>
        <w:spacing w:line="360" w:lineRule="auto"/>
        <w:rPr>
          <w:rFonts w:ascii="仿宋_GB2312" w:hAnsi="仿宋_GB2312" w:eastAsia="仿宋_GB2312" w:cs="仿宋_GB2312"/>
          <w:color w:val="auto"/>
          <w:szCs w:val="21"/>
          <w:highlight w:val="none"/>
        </w:rPr>
      </w:pPr>
    </w:p>
    <w:p>
      <w:pPr>
        <w:widowControl/>
        <w:jc w:val="left"/>
        <w:rPr>
          <w:rFonts w:ascii="仿宋_GB2312" w:hAnsi="仿宋_GB2312" w:eastAsia="仿宋_GB2312" w:cs="仿宋_GB2312"/>
          <w:b/>
          <w:color w:val="auto"/>
          <w:spacing w:val="20"/>
          <w:sz w:val="24"/>
          <w:highlight w:val="none"/>
        </w:rPr>
      </w:pPr>
    </w:p>
    <w:p>
      <w:pPr>
        <w:tabs>
          <w:tab w:val="left" w:pos="5580"/>
        </w:tabs>
        <w:spacing w:before="120" w:line="360" w:lineRule="auto"/>
        <w:ind w:firstLine="480" w:firstLineChars="200"/>
        <w:rPr>
          <w:rFonts w:ascii="仿宋_GB2312" w:hAnsi="仿宋_GB2312" w:eastAsia="仿宋_GB2312" w:cs="仿宋_GB2312"/>
          <w:color w:val="auto"/>
          <w:sz w:val="24"/>
          <w:highlight w:val="none"/>
        </w:rPr>
      </w:pPr>
    </w:p>
    <w:p>
      <w:pPr>
        <w:jc w:val="left"/>
        <w:outlineLvl w:val="2"/>
        <w:rPr>
          <w:rFonts w:ascii="仿宋_GB2312" w:hAnsi="仿宋_GB2312" w:eastAsia="仿宋_GB2312" w:cs="仿宋_GB2312"/>
          <w:b/>
          <w:color w:val="auto"/>
          <w:sz w:val="24"/>
          <w:highlight w:val="none"/>
        </w:rPr>
      </w:pPr>
      <w:bookmarkStart w:id="450" w:name="_Toc7005123"/>
      <w:r>
        <w:rPr>
          <w:rFonts w:hint="eastAsia" w:ascii="仿宋_GB2312" w:hAnsi="仿宋_GB2312" w:eastAsia="仿宋_GB2312" w:cs="仿宋_GB2312"/>
          <w:b/>
          <w:color w:val="auto"/>
          <w:sz w:val="24"/>
          <w:highlight w:val="none"/>
        </w:rPr>
        <w:t>6-3 依法缴纳税收的证明</w:t>
      </w:r>
      <w:bookmarkEnd w:id="450"/>
    </w:p>
    <w:p>
      <w:pPr>
        <w:tabs>
          <w:tab w:val="left" w:pos="993"/>
          <w:tab w:val="left" w:pos="1030"/>
          <w:tab w:val="left" w:pos="8364"/>
        </w:tabs>
        <w:snapToGrid w:val="0"/>
        <w:spacing w:afterLines="50"/>
        <w:ind w:left="420" w:right="-57" w:rightChars="-27" w:firstLine="480" w:firstLineChars="200"/>
        <w:jc w:val="left"/>
        <w:rPr>
          <w:rFonts w:ascii="仿宋_GB2312" w:hAnsi="仿宋_GB2312" w:eastAsia="仿宋_GB2312" w:cs="仿宋_GB2312"/>
          <w:color w:val="auto"/>
          <w:sz w:val="24"/>
          <w:highlight w:val="none"/>
        </w:rPr>
      </w:pPr>
    </w:p>
    <w:p>
      <w:pPr>
        <w:tabs>
          <w:tab w:val="left" w:pos="993"/>
          <w:tab w:val="left" w:pos="1030"/>
          <w:tab w:val="left" w:pos="8364"/>
        </w:tabs>
        <w:snapToGrid w:val="0"/>
        <w:spacing w:afterLines="50"/>
        <w:ind w:right="-57" w:rightChars="-27"/>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说明：</w:t>
      </w:r>
    </w:p>
    <w:p>
      <w:pPr>
        <w:tabs>
          <w:tab w:val="left" w:pos="993"/>
          <w:tab w:val="left" w:pos="1030"/>
          <w:tab w:val="left" w:pos="8364"/>
        </w:tabs>
        <w:snapToGrid w:val="0"/>
        <w:spacing w:afterLines="50"/>
        <w:ind w:left="420" w:right="-57" w:rightChars="-27" w:firstLine="480" w:firstLineChars="20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1、供应商应提供近</w:t>
      </w:r>
      <w:r>
        <w:rPr>
          <w:rFonts w:hint="eastAsia" w:ascii="仿宋_GB2312" w:hAnsi="仿宋_GB2312" w:eastAsia="仿宋_GB2312" w:cs="仿宋_GB2312"/>
          <w:color w:val="auto"/>
          <w:sz w:val="24"/>
          <w:highlight w:val="none"/>
          <w:lang w:val="en-US" w:eastAsia="zh-CN"/>
        </w:rPr>
        <w:t>半年</w:t>
      </w:r>
      <w:r>
        <w:rPr>
          <w:rFonts w:hint="eastAsia" w:ascii="仿宋_GB2312" w:hAnsi="仿宋_GB2312" w:eastAsia="仿宋_GB2312" w:cs="仿宋_GB2312"/>
          <w:color w:val="auto"/>
          <w:sz w:val="24"/>
          <w:highlight w:val="none"/>
        </w:rPr>
        <w:t>缴纳增值税和企业所得税的凭证（银行出具的缴税凭证或税务机关出具的证明的复印件，并加盖本单位公章）。</w:t>
      </w:r>
    </w:p>
    <w:p>
      <w:pPr>
        <w:tabs>
          <w:tab w:val="left" w:pos="993"/>
          <w:tab w:val="left" w:pos="1030"/>
          <w:tab w:val="left" w:pos="8364"/>
        </w:tabs>
        <w:snapToGrid w:val="0"/>
        <w:spacing w:afterLines="50"/>
        <w:ind w:right="-57" w:rightChars="-27" w:firstLine="720" w:firstLineChars="30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2、依法免税的供应商，应提供相应文件证明其依法免税。</w:t>
      </w:r>
    </w:p>
    <w:p>
      <w:pPr>
        <w:tabs>
          <w:tab w:val="left" w:pos="993"/>
          <w:tab w:val="left" w:pos="1030"/>
          <w:tab w:val="left" w:pos="8364"/>
        </w:tabs>
        <w:snapToGrid w:val="0"/>
        <w:spacing w:afterLines="50"/>
        <w:ind w:left="420" w:right="-57" w:rightChars="-27" w:firstLine="480" w:firstLineChars="200"/>
        <w:jc w:val="left"/>
        <w:rPr>
          <w:rFonts w:ascii="仿宋_GB2312" w:hAnsi="仿宋_GB2312" w:eastAsia="仿宋_GB2312" w:cs="仿宋_GB2312"/>
          <w:color w:val="auto"/>
          <w:sz w:val="24"/>
          <w:highlight w:val="none"/>
        </w:rPr>
      </w:pPr>
    </w:p>
    <w:p>
      <w:pPr>
        <w:spacing w:after="120"/>
        <w:rPr>
          <w:rFonts w:ascii="仿宋_GB2312" w:hAnsi="仿宋_GB2312" w:eastAsia="仿宋_GB2312" w:cs="仿宋_GB2312"/>
          <w:color w:val="auto"/>
          <w:highlight w:val="none"/>
        </w:rPr>
      </w:pPr>
    </w:p>
    <w:p>
      <w:pPr>
        <w:tabs>
          <w:tab w:val="left" w:pos="993"/>
          <w:tab w:val="left" w:pos="1030"/>
          <w:tab w:val="left" w:pos="8364"/>
        </w:tabs>
        <w:snapToGrid w:val="0"/>
        <w:spacing w:afterLines="50"/>
        <w:ind w:left="420" w:right="-57" w:rightChars="-27" w:firstLine="480" w:firstLineChars="200"/>
        <w:jc w:val="left"/>
        <w:rPr>
          <w:rFonts w:ascii="仿宋_GB2312" w:hAnsi="仿宋_GB2312" w:eastAsia="仿宋_GB2312" w:cs="仿宋_GB2312"/>
          <w:color w:val="auto"/>
          <w:sz w:val="24"/>
          <w:highlight w:val="none"/>
        </w:rPr>
      </w:pPr>
    </w:p>
    <w:p>
      <w:pPr>
        <w:jc w:val="left"/>
        <w:outlineLvl w:val="2"/>
        <w:rPr>
          <w:rFonts w:ascii="仿宋_GB2312" w:hAnsi="仿宋_GB2312" w:eastAsia="仿宋_GB2312" w:cs="仿宋_GB2312"/>
          <w:b/>
          <w:color w:val="auto"/>
          <w:sz w:val="24"/>
          <w:highlight w:val="none"/>
        </w:rPr>
      </w:pPr>
      <w:bookmarkStart w:id="451" w:name="_Toc7005124"/>
      <w:r>
        <w:rPr>
          <w:rFonts w:hint="eastAsia" w:ascii="仿宋_GB2312" w:hAnsi="仿宋_GB2312" w:eastAsia="仿宋_GB2312" w:cs="仿宋_GB2312"/>
          <w:b/>
          <w:color w:val="auto"/>
          <w:sz w:val="24"/>
          <w:highlight w:val="none"/>
        </w:rPr>
        <w:t>6-4社会保障资金缴纳记录</w:t>
      </w:r>
      <w:bookmarkEnd w:id="451"/>
    </w:p>
    <w:p>
      <w:pPr>
        <w:tabs>
          <w:tab w:val="left" w:pos="993"/>
          <w:tab w:val="left" w:pos="1030"/>
          <w:tab w:val="left" w:pos="8364"/>
        </w:tabs>
        <w:snapToGrid w:val="0"/>
        <w:spacing w:afterLines="50"/>
        <w:ind w:left="420" w:leftChars="200" w:right="-57" w:rightChars="-27"/>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cr/>
      </w:r>
    </w:p>
    <w:p>
      <w:pPr>
        <w:tabs>
          <w:tab w:val="left" w:pos="993"/>
          <w:tab w:val="left" w:pos="1030"/>
          <w:tab w:val="left" w:pos="8364"/>
        </w:tabs>
        <w:snapToGrid w:val="0"/>
        <w:spacing w:afterLines="50"/>
        <w:ind w:left="420" w:leftChars="200" w:right="-57" w:rightChars="-27"/>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说明：</w:t>
      </w:r>
    </w:p>
    <w:p>
      <w:pPr>
        <w:numPr>
          <w:ilvl w:val="0"/>
          <w:numId w:val="15"/>
        </w:numPr>
        <w:tabs>
          <w:tab w:val="left" w:pos="993"/>
          <w:tab w:val="left" w:pos="1030"/>
          <w:tab w:val="left" w:pos="8364"/>
        </w:tabs>
        <w:snapToGrid w:val="0"/>
        <w:spacing w:afterLines="50"/>
        <w:ind w:left="420" w:leftChars="200" w:right="-57" w:rightChars="-27"/>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供应商应提供近</w:t>
      </w:r>
      <w:r>
        <w:rPr>
          <w:rFonts w:hint="eastAsia" w:ascii="仿宋_GB2312" w:hAnsi="仿宋_GB2312" w:eastAsia="仿宋_GB2312" w:cs="仿宋_GB2312"/>
          <w:color w:val="auto"/>
          <w:sz w:val="24"/>
          <w:highlight w:val="none"/>
          <w:lang w:val="en-US" w:eastAsia="zh-CN"/>
        </w:rPr>
        <w:t>半年</w:t>
      </w:r>
      <w:r>
        <w:rPr>
          <w:rFonts w:hint="eastAsia" w:ascii="仿宋_GB2312" w:hAnsi="仿宋_GB2312" w:eastAsia="仿宋_GB2312" w:cs="仿宋_GB2312"/>
          <w:color w:val="auto"/>
          <w:sz w:val="24"/>
          <w:highlight w:val="none"/>
        </w:rPr>
        <w:t>社会缴纳社会保险的凭据（专用收据或社会保险缴纳清单），并加盖本单位公章。</w:t>
      </w:r>
    </w:p>
    <w:p>
      <w:pPr>
        <w:numPr>
          <w:ilvl w:val="0"/>
          <w:numId w:val="15"/>
        </w:numPr>
        <w:tabs>
          <w:tab w:val="left" w:pos="993"/>
          <w:tab w:val="left" w:pos="1030"/>
          <w:tab w:val="left" w:pos="8364"/>
        </w:tabs>
        <w:snapToGrid w:val="0"/>
        <w:spacing w:afterLines="50"/>
        <w:ind w:left="420" w:leftChars="200" w:right="-57" w:rightChars="-27"/>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不需要缴纳社会保障资金的供应商，应提供相应文件证明其不需要缴纳社会保障资金。</w:t>
      </w:r>
    </w:p>
    <w:p>
      <w:pPr>
        <w:tabs>
          <w:tab w:val="left" w:pos="5580"/>
        </w:tabs>
        <w:spacing w:before="120" w:line="360" w:lineRule="auto"/>
        <w:ind w:firstLine="480" w:firstLineChars="200"/>
        <w:rPr>
          <w:rFonts w:ascii="仿宋_GB2312" w:hAnsi="仿宋_GB2312" w:eastAsia="仿宋_GB2312" w:cs="仿宋_GB2312"/>
          <w:color w:val="auto"/>
          <w:sz w:val="24"/>
          <w:highlight w:val="none"/>
        </w:rPr>
      </w:pPr>
    </w:p>
    <w:p>
      <w:pPr>
        <w:tabs>
          <w:tab w:val="left" w:pos="5580"/>
        </w:tabs>
        <w:spacing w:before="120" w:line="360" w:lineRule="auto"/>
        <w:ind w:firstLine="480" w:firstLineChars="200"/>
        <w:rPr>
          <w:rFonts w:ascii="仿宋_GB2312" w:hAnsi="仿宋_GB2312" w:eastAsia="仿宋_GB2312" w:cs="仿宋_GB2312"/>
          <w:color w:val="auto"/>
          <w:sz w:val="24"/>
          <w:highlight w:val="none"/>
        </w:rPr>
      </w:pPr>
    </w:p>
    <w:p>
      <w:pPr>
        <w:jc w:val="left"/>
        <w:outlineLvl w:val="2"/>
        <w:rPr>
          <w:rFonts w:hint="eastAsia" w:ascii="仿宋_GB2312" w:hAnsi="仿宋_GB2312" w:eastAsia="仿宋_GB2312" w:cs="仿宋_GB2312"/>
          <w:b/>
          <w:bCs/>
          <w:color w:val="auto"/>
          <w:sz w:val="24"/>
          <w:highlight w:val="none"/>
        </w:rPr>
      </w:pPr>
      <w:bookmarkStart w:id="452" w:name="_Toc7005125"/>
    </w:p>
    <w:p>
      <w:pPr>
        <w:jc w:val="left"/>
        <w:outlineLvl w:val="2"/>
        <w:rPr>
          <w:rFonts w:hint="eastAsia" w:ascii="仿宋_GB2312" w:hAnsi="仿宋_GB2312" w:eastAsia="仿宋_GB2312" w:cs="仿宋_GB2312"/>
          <w:b/>
          <w:bCs/>
          <w:color w:val="auto"/>
          <w:sz w:val="24"/>
          <w:highlight w:val="none"/>
        </w:rPr>
      </w:pPr>
    </w:p>
    <w:p>
      <w:pPr>
        <w:jc w:val="left"/>
        <w:outlineLvl w:val="2"/>
        <w:rPr>
          <w:rFonts w:hint="eastAsia" w:ascii="仿宋_GB2312" w:hAnsi="仿宋_GB2312" w:eastAsia="仿宋_GB2312" w:cs="仿宋_GB2312"/>
          <w:b/>
          <w:bCs/>
          <w:color w:val="auto"/>
          <w:sz w:val="24"/>
          <w:highlight w:val="none"/>
        </w:rPr>
      </w:pPr>
    </w:p>
    <w:p>
      <w:pPr>
        <w:jc w:val="left"/>
        <w:outlineLvl w:val="2"/>
        <w:rPr>
          <w:rFonts w:ascii="仿宋_GB2312" w:hAnsi="仿宋_GB2312" w:eastAsia="仿宋_GB2312" w:cs="仿宋_GB2312"/>
          <w:b/>
          <w:color w:val="auto"/>
          <w:sz w:val="24"/>
          <w:highlight w:val="none"/>
        </w:rPr>
      </w:pPr>
      <w:r>
        <w:rPr>
          <w:rFonts w:hint="eastAsia" w:ascii="仿宋_GB2312" w:hAnsi="仿宋_GB2312" w:eastAsia="仿宋_GB2312" w:cs="仿宋_GB2312"/>
          <w:b/>
          <w:bCs/>
          <w:color w:val="auto"/>
          <w:sz w:val="24"/>
          <w:highlight w:val="none"/>
        </w:rPr>
        <w:t xml:space="preserve">6-5 </w:t>
      </w:r>
      <w:r>
        <w:rPr>
          <w:rFonts w:hint="eastAsia" w:ascii="仿宋_GB2312" w:hAnsi="仿宋_GB2312" w:eastAsia="仿宋_GB2312" w:cs="仿宋_GB2312"/>
          <w:b/>
          <w:color w:val="auto"/>
          <w:sz w:val="24"/>
          <w:highlight w:val="none"/>
        </w:rPr>
        <w:t>具备履行合同所必需的设备和专业技术能力承诺书</w:t>
      </w:r>
      <w:bookmarkEnd w:id="452"/>
    </w:p>
    <w:p>
      <w:pPr>
        <w:ind w:firstLine="480"/>
        <w:rPr>
          <w:rFonts w:ascii="仿宋_GB2312" w:hAnsi="仿宋_GB2312" w:eastAsia="仿宋_GB2312" w:cs="仿宋_GB2312"/>
          <w:color w:val="auto"/>
          <w:kern w:val="0"/>
          <w:sz w:val="24"/>
          <w:highlight w:val="none"/>
        </w:rPr>
      </w:pPr>
    </w:p>
    <w:p>
      <w:pPr>
        <w:ind w:firstLine="480"/>
        <w:rPr>
          <w:rFonts w:ascii="仿宋_GB2312" w:hAnsi="仿宋_GB2312" w:eastAsia="仿宋_GB2312" w:cs="仿宋_GB2312"/>
          <w:color w:val="auto"/>
          <w:kern w:val="0"/>
          <w:sz w:val="24"/>
          <w:highlight w:val="none"/>
        </w:rPr>
      </w:pPr>
    </w:p>
    <w:p>
      <w:pPr>
        <w:rPr>
          <w:rFonts w:ascii="仿宋_GB2312" w:hAnsi="仿宋_GB2312" w:eastAsia="仿宋_GB2312" w:cs="仿宋_GB2312"/>
          <w:color w:val="auto"/>
          <w:kern w:val="0"/>
          <w:sz w:val="24"/>
          <w:highlight w:val="none"/>
          <w:u w:val="single"/>
        </w:rPr>
      </w:pPr>
      <w:r>
        <w:rPr>
          <w:rFonts w:hint="eastAsia" w:ascii="仿宋_GB2312" w:hAnsi="仿宋_GB2312" w:eastAsia="仿宋_GB2312" w:cs="仿宋_GB2312"/>
          <w:color w:val="auto"/>
          <w:kern w:val="0"/>
          <w:sz w:val="24"/>
          <w:highlight w:val="none"/>
          <w:lang w:eastAsia="zh-CN"/>
        </w:rPr>
        <w:t>陕西鸿信泰鼎建设项目管理有限公司</w:t>
      </w:r>
      <w:r>
        <w:rPr>
          <w:rFonts w:hint="eastAsia" w:ascii="仿宋_GB2312" w:hAnsi="仿宋_GB2312" w:eastAsia="仿宋_GB2312" w:cs="仿宋_GB2312"/>
          <w:color w:val="auto"/>
          <w:kern w:val="0"/>
          <w:sz w:val="24"/>
          <w:highlight w:val="none"/>
        </w:rPr>
        <w:t xml:space="preserve">：  </w:t>
      </w:r>
    </w:p>
    <w:p>
      <w:pPr>
        <w:ind w:firstLine="480"/>
        <w:rPr>
          <w:rFonts w:ascii="仿宋_GB2312" w:hAnsi="仿宋_GB2312" w:eastAsia="仿宋_GB2312" w:cs="仿宋_GB2312"/>
          <w:color w:val="auto"/>
          <w:kern w:val="0"/>
          <w:sz w:val="24"/>
          <w:highlight w:val="none"/>
        </w:rPr>
      </w:pPr>
    </w:p>
    <w:p>
      <w:pPr>
        <w:ind w:firstLine="48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我公司承诺</w:t>
      </w:r>
      <w:r>
        <w:rPr>
          <w:rFonts w:hint="eastAsia" w:ascii="仿宋_GB2312" w:hAnsi="仿宋_GB2312" w:eastAsia="仿宋_GB2312" w:cs="仿宋_GB2312"/>
          <w:color w:val="auto"/>
          <w:sz w:val="24"/>
          <w:highlight w:val="none"/>
        </w:rPr>
        <w:t>具备履行合同所必需的设备和专业技术能力</w:t>
      </w:r>
      <w:r>
        <w:rPr>
          <w:rFonts w:hint="eastAsia" w:ascii="仿宋_GB2312" w:hAnsi="仿宋_GB2312" w:eastAsia="仿宋_GB2312" w:cs="仿宋_GB2312"/>
          <w:color w:val="auto"/>
          <w:kern w:val="0"/>
          <w:sz w:val="24"/>
          <w:highlight w:val="none"/>
        </w:rPr>
        <w:t>。</w:t>
      </w:r>
    </w:p>
    <w:p>
      <w:pPr>
        <w:ind w:firstLine="480"/>
        <w:rPr>
          <w:rFonts w:ascii="仿宋_GB2312" w:hAnsi="仿宋_GB2312" w:eastAsia="仿宋_GB2312" w:cs="仿宋_GB2312"/>
          <w:b/>
          <w:color w:val="auto"/>
          <w:sz w:val="24"/>
          <w:highlight w:val="none"/>
        </w:rPr>
      </w:pPr>
    </w:p>
    <w:p>
      <w:pPr>
        <w:ind w:firstLine="480"/>
        <w:rPr>
          <w:rFonts w:ascii="仿宋_GB2312" w:hAnsi="仿宋_GB2312" w:eastAsia="仿宋_GB2312" w:cs="仿宋_GB2312"/>
          <w:b/>
          <w:color w:val="auto"/>
          <w:sz w:val="24"/>
          <w:highlight w:val="none"/>
        </w:rPr>
      </w:pPr>
    </w:p>
    <w:p>
      <w:pPr>
        <w:ind w:firstLine="480"/>
        <w:rPr>
          <w:rFonts w:ascii="仿宋_GB2312" w:hAnsi="仿宋_GB2312" w:eastAsia="仿宋_GB2312" w:cs="仿宋_GB2312"/>
          <w:b/>
          <w:color w:val="auto"/>
          <w:sz w:val="24"/>
          <w:highlight w:val="none"/>
        </w:rPr>
      </w:pP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 xml:space="preserve">供应商名称（公章）： </w:t>
      </w: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法定代表人或其授权代表（签字或加盖人名章）：</w:t>
      </w:r>
    </w:p>
    <w:p>
      <w:pPr>
        <w:spacing w:before="120" w:after="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期：年月日</w:t>
      </w:r>
    </w:p>
    <w:p>
      <w:pPr>
        <w:ind w:right="280"/>
        <w:rPr>
          <w:rFonts w:ascii="仿宋_GB2312" w:hAnsi="仿宋_GB2312" w:eastAsia="仿宋_GB2312" w:cs="仿宋_GB2312"/>
          <w:color w:val="auto"/>
          <w:sz w:val="24"/>
          <w:highlight w:val="none"/>
        </w:rPr>
      </w:pPr>
    </w:p>
    <w:p>
      <w:pPr>
        <w:tabs>
          <w:tab w:val="left" w:pos="5580"/>
        </w:tabs>
        <w:spacing w:before="120" w:line="360" w:lineRule="auto"/>
        <w:ind w:firstLine="480" w:firstLineChars="200"/>
        <w:rPr>
          <w:rFonts w:ascii="仿宋_GB2312" w:hAnsi="仿宋_GB2312" w:eastAsia="仿宋_GB2312" w:cs="仿宋_GB2312"/>
          <w:color w:val="auto"/>
          <w:sz w:val="24"/>
          <w:highlight w:val="none"/>
        </w:rPr>
      </w:pPr>
    </w:p>
    <w:p>
      <w:pPr>
        <w:widowControl/>
        <w:jc w:val="left"/>
        <w:rPr>
          <w:rFonts w:ascii="仿宋_GB2312" w:hAnsi="仿宋_GB2312" w:eastAsia="仿宋_GB2312" w:cs="仿宋_GB2312"/>
          <w:b/>
          <w:color w:val="auto"/>
          <w:sz w:val="24"/>
          <w:highlight w:val="none"/>
        </w:rPr>
      </w:pPr>
    </w:p>
    <w:p>
      <w:pPr>
        <w:numPr>
          <w:ilvl w:val="1"/>
          <w:numId w:val="16"/>
        </w:numPr>
        <w:jc w:val="left"/>
        <w:outlineLvl w:val="2"/>
        <w:rPr>
          <w:rFonts w:ascii="仿宋_GB2312" w:hAnsi="仿宋_GB2312" w:eastAsia="仿宋_GB2312" w:cs="仿宋_GB2312"/>
          <w:b/>
          <w:color w:val="auto"/>
          <w:sz w:val="24"/>
          <w:szCs w:val="22"/>
          <w:highlight w:val="none"/>
        </w:rPr>
      </w:pPr>
      <w:bookmarkStart w:id="453" w:name="_Toc7005126"/>
      <w:r>
        <w:rPr>
          <w:rFonts w:hint="eastAsia" w:ascii="仿宋_GB2312" w:hAnsi="仿宋_GB2312" w:eastAsia="仿宋_GB2312" w:cs="仿宋_GB2312"/>
          <w:b/>
          <w:color w:val="auto"/>
          <w:sz w:val="24"/>
          <w:szCs w:val="22"/>
          <w:highlight w:val="none"/>
        </w:rPr>
        <w:t>供应商参加政府采购活动前3年内在经营活动中没有重大违法记录的书面声明（格式）</w:t>
      </w:r>
      <w:bookmarkEnd w:id="453"/>
    </w:p>
    <w:p>
      <w:pPr>
        <w:jc w:val="center"/>
        <w:rPr>
          <w:rFonts w:ascii="仿宋_GB2312" w:hAnsi="仿宋_GB2312" w:eastAsia="仿宋_GB2312" w:cs="仿宋_GB2312"/>
          <w:color w:val="auto"/>
          <w:sz w:val="24"/>
          <w:highlight w:val="none"/>
        </w:rPr>
      </w:pPr>
    </w:p>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声明函</w:t>
      </w:r>
    </w:p>
    <w:p>
      <w:pPr>
        <w:jc w:val="center"/>
        <w:rPr>
          <w:rFonts w:ascii="仿宋_GB2312" w:hAnsi="仿宋_GB2312" w:eastAsia="仿宋_GB2312" w:cs="仿宋_GB2312"/>
          <w:color w:val="auto"/>
          <w:sz w:val="24"/>
          <w:highlight w:val="none"/>
        </w:rPr>
      </w:pPr>
    </w:p>
    <w:p>
      <w:pPr>
        <w:tabs>
          <w:tab w:val="left" w:pos="5580"/>
        </w:tabs>
        <w:spacing w:before="120"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eastAsia="zh-CN"/>
        </w:rPr>
        <w:t>陕西鸿信泰鼎建设项目管理有限公司</w:t>
      </w:r>
      <w:r>
        <w:rPr>
          <w:rFonts w:hint="eastAsia" w:ascii="仿宋_GB2312" w:hAnsi="仿宋_GB2312" w:eastAsia="仿宋_GB2312" w:cs="仿宋_GB2312"/>
          <w:color w:val="auto"/>
          <w:sz w:val="24"/>
          <w:highlight w:val="none"/>
        </w:rPr>
        <w:t>：</w:t>
      </w:r>
    </w:p>
    <w:p>
      <w:pPr>
        <w:tabs>
          <w:tab w:val="left" w:pos="5580"/>
        </w:tabs>
        <w:spacing w:before="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特此声明。</w:t>
      </w:r>
    </w:p>
    <w:p>
      <w:pPr>
        <w:tabs>
          <w:tab w:val="left" w:pos="5580"/>
        </w:tabs>
        <w:spacing w:before="120" w:line="360" w:lineRule="auto"/>
        <w:ind w:firstLine="480" w:firstLineChars="200"/>
        <w:rPr>
          <w:rFonts w:ascii="仿宋_GB2312" w:hAnsi="仿宋_GB2312" w:eastAsia="仿宋_GB2312" w:cs="仿宋_GB2312"/>
          <w:color w:val="auto"/>
          <w:sz w:val="24"/>
          <w:highlight w:val="none"/>
        </w:rPr>
      </w:pP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 xml:space="preserve">供应商名称（公章）： </w:t>
      </w: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法定代表人或其授权代表（签字或加盖人名章）：</w:t>
      </w:r>
    </w:p>
    <w:p>
      <w:pPr>
        <w:spacing w:before="120" w:after="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期：年月日</w:t>
      </w:r>
    </w:p>
    <w:p>
      <w:pPr>
        <w:spacing w:after="120"/>
        <w:rPr>
          <w:rFonts w:ascii="仿宋_GB2312" w:hAnsi="仿宋_GB2312" w:eastAsia="仿宋_GB2312" w:cs="仿宋_GB2312"/>
          <w:color w:val="auto"/>
          <w:highlight w:val="none"/>
        </w:rPr>
      </w:pPr>
    </w:p>
    <w:p>
      <w:pPr>
        <w:spacing w:after="120"/>
        <w:rPr>
          <w:rFonts w:ascii="仿宋_GB2312" w:hAnsi="仿宋_GB2312" w:eastAsia="仿宋_GB2312" w:cs="仿宋_GB2312"/>
          <w:color w:val="auto"/>
          <w:highlight w:val="none"/>
        </w:rPr>
      </w:pPr>
    </w:p>
    <w:p>
      <w:pPr>
        <w:spacing w:line="360" w:lineRule="auto"/>
        <w:rPr>
          <w:rFonts w:ascii="仿宋_GB2312" w:hAnsi="仿宋_GB2312" w:eastAsia="仿宋_GB2312" w:cs="仿宋_GB2312"/>
          <w:color w:val="auto"/>
          <w:sz w:val="24"/>
          <w:szCs w:val="21"/>
          <w:highlight w:val="none"/>
          <w:u w:val="single"/>
        </w:rPr>
      </w:pPr>
    </w:p>
    <w:p>
      <w:pPr>
        <w:numPr>
          <w:ilvl w:val="1"/>
          <w:numId w:val="17"/>
        </w:numPr>
        <w:jc w:val="left"/>
        <w:outlineLvl w:val="2"/>
        <w:rPr>
          <w:rFonts w:ascii="仿宋_GB2312" w:hAnsi="仿宋_GB2312" w:eastAsia="仿宋_GB2312" w:cs="仿宋_GB2312"/>
          <w:b/>
          <w:color w:val="auto"/>
          <w:sz w:val="24"/>
          <w:szCs w:val="22"/>
          <w:highlight w:val="none"/>
        </w:rPr>
      </w:pPr>
      <w:bookmarkStart w:id="454" w:name="_Toc7005127"/>
      <w:r>
        <w:rPr>
          <w:rFonts w:hint="eastAsia" w:ascii="仿宋_GB2312" w:hAnsi="仿宋_GB2312" w:eastAsia="仿宋_GB2312" w:cs="仿宋_GB2312"/>
          <w:b/>
          <w:color w:val="auto"/>
          <w:sz w:val="24"/>
          <w:szCs w:val="22"/>
          <w:highlight w:val="none"/>
        </w:rPr>
        <w:t xml:space="preserve"> 供应商控股股东名称、控股公司的名称和存在管理、被管理关系的单位名称说明</w:t>
      </w:r>
      <w:bookmarkEnd w:id="454"/>
    </w:p>
    <w:p>
      <w:pPr>
        <w:ind w:firstLine="420"/>
        <w:rPr>
          <w:rFonts w:ascii="仿宋_GB2312" w:hAnsi="仿宋_GB2312" w:eastAsia="仿宋_GB2312" w:cs="仿宋_GB2312"/>
          <w:color w:val="auto"/>
          <w:szCs w:val="21"/>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eastAsia="zh-CN"/>
        </w:rPr>
        <w:t>陕西鸿信泰鼎建设项目管理有限公司</w:t>
      </w:r>
      <w:r>
        <w:rPr>
          <w:rFonts w:hint="eastAsia" w:ascii="仿宋_GB2312" w:hAnsi="仿宋_GB2312" w:eastAsia="仿宋_GB2312" w:cs="仿宋_GB2312"/>
          <w:color w:val="auto"/>
          <w:sz w:val="24"/>
          <w:highlight w:val="none"/>
        </w:rPr>
        <w:t>：</w:t>
      </w:r>
    </w:p>
    <w:p>
      <w:pPr>
        <w:spacing w:after="120"/>
        <w:rPr>
          <w:rFonts w:ascii="仿宋_GB2312" w:hAnsi="仿宋_GB2312" w:eastAsia="仿宋_GB2312" w:cs="仿宋_GB2312"/>
          <w:color w:val="auto"/>
          <w:highlight w:val="none"/>
        </w:rPr>
      </w:pPr>
    </w:p>
    <w:p>
      <w:pPr>
        <w:ind w:firstLine="426"/>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与我方的法定代表人（单位负责人）为同一人的企业如下：</w:t>
      </w:r>
    </w:p>
    <w:p>
      <w:pPr>
        <w:ind w:firstLine="426"/>
        <w:rPr>
          <w:rFonts w:ascii="仿宋_GB2312" w:hAnsi="仿宋_GB2312" w:eastAsia="仿宋_GB2312" w:cs="仿宋_GB2312"/>
          <w:color w:val="auto"/>
          <w:sz w:val="24"/>
          <w:highlight w:val="none"/>
        </w:rPr>
      </w:pPr>
    </w:p>
    <w:p>
      <w:pPr>
        <w:ind w:firstLine="426"/>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我方的控股股东如下：</w:t>
      </w:r>
    </w:p>
    <w:p>
      <w:pPr>
        <w:ind w:firstLine="426"/>
        <w:rPr>
          <w:rFonts w:ascii="仿宋_GB2312" w:hAnsi="仿宋_GB2312" w:eastAsia="仿宋_GB2312" w:cs="仿宋_GB2312"/>
          <w:color w:val="auto"/>
          <w:sz w:val="24"/>
          <w:highlight w:val="none"/>
        </w:rPr>
      </w:pPr>
    </w:p>
    <w:p>
      <w:pPr>
        <w:ind w:firstLine="426"/>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我方直接控股的企业如下：</w:t>
      </w:r>
    </w:p>
    <w:p>
      <w:pPr>
        <w:ind w:firstLine="426"/>
        <w:rPr>
          <w:rFonts w:ascii="仿宋_GB2312" w:hAnsi="仿宋_GB2312" w:eastAsia="仿宋_GB2312" w:cs="仿宋_GB2312"/>
          <w:color w:val="auto"/>
          <w:sz w:val="24"/>
          <w:highlight w:val="none"/>
        </w:rPr>
      </w:pPr>
    </w:p>
    <w:p>
      <w:pPr>
        <w:ind w:firstLine="426"/>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与我方存在管理、被管理关系的单位名称如下：</w:t>
      </w:r>
    </w:p>
    <w:p>
      <w:pPr>
        <w:ind w:firstLine="426"/>
        <w:rPr>
          <w:rFonts w:ascii="仿宋_GB2312" w:hAnsi="仿宋_GB2312" w:eastAsia="仿宋_GB2312" w:cs="仿宋_GB2312"/>
          <w:color w:val="auto"/>
          <w:sz w:val="24"/>
          <w:highlight w:val="none"/>
        </w:rPr>
      </w:pPr>
    </w:p>
    <w:p>
      <w:pPr>
        <w:ind w:firstLine="426"/>
        <w:rPr>
          <w:rFonts w:ascii="仿宋_GB2312" w:hAnsi="仿宋_GB2312" w:eastAsia="仿宋_GB2312" w:cs="仿宋_GB2312"/>
          <w:color w:val="auto"/>
          <w:szCs w:val="21"/>
          <w:highlight w:val="none"/>
        </w:rPr>
      </w:pP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 xml:space="preserve">供应商名称（公章）： </w:t>
      </w: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法定代表人或其授权代表（签字或加盖人名章）：</w:t>
      </w:r>
    </w:p>
    <w:p>
      <w:pPr>
        <w:spacing w:before="120" w:after="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期：年月日</w:t>
      </w:r>
    </w:p>
    <w:p>
      <w:pPr>
        <w:ind w:firstLine="420" w:firstLineChars="200"/>
        <w:rPr>
          <w:rFonts w:ascii="仿宋_GB2312" w:hAnsi="仿宋_GB2312" w:eastAsia="仿宋_GB2312" w:cs="仿宋_GB2312"/>
          <w:color w:val="auto"/>
          <w:szCs w:val="21"/>
          <w:highlight w:val="none"/>
        </w:rPr>
      </w:pPr>
    </w:p>
    <w:p>
      <w:pPr>
        <w:ind w:firstLine="420" w:firstLineChars="200"/>
        <w:rPr>
          <w:rFonts w:ascii="仿宋_GB2312" w:hAnsi="仿宋_GB2312" w:eastAsia="仿宋_GB2312" w:cs="仿宋_GB2312"/>
          <w:color w:val="auto"/>
          <w:szCs w:val="21"/>
          <w:highlight w:val="none"/>
        </w:rPr>
      </w:pPr>
    </w:p>
    <w:p>
      <w:pPr>
        <w:ind w:firstLine="420" w:firstLineChars="200"/>
        <w:rPr>
          <w:rFonts w:ascii="仿宋_GB2312" w:hAnsi="仿宋_GB2312" w:eastAsia="仿宋_GB2312" w:cs="仿宋_GB2312"/>
          <w:color w:val="auto"/>
          <w:szCs w:val="21"/>
          <w:highlight w:val="none"/>
        </w:rPr>
      </w:pPr>
    </w:p>
    <w:p>
      <w:pPr>
        <w:numPr>
          <w:ilvl w:val="1"/>
          <w:numId w:val="17"/>
        </w:numPr>
        <w:jc w:val="left"/>
        <w:outlineLvl w:val="2"/>
        <w:rPr>
          <w:rFonts w:ascii="仿宋_GB2312" w:hAnsi="仿宋_GB2312" w:eastAsia="仿宋_GB2312" w:cs="仿宋_GB2312"/>
          <w:b/>
          <w:color w:val="auto"/>
          <w:sz w:val="24"/>
          <w:szCs w:val="22"/>
          <w:highlight w:val="none"/>
        </w:rPr>
      </w:pPr>
      <w:bookmarkStart w:id="455" w:name="_Toc7005128"/>
      <w:r>
        <w:rPr>
          <w:rFonts w:hint="eastAsia" w:ascii="仿宋_GB2312" w:hAnsi="仿宋_GB2312" w:eastAsia="仿宋_GB2312" w:cs="仿宋_GB2312"/>
          <w:b/>
          <w:color w:val="auto"/>
          <w:sz w:val="24"/>
          <w:szCs w:val="22"/>
          <w:highlight w:val="none"/>
        </w:rPr>
        <w:t xml:space="preserve"> 供应商是否属于为本项目提供整体设计、规范编制或者项目管理、监理、检测等服务的供应商声明</w:t>
      </w:r>
      <w:bookmarkEnd w:id="455"/>
    </w:p>
    <w:p>
      <w:pPr>
        <w:ind w:firstLine="420"/>
        <w:rPr>
          <w:rFonts w:ascii="仿宋_GB2312" w:hAnsi="仿宋_GB2312" w:eastAsia="仿宋_GB2312" w:cs="仿宋_GB2312"/>
          <w:color w:val="auto"/>
          <w:szCs w:val="21"/>
          <w:highlight w:val="none"/>
        </w:rPr>
      </w:pPr>
    </w:p>
    <w:p>
      <w:pPr>
        <w:spacing w:line="360" w:lineRule="auto"/>
        <w:rPr>
          <w:rFonts w:ascii="仿宋_GB2312" w:hAnsi="仿宋_GB2312" w:eastAsia="仿宋_GB2312" w:cs="仿宋_GB2312"/>
          <w:color w:val="auto"/>
          <w:szCs w:val="21"/>
          <w:highlight w:val="none"/>
        </w:rPr>
      </w:pPr>
    </w:p>
    <w:p>
      <w:pPr>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eastAsia="zh-CN"/>
        </w:rPr>
        <w:t>陕西鸿信泰鼎建设项目管理有限公司</w:t>
      </w:r>
      <w:r>
        <w:rPr>
          <w:rFonts w:hint="eastAsia" w:ascii="仿宋_GB2312" w:hAnsi="仿宋_GB2312" w:eastAsia="仿宋_GB2312" w:cs="仿宋_GB2312"/>
          <w:color w:val="auto"/>
          <w:sz w:val="24"/>
          <w:highlight w:val="none"/>
        </w:rPr>
        <w:t>：</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w:t>
      </w:r>
      <w:r>
        <w:rPr>
          <w:rFonts w:hint="eastAsia" w:ascii="仿宋_GB2312" w:hAnsi="仿宋_GB2312" w:eastAsia="仿宋_GB2312" w:cs="仿宋_GB2312"/>
          <w:i/>
          <w:iCs/>
          <w:color w:val="auto"/>
          <w:sz w:val="24"/>
          <w:highlight w:val="none"/>
          <w:u w:val="single"/>
        </w:rPr>
        <w:t xml:space="preserve"> 不属于 </w:t>
      </w:r>
      <w:r>
        <w:rPr>
          <w:rFonts w:hint="eastAsia" w:ascii="仿宋_GB2312" w:hAnsi="仿宋_GB2312" w:eastAsia="仿宋_GB2312" w:cs="仿宋_GB2312"/>
          <w:color w:val="auto"/>
          <w:sz w:val="24"/>
          <w:highlight w:val="none"/>
        </w:rPr>
        <w:t>为本项目提供整体设计、规范编制或者项目管理、监理、检测等服务的供应商。</w:t>
      </w:r>
    </w:p>
    <w:p>
      <w:pPr>
        <w:ind w:firstLine="426"/>
        <w:rPr>
          <w:rFonts w:ascii="仿宋_GB2312" w:hAnsi="仿宋_GB2312" w:eastAsia="仿宋_GB2312" w:cs="仿宋_GB2312"/>
          <w:color w:val="auto"/>
          <w:sz w:val="24"/>
          <w:highlight w:val="none"/>
        </w:rPr>
      </w:pPr>
    </w:p>
    <w:p>
      <w:pPr>
        <w:ind w:firstLine="426"/>
        <w:rPr>
          <w:rFonts w:ascii="仿宋_GB2312" w:hAnsi="仿宋_GB2312" w:eastAsia="仿宋_GB2312" w:cs="仿宋_GB2312"/>
          <w:color w:val="auto"/>
          <w:szCs w:val="21"/>
          <w:highlight w:val="none"/>
        </w:rPr>
      </w:pP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 xml:space="preserve">供应商名称（公章）： </w:t>
      </w: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法定代表人或其授权代表（签字或加盖人名章）：</w:t>
      </w:r>
    </w:p>
    <w:p>
      <w:pPr>
        <w:spacing w:before="120" w:after="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期：年月日</w:t>
      </w:r>
    </w:p>
    <w:p>
      <w:pPr>
        <w:widowControl/>
        <w:jc w:val="left"/>
        <w:rPr>
          <w:rFonts w:ascii="仿宋_GB2312" w:hAnsi="仿宋_GB2312" w:eastAsia="仿宋_GB2312" w:cs="仿宋_GB2312"/>
          <w:color w:val="auto"/>
          <w:sz w:val="24"/>
          <w:szCs w:val="21"/>
          <w:highlight w:val="none"/>
          <w:u w:val="single"/>
        </w:rPr>
      </w:pPr>
    </w:p>
    <w:p>
      <w:pPr>
        <w:rPr>
          <w:rFonts w:ascii="仿宋_GB2312" w:hAnsi="仿宋_GB2312" w:eastAsia="仿宋_GB2312" w:cs="仿宋_GB2312"/>
          <w:color w:val="auto"/>
          <w:sz w:val="24"/>
          <w:highlight w:val="none"/>
        </w:rPr>
      </w:pPr>
    </w:p>
    <w:p>
      <w:pPr>
        <w:spacing w:after="120"/>
        <w:rPr>
          <w:rFonts w:hint="eastAsia" w:ascii="仿宋_GB2312" w:hAnsi="仿宋_GB2312" w:eastAsia="仿宋_GB2312" w:cs="仿宋_GB2312"/>
          <w:b/>
          <w:color w:val="auto"/>
          <w:sz w:val="24"/>
          <w:highlight w:val="none"/>
        </w:rPr>
      </w:pPr>
      <w:bookmarkStart w:id="456" w:name="_Toc7005129"/>
    </w:p>
    <w:p>
      <w:pPr>
        <w:spacing w:after="120"/>
        <w:rPr>
          <w:rFonts w:hint="eastAsia" w:ascii="仿宋_GB2312" w:hAnsi="仿宋_GB2312" w:eastAsia="仿宋_GB2312" w:cs="仿宋_GB2312"/>
          <w:b/>
          <w:color w:val="auto"/>
          <w:sz w:val="24"/>
          <w:highlight w:val="none"/>
        </w:rPr>
      </w:pPr>
    </w:p>
    <w:p>
      <w:pPr>
        <w:spacing w:after="120"/>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6-9证明供应商符合特定资格条件的证明材料</w:t>
      </w:r>
      <w:bookmarkEnd w:id="456"/>
      <w:r>
        <w:rPr>
          <w:rFonts w:hint="eastAsia" w:ascii="仿宋_GB2312" w:hAnsi="仿宋_GB2312" w:eastAsia="仿宋_GB2312" w:cs="仿宋_GB2312"/>
          <w:b/>
          <w:color w:val="auto"/>
          <w:sz w:val="24"/>
          <w:highlight w:val="none"/>
        </w:rPr>
        <w:t>：</w:t>
      </w:r>
    </w:p>
    <w:p>
      <w:pPr>
        <w:pStyle w:val="3"/>
        <w:rPr>
          <w:color w:val="auto"/>
          <w:highlight w:val="none"/>
        </w:rPr>
      </w:pPr>
      <w:r>
        <w:rPr>
          <w:color w:val="auto"/>
          <w:highlight w:val="none"/>
        </w:rPr>
        <w:br w:type="page"/>
      </w:r>
    </w:p>
    <w:p>
      <w:pPr>
        <w:spacing w:after="120"/>
        <w:rPr>
          <w:rFonts w:ascii="仿宋_GB2312" w:hAnsi="仿宋_GB2312" w:eastAsia="仿宋_GB2312" w:cs="仿宋_GB2312"/>
          <w:color w:val="auto"/>
          <w:sz w:val="18"/>
          <w:highlight w:val="none"/>
        </w:rPr>
      </w:pPr>
    </w:p>
    <w:p>
      <w:pPr>
        <w:pStyle w:val="195"/>
        <w:ind w:firstLine="7590" w:firstLineChars="3150"/>
        <w:rPr>
          <w:b/>
          <w:color w:val="auto"/>
          <w:szCs w:val="30"/>
          <w:highlight w:val="none"/>
          <w:lang w:val="zh-CN"/>
        </w:rPr>
      </w:pPr>
      <w:r>
        <w:rPr>
          <w:rFonts w:hint="eastAsia"/>
          <w:b/>
          <w:color w:val="auto"/>
          <w:szCs w:val="30"/>
          <w:highlight w:val="none"/>
          <w:lang w:val="zh-CN"/>
        </w:rPr>
        <w:t>正本/副本</w:t>
      </w:r>
    </w:p>
    <w:p>
      <w:pPr>
        <w:autoSpaceDE w:val="0"/>
        <w:autoSpaceDN w:val="0"/>
        <w:adjustRightInd w:val="0"/>
        <w:snapToGrid w:val="0"/>
        <w:spacing w:line="360" w:lineRule="auto"/>
        <w:jc w:val="left"/>
        <w:rPr>
          <w:rFonts w:ascii="仿宋_GB2312" w:hAnsi="仿宋_GB2312" w:eastAsia="仿宋_GB2312" w:cs="仿宋_GB2312"/>
          <w:b/>
          <w:bCs/>
          <w:color w:val="auto"/>
          <w:sz w:val="24"/>
          <w:szCs w:val="32"/>
          <w:highlight w:val="none"/>
          <w:lang w:val="zh-CN"/>
        </w:rPr>
      </w:pPr>
      <w:r>
        <w:rPr>
          <w:rFonts w:hint="eastAsia" w:ascii="仿宋_GB2312" w:hAnsi="仿宋_GB2312" w:eastAsia="仿宋_GB2312" w:cs="仿宋_GB2312"/>
          <w:b/>
          <w:bCs/>
          <w:color w:val="auto"/>
          <w:sz w:val="24"/>
          <w:szCs w:val="32"/>
          <w:highlight w:val="none"/>
          <w:lang w:val="zh-CN"/>
        </w:rPr>
        <w:t>政府采购项目</w:t>
      </w:r>
    </w:p>
    <w:p>
      <w:pPr>
        <w:autoSpaceDE w:val="0"/>
        <w:autoSpaceDN w:val="0"/>
        <w:adjustRightInd w:val="0"/>
        <w:snapToGrid w:val="0"/>
        <w:spacing w:line="360" w:lineRule="auto"/>
        <w:jc w:val="left"/>
        <w:rPr>
          <w:rFonts w:ascii="仿宋_GB2312" w:hAnsi="仿宋_GB2312" w:eastAsia="仿宋_GB2312" w:cs="仿宋_GB2312"/>
          <w:b/>
          <w:bCs/>
          <w:color w:val="auto"/>
          <w:sz w:val="24"/>
          <w:szCs w:val="32"/>
          <w:highlight w:val="none"/>
          <w:lang w:val="zh-CN"/>
        </w:rPr>
      </w:pPr>
      <w:r>
        <w:rPr>
          <w:rFonts w:hint="eastAsia" w:ascii="仿宋_GB2312" w:hAnsi="仿宋_GB2312" w:eastAsia="仿宋_GB2312" w:cs="仿宋_GB2312"/>
          <w:b/>
          <w:bCs/>
          <w:color w:val="auto"/>
          <w:sz w:val="24"/>
          <w:szCs w:val="32"/>
          <w:highlight w:val="none"/>
          <w:lang w:val="zh-CN"/>
        </w:rPr>
        <w:t>采购项目编号：HXTDJC20220210</w:t>
      </w: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19"/>
          <w:szCs w:val="19"/>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19"/>
          <w:szCs w:val="19"/>
          <w:highlight w:val="none"/>
        </w:rPr>
      </w:pPr>
    </w:p>
    <w:p>
      <w:pPr>
        <w:tabs>
          <w:tab w:val="left" w:pos="5670"/>
        </w:tabs>
        <w:autoSpaceDE w:val="0"/>
        <w:autoSpaceDN w:val="0"/>
        <w:adjustRightInd w:val="0"/>
        <w:snapToGrid w:val="0"/>
        <w:spacing w:line="360" w:lineRule="auto"/>
        <w:jc w:val="center"/>
        <w:rPr>
          <w:rFonts w:hint="eastAsia" w:ascii="仿宋_GB2312" w:hAnsi="仿宋_GB2312" w:eastAsia="仿宋_GB2312" w:cs="仿宋_GB2312"/>
          <w:color w:val="auto"/>
          <w:sz w:val="19"/>
          <w:szCs w:val="19"/>
          <w:highlight w:val="none"/>
        </w:rPr>
      </w:pPr>
    </w:p>
    <w:p>
      <w:pPr>
        <w:pStyle w:val="3"/>
        <w:rPr>
          <w:rFonts w:hint="eastAsia" w:eastAsiaTheme="minorEastAsia"/>
          <w:color w:val="auto"/>
          <w:highlight w:val="none"/>
        </w:rPr>
      </w:pPr>
    </w:p>
    <w:p>
      <w:pPr>
        <w:autoSpaceDE w:val="0"/>
        <w:autoSpaceDN w:val="0"/>
        <w:adjustRightInd w:val="0"/>
        <w:snapToGrid w:val="0"/>
        <w:spacing w:line="360" w:lineRule="auto"/>
        <w:jc w:val="center"/>
        <w:rPr>
          <w:rFonts w:hint="eastAsia" w:ascii="仿宋_GB2312" w:hAnsi="仿宋_GB2312" w:eastAsia="仿宋_GB2312" w:cs="仿宋_GB2312"/>
          <w:b/>
          <w:bCs/>
          <w:color w:val="auto"/>
          <w:sz w:val="44"/>
          <w:szCs w:val="44"/>
          <w:highlight w:val="none"/>
          <w:lang w:eastAsia="zh-CN"/>
        </w:rPr>
      </w:pPr>
      <w:r>
        <w:rPr>
          <w:rFonts w:hint="eastAsia" w:ascii="仿宋_GB2312" w:hAnsi="仿宋_GB2312" w:eastAsia="仿宋_GB2312" w:cs="仿宋_GB2312"/>
          <w:b/>
          <w:bCs/>
          <w:color w:val="auto"/>
          <w:sz w:val="44"/>
          <w:szCs w:val="44"/>
          <w:highlight w:val="none"/>
          <w:lang w:eastAsia="zh-CN"/>
        </w:rPr>
        <w:t>13个行政监测断面设施设备运行维护</w:t>
      </w: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36"/>
          <w:szCs w:val="36"/>
          <w:highlight w:val="none"/>
          <w:lang w:val="zh-CN"/>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52"/>
          <w:szCs w:val="52"/>
          <w:highlight w:val="none"/>
          <w:lang w:val="zh-CN"/>
        </w:rPr>
      </w:pPr>
      <w:r>
        <w:rPr>
          <w:rFonts w:hint="eastAsia" w:ascii="仿宋_GB2312" w:hAnsi="仿宋_GB2312" w:eastAsia="仿宋_GB2312" w:cs="仿宋_GB2312"/>
          <w:b/>
          <w:bCs/>
          <w:color w:val="auto"/>
          <w:sz w:val="52"/>
          <w:szCs w:val="52"/>
          <w:highlight w:val="none"/>
          <w:lang w:val="zh-CN"/>
        </w:rPr>
        <w:t>磋商响应文件</w:t>
      </w:r>
    </w:p>
    <w:p>
      <w:pPr>
        <w:autoSpaceDE w:val="0"/>
        <w:autoSpaceDN w:val="0"/>
        <w:adjustRightInd w:val="0"/>
        <w:snapToGrid w:val="0"/>
        <w:spacing w:line="360" w:lineRule="auto"/>
        <w:jc w:val="center"/>
        <w:rPr>
          <w:rFonts w:ascii="黑体" w:hAnsi="黑体" w:eastAsia="黑体" w:cs="仿宋_GB2312"/>
          <w:b/>
          <w:bCs/>
          <w:color w:val="auto"/>
          <w:sz w:val="32"/>
          <w:szCs w:val="32"/>
          <w:highlight w:val="none"/>
          <w:lang w:val="zh-CN"/>
        </w:rPr>
      </w:pPr>
      <w:r>
        <w:rPr>
          <w:rFonts w:hint="eastAsia" w:ascii="黑体" w:hAnsi="黑体" w:eastAsia="黑体" w:cs="仿宋_GB2312"/>
          <w:b/>
          <w:bCs/>
          <w:color w:val="auto"/>
          <w:sz w:val="32"/>
          <w:szCs w:val="32"/>
          <w:highlight w:val="none"/>
          <w:lang w:val="zh-CN"/>
        </w:rPr>
        <w:t>（</w:t>
      </w:r>
      <w:r>
        <w:rPr>
          <w:rStyle w:val="94"/>
          <w:rFonts w:hint="eastAsia"/>
          <w:color w:val="auto"/>
          <w:highlight w:val="none"/>
        </w:rPr>
        <w:t>商务及技术文件</w:t>
      </w:r>
      <w:r>
        <w:rPr>
          <w:rFonts w:hint="eastAsia" w:ascii="黑体" w:hAnsi="黑体" w:eastAsia="黑体" w:cs="仿宋_GB2312"/>
          <w:b/>
          <w:bCs/>
          <w:color w:val="auto"/>
          <w:sz w:val="32"/>
          <w:szCs w:val="32"/>
          <w:highlight w:val="none"/>
          <w:lang w:val="zh-CN"/>
        </w:rPr>
        <w:t>）</w:t>
      </w:r>
    </w:p>
    <w:p>
      <w:pPr>
        <w:autoSpaceDE w:val="0"/>
        <w:autoSpaceDN w:val="0"/>
        <w:adjustRightInd w:val="0"/>
        <w:snapToGrid w:val="0"/>
        <w:spacing w:line="360" w:lineRule="auto"/>
        <w:rPr>
          <w:rFonts w:ascii="仿宋_GB2312" w:hAnsi="仿宋_GB2312" w:eastAsia="仿宋_GB2312" w:cs="仿宋_GB2312"/>
          <w:b/>
          <w:bCs/>
          <w:color w:val="auto"/>
          <w:sz w:val="32"/>
          <w:szCs w:val="32"/>
          <w:highlight w:val="none"/>
          <w:lang w:val="zh-CN"/>
        </w:rPr>
      </w:pPr>
    </w:p>
    <w:p>
      <w:pPr>
        <w:autoSpaceDE w:val="0"/>
        <w:autoSpaceDN w:val="0"/>
        <w:adjustRightInd w:val="0"/>
        <w:snapToGrid w:val="0"/>
        <w:spacing w:line="360" w:lineRule="auto"/>
        <w:rPr>
          <w:rFonts w:ascii="仿宋_GB2312" w:hAnsi="仿宋_GB2312" w:eastAsia="仿宋_GB2312" w:cs="仿宋_GB2312"/>
          <w:b/>
          <w:bCs/>
          <w:color w:val="auto"/>
          <w:sz w:val="32"/>
          <w:szCs w:val="32"/>
          <w:highlight w:val="none"/>
          <w:lang w:val="zh-CN"/>
        </w:rPr>
      </w:pPr>
    </w:p>
    <w:p>
      <w:pPr>
        <w:autoSpaceDE w:val="0"/>
        <w:autoSpaceDN w:val="0"/>
        <w:adjustRightInd w:val="0"/>
        <w:snapToGrid w:val="0"/>
        <w:spacing w:line="360" w:lineRule="auto"/>
        <w:rPr>
          <w:rFonts w:ascii="仿宋_GB2312" w:hAnsi="仿宋_GB2312" w:eastAsia="仿宋_GB2312" w:cs="仿宋_GB2312"/>
          <w:b/>
          <w:bCs/>
          <w:color w:val="auto"/>
          <w:sz w:val="32"/>
          <w:szCs w:val="32"/>
          <w:highlight w:val="none"/>
          <w:lang w:val="zh-CN"/>
        </w:rPr>
      </w:pPr>
    </w:p>
    <w:p>
      <w:pPr>
        <w:autoSpaceDE w:val="0"/>
        <w:autoSpaceDN w:val="0"/>
        <w:adjustRightInd w:val="0"/>
        <w:snapToGrid w:val="0"/>
        <w:spacing w:line="360" w:lineRule="auto"/>
        <w:ind w:firstLine="964" w:firstLineChars="300"/>
        <w:rPr>
          <w:rFonts w:ascii="仿宋_GB2312" w:hAnsi="仿宋_GB2312" w:eastAsia="仿宋_GB2312" w:cs="仿宋_GB2312"/>
          <w:b/>
          <w:bCs/>
          <w:color w:val="auto"/>
          <w:sz w:val="32"/>
          <w:szCs w:val="32"/>
          <w:highlight w:val="none"/>
        </w:rPr>
      </w:pPr>
    </w:p>
    <w:p>
      <w:pPr>
        <w:autoSpaceDE w:val="0"/>
        <w:autoSpaceDN w:val="0"/>
        <w:adjustRightInd w:val="0"/>
        <w:snapToGrid w:val="0"/>
        <w:spacing w:line="360" w:lineRule="auto"/>
        <w:rPr>
          <w:rFonts w:ascii="仿宋_GB2312" w:hAnsi="仿宋_GB2312" w:eastAsia="仿宋_GB2312" w:cs="仿宋_GB2312"/>
          <w:color w:val="auto"/>
          <w:sz w:val="30"/>
          <w:szCs w:val="30"/>
          <w:highlight w:val="none"/>
        </w:rPr>
      </w:pPr>
    </w:p>
    <w:p>
      <w:pPr>
        <w:autoSpaceDE w:val="0"/>
        <w:autoSpaceDN w:val="0"/>
        <w:adjustRightInd w:val="0"/>
        <w:snapToGrid w:val="0"/>
        <w:spacing w:line="360" w:lineRule="auto"/>
        <w:ind w:firstLine="1285" w:firstLineChars="400"/>
        <w:rPr>
          <w:rFonts w:ascii="仿宋_GB2312" w:hAnsi="仿宋_GB2312" w:eastAsia="仿宋_GB2312" w:cs="仿宋_GB2312"/>
          <w:b/>
          <w:bCs/>
          <w:color w:val="auto"/>
          <w:sz w:val="32"/>
          <w:szCs w:val="32"/>
          <w:highlight w:val="none"/>
          <w:u w:val="single"/>
        </w:rPr>
      </w:pPr>
      <w:r>
        <w:rPr>
          <w:rFonts w:hint="eastAsia" w:ascii="仿宋_GB2312" w:hAnsi="仿宋_GB2312" w:eastAsia="仿宋_GB2312" w:cs="仿宋_GB2312"/>
          <w:b/>
          <w:bCs/>
          <w:color w:val="auto"/>
          <w:sz w:val="32"/>
          <w:szCs w:val="32"/>
          <w:highlight w:val="none"/>
          <w:lang w:val="zh-CN"/>
        </w:rPr>
        <w:t>供应商：</w:t>
      </w:r>
    </w:p>
    <w:p>
      <w:pPr>
        <w:autoSpaceDE w:val="0"/>
        <w:autoSpaceDN w:val="0"/>
        <w:adjustRightInd w:val="0"/>
        <w:snapToGrid w:val="0"/>
        <w:spacing w:line="360" w:lineRule="auto"/>
        <w:rPr>
          <w:rFonts w:ascii="仿宋_GB2312" w:hAnsi="仿宋_GB2312" w:eastAsia="仿宋_GB2312" w:cs="仿宋_GB2312"/>
          <w:b/>
          <w:bCs/>
          <w:color w:val="auto"/>
          <w:sz w:val="32"/>
          <w:szCs w:val="32"/>
          <w:highlight w:val="none"/>
        </w:rPr>
      </w:pPr>
    </w:p>
    <w:p>
      <w:pPr>
        <w:autoSpaceDE w:val="0"/>
        <w:autoSpaceDN w:val="0"/>
        <w:adjustRightInd w:val="0"/>
        <w:snapToGrid w:val="0"/>
        <w:spacing w:line="360" w:lineRule="auto"/>
        <w:ind w:firstLine="1285" w:firstLineChars="400"/>
        <w:rPr>
          <w:rFonts w:ascii="仿宋_GB2312" w:hAnsi="仿宋_GB2312" w:eastAsia="仿宋_GB2312" w:cs="仿宋_GB2312"/>
          <w:b/>
          <w:bCs/>
          <w:color w:val="auto"/>
          <w:sz w:val="32"/>
          <w:szCs w:val="32"/>
          <w:highlight w:val="none"/>
          <w:u w:val="single"/>
        </w:rPr>
      </w:pPr>
      <w:r>
        <w:rPr>
          <w:rFonts w:hint="eastAsia" w:ascii="仿宋_GB2312" w:hAnsi="仿宋_GB2312" w:eastAsia="仿宋_GB2312" w:cs="仿宋_GB2312"/>
          <w:b/>
          <w:bCs/>
          <w:color w:val="auto"/>
          <w:sz w:val="32"/>
          <w:szCs w:val="32"/>
          <w:highlight w:val="none"/>
          <w:lang w:val="zh-CN"/>
        </w:rPr>
        <w:t>时  间：</w:t>
      </w:r>
    </w:p>
    <w:p>
      <w:pPr>
        <w:pStyle w:val="3"/>
        <w:rPr>
          <w:color w:val="auto"/>
          <w:highlight w:val="none"/>
        </w:rPr>
      </w:pPr>
      <w:r>
        <w:rPr>
          <w:color w:val="auto"/>
          <w:highlight w:val="none"/>
        </w:rPr>
        <w:br w:type="page"/>
      </w:r>
    </w:p>
    <w:p>
      <w:pPr>
        <w:autoSpaceDE w:val="0"/>
        <w:autoSpaceDN w:val="0"/>
        <w:adjustRightInd w:val="0"/>
        <w:snapToGrid w:val="0"/>
        <w:spacing w:line="360" w:lineRule="auto"/>
        <w:ind w:firstLine="964" w:firstLineChars="300"/>
        <w:rPr>
          <w:rFonts w:ascii="仿宋_GB2312" w:hAnsi="仿宋_GB2312" w:eastAsia="仿宋_GB2312" w:cs="仿宋_GB2312"/>
          <w:b/>
          <w:bCs/>
          <w:color w:val="auto"/>
          <w:sz w:val="32"/>
          <w:szCs w:val="32"/>
          <w:highlight w:val="none"/>
          <w:u w:val="single"/>
        </w:rPr>
      </w:pPr>
    </w:p>
    <w:p>
      <w:pPr>
        <w:pStyle w:val="3"/>
        <w:rPr>
          <w:rFonts w:ascii="仿宋_GB2312" w:hAnsi="仿宋_GB2312" w:eastAsia="仿宋_GB2312" w:cs="仿宋_GB2312"/>
          <w:color w:val="auto"/>
          <w:highlight w:val="none"/>
        </w:rPr>
      </w:pPr>
    </w:p>
    <w:p>
      <w:pPr>
        <w:autoSpaceDE w:val="0"/>
        <w:autoSpaceDN w:val="0"/>
        <w:adjustRightInd w:val="0"/>
        <w:snapToGrid w:val="0"/>
        <w:spacing w:line="360" w:lineRule="auto"/>
        <w:ind w:firstLine="3534" w:firstLineChars="1100"/>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目  录</w:t>
      </w:r>
    </w:p>
    <w:p>
      <w:pPr>
        <w:spacing w:after="120"/>
        <w:ind w:firstLine="315" w:firstLineChars="150"/>
        <w:rPr>
          <w:rFonts w:ascii="仿宋_GB2312" w:hAnsi="仿宋_GB2312" w:eastAsia="仿宋_GB2312" w:cs="仿宋_GB2312"/>
          <w:color w:val="auto"/>
          <w:highlight w:val="none"/>
        </w:rPr>
      </w:pPr>
    </w:p>
    <w:p>
      <w:pPr>
        <w:spacing w:after="120" w:line="480" w:lineRule="auto"/>
        <w:ind w:firstLine="1080" w:firstLineChars="4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第一部分  磋商响应函</w:t>
      </w:r>
    </w:p>
    <w:p>
      <w:pPr>
        <w:spacing w:after="120" w:line="480" w:lineRule="auto"/>
        <w:ind w:firstLine="1080" w:firstLineChars="4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第二部分  磋商响应报价表 </w:t>
      </w:r>
    </w:p>
    <w:p>
      <w:pPr>
        <w:spacing w:after="120" w:line="480" w:lineRule="auto"/>
        <w:ind w:firstLine="1080" w:firstLineChars="4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第三部分  偏离表</w:t>
      </w:r>
    </w:p>
    <w:p>
      <w:pPr>
        <w:spacing w:after="120" w:line="480" w:lineRule="auto"/>
        <w:ind w:firstLine="1080" w:firstLineChars="4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第四部分  响应方案说明</w:t>
      </w:r>
    </w:p>
    <w:p>
      <w:pPr>
        <w:spacing w:after="120" w:line="480" w:lineRule="auto"/>
        <w:ind w:firstLine="1080" w:firstLineChars="4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第五部分  小微企业、监狱企业、残疾人福利单位声明函或证明</w:t>
      </w:r>
    </w:p>
    <w:p>
      <w:pPr>
        <w:spacing w:after="120" w:line="480" w:lineRule="auto"/>
        <w:ind w:firstLine="1080" w:firstLineChars="4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第六部分  保证金支付凭证或担保函（复印件）</w:t>
      </w:r>
    </w:p>
    <w:p>
      <w:pPr>
        <w:pStyle w:val="3"/>
        <w:spacing w:line="480" w:lineRule="auto"/>
        <w:ind w:firstLine="480"/>
        <w:rPr>
          <w:rFonts w:ascii="仿宋_GB2312" w:hAnsi="仿宋_GB2312" w:eastAsia="仿宋_GB2312" w:cs="仿宋_GB2312"/>
          <w:color w:val="auto"/>
          <w:sz w:val="24"/>
          <w:highlight w:val="none"/>
        </w:rPr>
      </w:pPr>
    </w:p>
    <w:p>
      <w:pPr>
        <w:pStyle w:val="3"/>
        <w:ind w:firstLine="480"/>
        <w:rPr>
          <w:rFonts w:ascii="仿宋_GB2312" w:hAnsi="仿宋_GB2312" w:eastAsia="仿宋_GB2312" w:cs="仿宋_GB2312"/>
          <w:color w:val="auto"/>
          <w:sz w:val="24"/>
          <w:highlight w:val="none"/>
        </w:rPr>
      </w:pPr>
    </w:p>
    <w:p>
      <w:pPr>
        <w:widowControl/>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br w:type="page"/>
      </w:r>
    </w:p>
    <w:p>
      <w:pPr>
        <w:pStyle w:val="195"/>
        <w:ind w:firstLine="2731" w:firstLineChars="850"/>
        <w:rPr>
          <w:rFonts w:ascii="仿宋" w:hAnsi="仿宋" w:eastAsia="仿宋"/>
          <w:b/>
          <w:color w:val="auto"/>
          <w:sz w:val="32"/>
          <w:szCs w:val="32"/>
          <w:highlight w:val="none"/>
        </w:rPr>
      </w:pPr>
      <w:r>
        <w:rPr>
          <w:rFonts w:hint="eastAsia" w:ascii="仿宋" w:hAnsi="仿宋" w:eastAsia="仿宋"/>
          <w:b/>
          <w:color w:val="auto"/>
          <w:sz w:val="32"/>
          <w:szCs w:val="32"/>
          <w:highlight w:val="none"/>
          <w:lang w:val="zh-CN"/>
        </w:rPr>
        <w:t>第一部分磋商响应函</w:t>
      </w:r>
    </w:p>
    <w:p>
      <w:pPr>
        <w:autoSpaceDE w:val="0"/>
        <w:autoSpaceDN w:val="0"/>
        <w:adjustRightInd w:val="0"/>
        <w:snapToGrid w:val="0"/>
        <w:spacing w:line="312" w:lineRule="auto"/>
        <w:rPr>
          <w:rFonts w:ascii="仿宋_GB2312" w:hAnsi="仿宋_GB2312" w:eastAsia="仿宋_GB2312" w:cs="仿宋_GB2312"/>
          <w:b/>
          <w:bCs/>
          <w:color w:val="auto"/>
          <w:sz w:val="24"/>
          <w:highlight w:val="none"/>
          <w:lang w:val="zh-CN"/>
        </w:rPr>
      </w:pPr>
    </w:p>
    <w:p>
      <w:pPr>
        <w:autoSpaceDE w:val="0"/>
        <w:autoSpaceDN w:val="0"/>
        <w:adjustRightInd w:val="0"/>
        <w:snapToGrid w:val="0"/>
        <w:spacing w:line="312" w:lineRule="auto"/>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lang w:val="zh-CN"/>
        </w:rPr>
        <w:t>陕西鸿信泰鼎建设项目管理有限公司：</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我单位收到贵公司</w:t>
      </w:r>
      <w:r>
        <w:rPr>
          <w:rFonts w:hint="eastAsia" w:ascii="仿宋_GB2312" w:hAnsi="仿宋_GB2312" w:eastAsia="仿宋_GB2312" w:cs="仿宋_GB2312"/>
          <w:color w:val="auto"/>
          <w:sz w:val="24"/>
          <w:highlight w:val="none"/>
          <w:u w:val="single"/>
          <w:lang w:val="zh-CN"/>
        </w:rPr>
        <w:t>13个行政监测断面设施设备运行维护</w:t>
      </w:r>
      <w:r>
        <w:rPr>
          <w:rFonts w:hint="eastAsia" w:ascii="仿宋_GB2312" w:hAnsi="仿宋_GB2312" w:eastAsia="仿宋_GB2312" w:cs="仿宋_GB2312"/>
          <w:color w:val="auto"/>
          <w:sz w:val="24"/>
          <w:highlight w:val="none"/>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w:t>
      </w:r>
      <w:r>
        <w:rPr>
          <w:rFonts w:hint="eastAsia" w:ascii="仿宋_GB2312" w:hAnsi="仿宋_GB2312" w:eastAsia="仿宋_GB2312" w:cs="仿宋_GB2312"/>
          <w:color w:val="auto"/>
          <w:sz w:val="24"/>
          <w:highlight w:val="none"/>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二</w:t>
      </w:r>
      <w:r>
        <w:rPr>
          <w:rFonts w:hint="eastAsia" w:ascii="仿宋_GB2312" w:hAnsi="仿宋_GB2312" w:eastAsia="仿宋_GB2312" w:cs="仿宋_GB2312"/>
          <w:color w:val="auto"/>
          <w:sz w:val="24"/>
          <w:highlight w:val="none"/>
          <w:lang w:val="zh-CN"/>
        </w:rPr>
        <w:t>、按竞争性磋商文件的规定，我公司的首次磋商响应报价为人民币（大写）：（￥：元），并对其后的磋商报价负法律责任。</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三</w:t>
      </w:r>
      <w:r>
        <w:rPr>
          <w:rFonts w:hint="eastAsia" w:ascii="仿宋_GB2312" w:hAnsi="仿宋_GB2312" w:eastAsia="仿宋_GB2312" w:cs="仿宋_GB2312"/>
          <w:color w:val="auto"/>
          <w:sz w:val="24"/>
          <w:highlight w:val="none"/>
          <w:lang w:val="zh-CN"/>
        </w:rPr>
        <w:t>、我方提交的响应文件正本一份、副本</w:t>
      </w:r>
      <w:r>
        <w:rPr>
          <w:rFonts w:hint="eastAsia" w:ascii="仿宋_GB2312" w:hAnsi="仿宋_GB2312" w:eastAsia="仿宋_GB2312" w:cs="仿宋_GB2312"/>
          <w:color w:val="auto"/>
          <w:sz w:val="24"/>
          <w:highlight w:val="none"/>
          <w:u w:val="single"/>
          <w:lang w:val="zh-CN"/>
        </w:rPr>
        <w:t xml:space="preserve"> 两 </w:t>
      </w:r>
      <w:r>
        <w:rPr>
          <w:rFonts w:hint="eastAsia" w:ascii="仿宋_GB2312" w:hAnsi="仿宋_GB2312" w:eastAsia="仿宋_GB2312" w:cs="仿宋_GB2312"/>
          <w:color w:val="auto"/>
          <w:sz w:val="24"/>
          <w:highlight w:val="none"/>
          <w:lang w:val="zh-CN"/>
        </w:rPr>
        <w:t>份。</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rPr>
        <w:t>四</w:t>
      </w:r>
      <w:r>
        <w:rPr>
          <w:rFonts w:hint="eastAsia" w:ascii="仿宋_GB2312" w:hAnsi="仿宋_GB2312" w:eastAsia="仿宋_GB2312" w:cs="仿宋_GB2312"/>
          <w:color w:val="auto"/>
          <w:sz w:val="24"/>
          <w:highlight w:val="none"/>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五、如果我方在磋商有效期内撤销响应文件，则响应保证金将被贵方不予退还。</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rPr>
        <w:t>六</w:t>
      </w:r>
      <w:r>
        <w:rPr>
          <w:rFonts w:hint="eastAsia" w:ascii="仿宋_GB2312" w:hAnsi="仿宋_GB2312" w:eastAsia="仿宋_GB2312" w:cs="仿宋_GB2312"/>
          <w:color w:val="auto"/>
          <w:sz w:val="24"/>
          <w:highlight w:val="none"/>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七、我方的响应文件有效期为自磋商之日起</w:t>
      </w:r>
      <w:r>
        <w:rPr>
          <w:rFonts w:hint="eastAsia" w:ascii="仿宋_GB2312" w:hAnsi="仿宋_GB2312" w:eastAsia="仿宋_GB2312" w:cs="仿宋_GB2312"/>
          <w:color w:val="auto"/>
          <w:sz w:val="24"/>
          <w:highlight w:val="none"/>
          <w:u w:val="single"/>
        </w:rPr>
        <w:t xml:space="preserve">60 </w:t>
      </w:r>
      <w:r>
        <w:rPr>
          <w:rFonts w:hint="eastAsia" w:ascii="仿宋_GB2312" w:hAnsi="仿宋_GB2312" w:eastAsia="仿宋_GB2312" w:cs="仿宋_GB2312"/>
          <w:color w:val="auto"/>
          <w:sz w:val="24"/>
          <w:highlight w:val="none"/>
          <w:lang w:val="zh-CN"/>
        </w:rPr>
        <w:t>个日历天。若我方成交，响应文件有效期延长至合同执行完毕。</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rPr>
        <w:t>八</w:t>
      </w:r>
      <w:r>
        <w:rPr>
          <w:rFonts w:hint="eastAsia" w:ascii="仿宋_GB2312" w:hAnsi="仿宋_GB2312" w:eastAsia="仿宋_GB2312" w:cs="仿宋_GB2312"/>
          <w:color w:val="auto"/>
          <w:sz w:val="24"/>
          <w:highlight w:val="none"/>
          <w:lang w:val="zh-CN"/>
        </w:rPr>
        <w:t>、如我方成交：</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（2）我方承诺按照磋商文件规定向你方递交履约保证金。作为履行合同的担保。</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（3）我方承诺按合同约定的期限和地点，提供符合磋商文件要求的全部的货物和服务。</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（4）我方保证在领取成交通知书前按要求支付成交服务费。</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九、有关于本响应文件的函电，请按下列地址联系。</w:t>
      </w:r>
    </w:p>
    <w:p>
      <w:pPr>
        <w:autoSpaceDE w:val="0"/>
        <w:autoSpaceDN w:val="0"/>
        <w:adjustRightInd w:val="0"/>
        <w:snapToGrid w:val="0"/>
        <w:spacing w:line="312"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地址：</w:t>
      </w:r>
      <w:r>
        <w:rPr>
          <w:rFonts w:hint="eastAsia" w:ascii="仿宋_GB2312" w:hAnsi="仿宋_GB2312" w:eastAsia="仿宋_GB2312" w:cs="仿宋_GB2312"/>
          <w:color w:val="auto"/>
          <w:sz w:val="24"/>
          <w:highlight w:val="none"/>
        </w:rPr>
        <w:t>__________________________________________</w:t>
      </w:r>
    </w:p>
    <w:p>
      <w:pPr>
        <w:autoSpaceDE w:val="0"/>
        <w:autoSpaceDN w:val="0"/>
        <w:adjustRightInd w:val="0"/>
        <w:snapToGrid w:val="0"/>
        <w:spacing w:line="312"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开户银行：</w:t>
      </w:r>
      <w:r>
        <w:rPr>
          <w:rFonts w:hint="eastAsia" w:ascii="仿宋_GB2312" w:hAnsi="仿宋_GB2312" w:eastAsia="仿宋_GB2312" w:cs="仿宋_GB2312"/>
          <w:color w:val="auto"/>
          <w:sz w:val="24"/>
          <w:highlight w:val="none"/>
        </w:rPr>
        <w:t>__________________________________________</w:t>
      </w:r>
    </w:p>
    <w:p>
      <w:pPr>
        <w:autoSpaceDE w:val="0"/>
        <w:autoSpaceDN w:val="0"/>
        <w:adjustRightInd w:val="0"/>
        <w:snapToGrid w:val="0"/>
        <w:spacing w:line="312"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帐号：</w:t>
      </w:r>
      <w:r>
        <w:rPr>
          <w:rFonts w:hint="eastAsia" w:ascii="仿宋_GB2312" w:hAnsi="仿宋_GB2312" w:eastAsia="仿宋_GB2312" w:cs="仿宋_GB2312"/>
          <w:color w:val="auto"/>
          <w:sz w:val="24"/>
          <w:highlight w:val="none"/>
        </w:rPr>
        <w:t>__________________________________________</w:t>
      </w:r>
    </w:p>
    <w:p>
      <w:pPr>
        <w:autoSpaceDE w:val="0"/>
        <w:autoSpaceDN w:val="0"/>
        <w:adjustRightInd w:val="0"/>
        <w:snapToGrid w:val="0"/>
        <w:spacing w:line="312"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电话：</w:t>
      </w:r>
      <w:r>
        <w:rPr>
          <w:rFonts w:hint="eastAsia" w:ascii="仿宋_GB2312" w:hAnsi="仿宋_GB2312" w:eastAsia="仿宋_GB2312" w:cs="仿宋_GB2312"/>
          <w:color w:val="auto"/>
          <w:sz w:val="24"/>
          <w:highlight w:val="none"/>
        </w:rPr>
        <w:t>_____________________</w:t>
      </w:r>
      <w:r>
        <w:rPr>
          <w:rFonts w:hint="eastAsia" w:ascii="仿宋_GB2312" w:hAnsi="仿宋_GB2312" w:eastAsia="仿宋_GB2312" w:cs="仿宋_GB2312"/>
          <w:color w:val="auto"/>
          <w:sz w:val="24"/>
          <w:highlight w:val="none"/>
          <w:lang w:val="zh-CN"/>
        </w:rPr>
        <w:t>传真：</w:t>
      </w:r>
      <w:r>
        <w:rPr>
          <w:rFonts w:hint="eastAsia" w:ascii="仿宋_GB2312" w:hAnsi="仿宋_GB2312" w:eastAsia="仿宋_GB2312" w:cs="仿宋_GB2312"/>
          <w:color w:val="auto"/>
          <w:sz w:val="24"/>
          <w:highlight w:val="none"/>
        </w:rPr>
        <w:t>________________</w:t>
      </w:r>
    </w:p>
    <w:p>
      <w:pPr>
        <w:pStyle w:val="3"/>
        <w:rPr>
          <w:rFonts w:ascii="仿宋_GB2312" w:hAnsi="仿宋_GB2312" w:eastAsia="仿宋_GB2312" w:cs="仿宋_GB2312"/>
          <w:color w:val="auto"/>
          <w:highlight w:val="none"/>
        </w:rPr>
      </w:pPr>
    </w:p>
    <w:p>
      <w:pPr>
        <w:autoSpaceDE w:val="0"/>
        <w:autoSpaceDN w:val="0"/>
        <w:adjustRightInd w:val="0"/>
        <w:snapToGrid w:val="0"/>
        <w:spacing w:line="312" w:lineRule="auto"/>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供应商全称（公章）：</w:t>
      </w:r>
    </w:p>
    <w:p>
      <w:pPr>
        <w:pStyle w:val="3"/>
        <w:rPr>
          <w:rFonts w:ascii="仿宋_GB2312" w:hAnsi="仿宋_GB2312" w:eastAsia="仿宋_GB2312" w:cs="仿宋_GB2312"/>
          <w:color w:val="auto"/>
          <w:highlight w:val="none"/>
          <w:lang w:val="zh-CN"/>
        </w:rPr>
      </w:pPr>
    </w:p>
    <w:p>
      <w:pPr>
        <w:autoSpaceDE w:val="0"/>
        <w:autoSpaceDN w:val="0"/>
        <w:adjustRightInd w:val="0"/>
        <w:snapToGrid w:val="0"/>
        <w:spacing w:line="312"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法定代表人或授权代表（签字）：</w:t>
      </w:r>
      <w:r>
        <w:rPr>
          <w:rFonts w:hint="eastAsia" w:ascii="仿宋_GB2312" w:hAnsi="仿宋_GB2312" w:eastAsia="仿宋_GB2312" w:cs="仿宋_GB2312"/>
          <w:color w:val="auto"/>
          <w:sz w:val="24"/>
          <w:highlight w:val="none"/>
        </w:rPr>
        <w:t>______________________________</w:t>
      </w:r>
    </w:p>
    <w:p>
      <w:pPr>
        <w:pStyle w:val="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_____</w:t>
      </w:r>
      <w:r>
        <w:rPr>
          <w:rFonts w:hint="eastAsia" w:ascii="仿宋_GB2312" w:hAnsi="仿宋_GB2312" w:eastAsia="仿宋_GB2312" w:cs="仿宋_GB2312"/>
          <w:color w:val="auto"/>
          <w:sz w:val="24"/>
          <w:highlight w:val="none"/>
          <w:lang w:val="zh-CN"/>
        </w:rPr>
        <w:t>年</w:t>
      </w:r>
      <w:r>
        <w:rPr>
          <w:rFonts w:hint="eastAsia" w:ascii="仿宋_GB2312" w:hAnsi="仿宋_GB2312" w:eastAsia="仿宋_GB2312" w:cs="仿宋_GB2312"/>
          <w:color w:val="auto"/>
          <w:sz w:val="24"/>
          <w:highlight w:val="none"/>
        </w:rPr>
        <w:t>_____</w:t>
      </w:r>
      <w:r>
        <w:rPr>
          <w:rFonts w:hint="eastAsia" w:ascii="仿宋_GB2312" w:hAnsi="仿宋_GB2312" w:eastAsia="仿宋_GB2312" w:cs="仿宋_GB2312"/>
          <w:color w:val="auto"/>
          <w:sz w:val="24"/>
          <w:highlight w:val="none"/>
          <w:lang w:val="zh-CN"/>
        </w:rPr>
        <w:t>月</w:t>
      </w:r>
      <w:r>
        <w:rPr>
          <w:rFonts w:hint="eastAsia" w:ascii="仿宋_GB2312" w:hAnsi="仿宋_GB2312" w:eastAsia="仿宋_GB2312" w:cs="仿宋_GB2312"/>
          <w:color w:val="auto"/>
          <w:sz w:val="24"/>
          <w:highlight w:val="none"/>
        </w:rPr>
        <w:t>_____</w:t>
      </w:r>
      <w:r>
        <w:rPr>
          <w:rFonts w:hint="eastAsia" w:ascii="仿宋_GB2312" w:hAnsi="仿宋_GB2312" w:eastAsia="仿宋_GB2312" w:cs="仿宋_GB2312"/>
          <w:color w:val="auto"/>
          <w:sz w:val="24"/>
          <w:highlight w:val="none"/>
          <w:lang w:val="zh-CN"/>
        </w:rPr>
        <w:t>日</w:t>
      </w:r>
    </w:p>
    <w:p>
      <w:pPr>
        <w:pStyle w:val="195"/>
        <w:ind w:firstLine="2640" w:firstLineChars="1100"/>
        <w:rPr>
          <w:rFonts w:ascii="仿宋" w:hAnsi="仿宋" w:eastAsia="仿宋"/>
          <w:b/>
          <w:bCs/>
          <w:color w:val="auto"/>
          <w:sz w:val="32"/>
          <w:szCs w:val="32"/>
          <w:highlight w:val="none"/>
        </w:rPr>
      </w:pPr>
      <w:bookmarkStart w:id="457" w:name="_Hlt520356241"/>
      <w:bookmarkEnd w:id="457"/>
      <w:r>
        <w:rPr>
          <w:rFonts w:hint="eastAsia"/>
          <w:color w:val="auto"/>
          <w:highlight w:val="none"/>
        </w:rPr>
        <w:br w:type="page"/>
      </w:r>
      <w:bookmarkStart w:id="458" w:name="_Toc249525252"/>
      <w:bookmarkStart w:id="459" w:name="_Toc230583554"/>
      <w:bookmarkStart w:id="460" w:name="_Toc249515371"/>
      <w:bookmarkStart w:id="461" w:name="_Toc8496"/>
      <w:bookmarkStart w:id="462" w:name="_Toc232395224"/>
      <w:bookmarkStart w:id="463" w:name="_Toc230013640"/>
      <w:bookmarkStart w:id="464" w:name="_Toc256342154"/>
      <w:bookmarkStart w:id="465" w:name="_Toc230099805"/>
      <w:bookmarkStart w:id="466" w:name="_Toc415499901"/>
      <w:bookmarkStart w:id="467" w:name="_Toc232176284"/>
      <w:r>
        <w:rPr>
          <w:rFonts w:hint="eastAsia" w:ascii="仿宋" w:hAnsi="仿宋" w:eastAsia="仿宋"/>
          <w:b/>
          <w:color w:val="auto"/>
          <w:sz w:val="32"/>
          <w:szCs w:val="32"/>
          <w:highlight w:val="none"/>
          <w:lang w:val="zh-CN"/>
        </w:rPr>
        <w:t>第二部分  磋商响应报价表</w:t>
      </w:r>
    </w:p>
    <w:p>
      <w:pPr>
        <w:autoSpaceDE w:val="0"/>
        <w:autoSpaceDN w:val="0"/>
        <w:adjustRightInd w:val="0"/>
        <w:snapToGrid w:val="0"/>
        <w:spacing w:line="360" w:lineRule="auto"/>
        <w:jc w:val="center"/>
        <w:rPr>
          <w:rFonts w:ascii="仿宋_GB2312" w:hAnsi="仿宋_GB2312" w:eastAsia="仿宋_GB2312" w:cs="仿宋_GB2312"/>
          <w:b/>
          <w:bCs/>
          <w:color w:val="auto"/>
          <w:sz w:val="32"/>
          <w:szCs w:val="32"/>
          <w:highlight w:val="none"/>
        </w:rPr>
      </w:pPr>
    </w:p>
    <w:p>
      <w:pPr>
        <w:autoSpaceDE w:val="0"/>
        <w:autoSpaceDN w:val="0"/>
        <w:adjustRightInd w:val="0"/>
        <w:snapToGrid w:val="0"/>
        <w:spacing w:line="360" w:lineRule="auto"/>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首次响应</w:t>
      </w:r>
      <w:r>
        <w:rPr>
          <w:rFonts w:hint="eastAsia" w:ascii="仿宋_GB2312" w:hAnsi="仿宋_GB2312" w:eastAsia="仿宋_GB2312" w:cs="仿宋_GB2312"/>
          <w:b/>
          <w:bCs/>
          <w:color w:val="auto"/>
          <w:sz w:val="28"/>
          <w:szCs w:val="28"/>
          <w:highlight w:val="none"/>
          <w:lang w:val="zh-CN"/>
        </w:rPr>
        <w:t>报价表</w:t>
      </w:r>
    </w:p>
    <w:p>
      <w:pPr>
        <w:autoSpaceDE w:val="0"/>
        <w:autoSpaceDN w:val="0"/>
        <w:adjustRightInd w:val="0"/>
        <w:snapToGrid w:val="0"/>
        <w:spacing w:line="360" w:lineRule="auto"/>
        <w:jc w:val="right"/>
        <w:rPr>
          <w:rFonts w:ascii="仿宋_GB2312" w:hAnsi="仿宋_GB2312" w:eastAsia="仿宋_GB2312" w:cs="仿宋_GB2312"/>
          <w:color w:val="auto"/>
          <w:sz w:val="24"/>
          <w:highlight w:val="none"/>
          <w:lang w:val="zh-CN"/>
        </w:rPr>
      </w:pP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82" w:type="dxa"/>
            <w:vAlign w:val="center"/>
          </w:tcPr>
          <w:p>
            <w:pPr>
              <w:pStyle w:val="3"/>
              <w:rPr>
                <w:rFonts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lang w:val="zh-CN"/>
              </w:rPr>
              <w:br w:type="page"/>
            </w:r>
            <w:r>
              <w:rPr>
                <w:rFonts w:hint="eastAsia" w:ascii="仿宋_GB2312" w:hAnsi="仿宋_GB2312" w:eastAsia="仿宋_GB2312" w:cs="仿宋_GB2312"/>
                <w:b/>
                <w:color w:val="auto"/>
                <w:sz w:val="24"/>
                <w:highlight w:val="none"/>
              </w:rPr>
              <w:t>项目编号及名称</w:t>
            </w:r>
          </w:p>
        </w:tc>
        <w:tc>
          <w:tcPr>
            <w:tcW w:w="6697" w:type="dxa"/>
            <w:vAlign w:val="center"/>
          </w:tcPr>
          <w:p>
            <w:pPr>
              <w:pStyle w:val="3"/>
              <w:rPr>
                <w:rFonts w:hint="eastAsia" w:ascii="仿宋_GB2312" w:hAnsi="仿宋_GB2312" w:eastAsia="仿宋_GB2312" w:cs="仿宋_GB2312"/>
                <w:color w:val="auto"/>
                <w:sz w:val="24"/>
                <w:highlight w:val="none"/>
                <w:u w:val="single"/>
                <w:lang w:eastAsia="zh-CN"/>
              </w:rPr>
            </w:pPr>
            <w:r>
              <w:rPr>
                <w:rFonts w:hint="eastAsia" w:ascii="仿宋_GB2312" w:hAnsi="仿宋_GB2312" w:eastAsia="仿宋_GB2312" w:cs="仿宋_GB2312"/>
                <w:color w:val="auto"/>
                <w:sz w:val="24"/>
                <w:highlight w:val="none"/>
              </w:rPr>
              <w:t>项目编号：</w:t>
            </w:r>
            <w:r>
              <w:rPr>
                <w:rFonts w:hint="eastAsia" w:ascii="仿宋_GB2312" w:hAnsi="仿宋_GB2312" w:eastAsia="仿宋_GB2312" w:cs="仿宋_GB2312"/>
                <w:color w:val="auto"/>
                <w:sz w:val="24"/>
                <w:highlight w:val="none"/>
                <w:lang w:eastAsia="zh-CN"/>
              </w:rPr>
              <w:t>HXTDJC20220210</w:t>
            </w:r>
          </w:p>
          <w:p>
            <w:pPr>
              <w:pStyle w:val="3"/>
              <w:rPr>
                <w:rFonts w:hint="eastAsia" w:ascii="仿宋_GB2312" w:hAnsi="仿宋_GB2312" w:eastAsia="仿宋_GB2312" w:cs="仿宋_GB2312"/>
                <w:color w:val="auto"/>
                <w:sz w:val="24"/>
                <w:highlight w:val="none"/>
                <w:u w:val="single"/>
                <w:lang w:eastAsia="zh-CN"/>
              </w:rPr>
            </w:pPr>
            <w:r>
              <w:rPr>
                <w:rFonts w:hint="eastAsia" w:ascii="仿宋_GB2312" w:hAnsi="仿宋_GB2312" w:eastAsia="仿宋_GB2312" w:cs="仿宋_GB2312"/>
                <w:color w:val="auto"/>
                <w:sz w:val="24"/>
                <w:highlight w:val="none"/>
              </w:rPr>
              <w:t>项目名称：</w:t>
            </w:r>
            <w:r>
              <w:rPr>
                <w:rFonts w:hint="eastAsia" w:ascii="仿宋_GB2312" w:hAnsi="仿宋_GB2312" w:eastAsia="仿宋_GB2312" w:cs="仿宋_GB2312"/>
                <w:color w:val="auto"/>
                <w:sz w:val="24"/>
                <w:highlight w:val="none"/>
                <w:lang w:eastAsia="zh-CN"/>
              </w:rPr>
              <w:t>13个行政监测断面设施设备运行维护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3"/>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响应总价</w:t>
            </w:r>
          </w:p>
        </w:tc>
        <w:tc>
          <w:tcPr>
            <w:tcW w:w="6697" w:type="dxa"/>
            <w:vAlign w:val="center"/>
          </w:tcPr>
          <w:p>
            <w:pPr>
              <w:pStyle w:val="3"/>
              <w:rPr>
                <w:rFonts w:ascii="仿宋_GB2312" w:hAnsi="仿宋_GB2312" w:eastAsia="仿宋_GB2312" w:cs="仿宋_GB2312"/>
                <w:i/>
                <w:color w:val="auto"/>
                <w:sz w:val="24"/>
                <w:highlight w:val="none"/>
              </w:rPr>
            </w:pPr>
            <w:r>
              <w:rPr>
                <w:rFonts w:hint="eastAsia" w:ascii="仿宋_GB2312" w:hAnsi="仿宋_GB2312" w:eastAsia="仿宋_GB2312" w:cs="仿宋_GB2312"/>
                <w:color w:val="auto"/>
                <w:sz w:val="24"/>
                <w:highlight w:val="none"/>
              </w:rPr>
              <w:t>人民币（大写）： 整（小写：</w:t>
            </w:r>
            <w:r>
              <w:rPr>
                <w:rFonts w:hint="eastAsia" w:ascii="宋体" w:hAnsi="宋体" w:eastAsia="宋体" w:cs="宋体"/>
                <w:color w:val="auto"/>
                <w:sz w:val="24"/>
                <w:highlight w:val="none"/>
              </w:rPr>
              <w:t>¥</w:t>
            </w:r>
            <w:r>
              <w:rPr>
                <w:rFonts w:hint="eastAsia" w:ascii="仿宋_GB2312" w:hAnsi="仿宋_GB2312" w:eastAsia="仿宋_GB2312" w:cs="仿宋_GB2312"/>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3"/>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服务期</w:t>
            </w:r>
          </w:p>
        </w:tc>
        <w:tc>
          <w:tcPr>
            <w:tcW w:w="6697" w:type="dxa"/>
            <w:vAlign w:val="center"/>
          </w:tcPr>
          <w:p>
            <w:pPr>
              <w:pStyle w:val="3"/>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3"/>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服务地点</w:t>
            </w:r>
          </w:p>
        </w:tc>
        <w:tc>
          <w:tcPr>
            <w:tcW w:w="6697" w:type="dxa"/>
            <w:vAlign w:val="center"/>
          </w:tcPr>
          <w:p>
            <w:pPr>
              <w:pStyle w:val="3"/>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882" w:type="dxa"/>
            <w:vAlign w:val="center"/>
          </w:tcPr>
          <w:p>
            <w:pPr>
              <w:pStyle w:val="3"/>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备注</w:t>
            </w:r>
          </w:p>
        </w:tc>
        <w:tc>
          <w:tcPr>
            <w:tcW w:w="6697" w:type="dxa"/>
            <w:vAlign w:val="center"/>
          </w:tcPr>
          <w:p>
            <w:pPr>
              <w:pStyle w:val="3"/>
              <w:rPr>
                <w:rFonts w:ascii="仿宋_GB2312" w:hAnsi="仿宋_GB2312" w:eastAsia="仿宋_GB2312" w:cs="仿宋_GB2312"/>
                <w:color w:val="auto"/>
                <w:sz w:val="24"/>
                <w:highlight w:val="none"/>
              </w:rPr>
            </w:pPr>
          </w:p>
        </w:tc>
      </w:tr>
    </w:tbl>
    <w:p>
      <w:pPr>
        <w:pStyle w:val="3"/>
        <w:rPr>
          <w:rFonts w:ascii="仿宋_GB2312" w:hAnsi="仿宋_GB2312" w:eastAsia="仿宋_GB2312" w:cs="仿宋_GB2312"/>
          <w:color w:val="auto"/>
          <w:highlight w:val="none"/>
          <w:lang w:val="zh-CN"/>
        </w:rPr>
      </w:pPr>
    </w:p>
    <w:p>
      <w:pPr>
        <w:autoSpaceDE w:val="0"/>
        <w:autoSpaceDN w:val="0"/>
        <w:adjustRightInd w:val="0"/>
        <w:snapToGrid w:val="0"/>
        <w:spacing w:line="360" w:lineRule="auto"/>
        <w:ind w:firstLine="1080" w:firstLineChars="45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供应商法定代表人</w:t>
      </w:r>
      <w:r>
        <w:rPr>
          <w:rFonts w:hint="eastAsia" w:ascii="仿宋_GB2312" w:hAnsi="仿宋_GB2312" w:eastAsia="仿宋_GB2312" w:cs="仿宋_GB2312"/>
          <w:color w:val="auto"/>
          <w:sz w:val="24"/>
          <w:highlight w:val="none"/>
        </w:rPr>
        <w:t>或</w:t>
      </w:r>
      <w:r>
        <w:rPr>
          <w:rFonts w:hint="eastAsia" w:ascii="仿宋_GB2312" w:hAnsi="仿宋_GB2312" w:eastAsia="仿宋_GB2312" w:cs="仿宋_GB2312"/>
          <w:color w:val="auto"/>
          <w:sz w:val="24"/>
          <w:highlight w:val="none"/>
          <w:lang w:val="zh-CN"/>
        </w:rPr>
        <w:t>授权代表</w:t>
      </w:r>
    </w:p>
    <w:p>
      <w:pPr>
        <w:autoSpaceDE w:val="0"/>
        <w:autoSpaceDN w:val="0"/>
        <w:adjustRightInd w:val="0"/>
        <w:snapToGrid w:val="0"/>
        <w:spacing w:line="360" w:lineRule="auto"/>
        <w:ind w:firstLine="960" w:firstLineChars="40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（公章）：                            （</w:t>
      </w:r>
      <w:r>
        <w:rPr>
          <w:rFonts w:hint="eastAsia" w:ascii="仿宋_GB2312" w:hAnsi="仿宋_GB2312" w:eastAsia="仿宋_GB2312" w:cs="仿宋_GB2312"/>
          <w:b/>
          <w:color w:val="auto"/>
          <w:sz w:val="24"/>
          <w:highlight w:val="none"/>
          <w:lang w:val="zh-CN"/>
        </w:rPr>
        <w:t>签字</w:t>
      </w:r>
      <w:r>
        <w:rPr>
          <w:rFonts w:hint="eastAsia" w:ascii="仿宋_GB2312" w:hAnsi="仿宋_GB2312" w:eastAsia="仿宋_GB2312" w:cs="仿宋_GB2312"/>
          <w:color w:val="auto"/>
          <w:sz w:val="24"/>
          <w:highlight w:val="none"/>
          <w:lang w:val="zh-CN"/>
        </w:rPr>
        <w:t>）：</w:t>
      </w:r>
    </w:p>
    <w:p>
      <w:pPr>
        <w:autoSpaceDE w:val="0"/>
        <w:autoSpaceDN w:val="0"/>
        <w:adjustRightInd w:val="0"/>
        <w:snapToGrid w:val="0"/>
        <w:spacing w:line="360" w:lineRule="auto"/>
        <w:rPr>
          <w:rFonts w:ascii="仿宋_GB2312" w:hAnsi="仿宋_GB2312" w:eastAsia="仿宋_GB2312" w:cs="仿宋_GB2312"/>
          <w:color w:val="auto"/>
          <w:sz w:val="24"/>
          <w:highlight w:val="none"/>
          <w:lang w:val="zh-CN"/>
        </w:rPr>
      </w:pPr>
    </w:p>
    <w:p>
      <w:pPr>
        <w:autoSpaceDE w:val="0"/>
        <w:autoSpaceDN w:val="0"/>
        <w:adjustRightInd w:val="0"/>
        <w:snapToGrid w:val="0"/>
        <w:spacing w:line="360" w:lineRule="auto"/>
        <w:ind w:firstLine="1080" w:firstLineChars="45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年 月日</w:t>
      </w:r>
    </w:p>
    <w:p>
      <w:pPr>
        <w:adjustRightInd w:val="0"/>
        <w:snapToGrid w:val="0"/>
        <w:spacing w:line="360" w:lineRule="auto"/>
        <w:jc w:val="center"/>
        <w:rPr>
          <w:rFonts w:ascii="仿宋_GB2312" w:hAnsi="仿宋_GB2312" w:eastAsia="仿宋_GB2312" w:cs="仿宋_GB2312"/>
          <w:b/>
          <w:color w:val="auto"/>
          <w:sz w:val="42"/>
          <w:highlight w:val="none"/>
        </w:rPr>
      </w:pPr>
    </w:p>
    <w:p>
      <w:pPr>
        <w:adjustRightInd w:val="0"/>
        <w:snapToGrid w:val="0"/>
        <w:spacing w:line="360" w:lineRule="auto"/>
        <w:jc w:val="center"/>
        <w:rPr>
          <w:rFonts w:ascii="仿宋_GB2312" w:hAnsi="仿宋_GB2312" w:eastAsia="仿宋_GB2312" w:cs="仿宋_GB2312"/>
          <w:b/>
          <w:color w:val="auto"/>
          <w:sz w:val="42"/>
          <w:highlight w:val="none"/>
        </w:rPr>
      </w:pPr>
    </w:p>
    <w:p>
      <w:pPr>
        <w:adjustRightInd w:val="0"/>
        <w:snapToGrid w:val="0"/>
        <w:spacing w:line="360" w:lineRule="auto"/>
        <w:jc w:val="center"/>
        <w:rPr>
          <w:rFonts w:ascii="仿宋_GB2312" w:hAnsi="仿宋_GB2312" w:eastAsia="仿宋_GB2312" w:cs="仿宋_GB2312"/>
          <w:b/>
          <w:color w:val="auto"/>
          <w:sz w:val="42"/>
          <w:highlight w:val="none"/>
        </w:rPr>
        <w:sectPr>
          <w:pgSz w:w="11906" w:h="16838"/>
          <w:pgMar w:top="1418" w:right="1418" w:bottom="1418" w:left="1418" w:header="851" w:footer="992" w:gutter="0"/>
          <w:pgNumType w:fmt="decimal"/>
          <w:cols w:space="720" w:num="1"/>
          <w:docGrid w:linePitch="312" w:charSpace="0"/>
        </w:sectPr>
      </w:pPr>
    </w:p>
    <w:p>
      <w:pPr>
        <w:keepNext/>
        <w:keepLines/>
        <w:autoSpaceDE w:val="0"/>
        <w:autoSpaceDN w:val="0"/>
        <w:adjustRightInd w:val="0"/>
        <w:spacing w:line="360" w:lineRule="auto"/>
        <w:jc w:val="center"/>
        <w:outlineLvl w:val="2"/>
        <w:rPr>
          <w:rFonts w:ascii="仿宋_GB2312" w:hAnsi="仿宋_GB2312" w:eastAsia="仿宋_GB2312" w:cs="仿宋_GB2312"/>
          <w:b/>
          <w:color w:val="auto"/>
          <w:kern w:val="0"/>
          <w:sz w:val="32"/>
          <w:szCs w:val="32"/>
          <w:highlight w:val="none"/>
          <w:shd w:val="clear" w:color="auto" w:fill="FFFFFF"/>
        </w:rPr>
      </w:pPr>
      <w:r>
        <w:rPr>
          <w:rFonts w:hint="eastAsia" w:ascii="仿宋_GB2312" w:hAnsi="仿宋_GB2312" w:eastAsia="仿宋_GB2312" w:cs="仿宋_GB2312"/>
          <w:b/>
          <w:color w:val="auto"/>
          <w:kern w:val="0"/>
          <w:sz w:val="32"/>
          <w:szCs w:val="32"/>
          <w:highlight w:val="none"/>
          <w:shd w:val="clear" w:color="auto" w:fill="FFFFFF"/>
        </w:rPr>
        <w:t>（首次）分项报价表</w:t>
      </w:r>
    </w:p>
    <w:p>
      <w:pPr>
        <w:autoSpaceDE w:val="0"/>
        <w:autoSpaceDN w:val="0"/>
        <w:adjustRightInd w:val="0"/>
        <w:snapToGrid w:val="0"/>
        <w:spacing w:before="120" w:line="360" w:lineRule="auto"/>
        <w:ind w:left="-206" w:leftChars="-98"/>
        <w:jc w:val="center"/>
        <w:rPr>
          <w:rFonts w:hint="eastAsia" w:ascii="仿宋" w:hAnsi="仿宋" w:eastAsia="仿宋"/>
          <w:color w:val="auto"/>
          <w:kern w:val="0"/>
          <w:sz w:val="24"/>
          <w:szCs w:val="28"/>
          <w:highlight w:val="none"/>
          <w:lang w:eastAsia="zh-CN"/>
        </w:rPr>
      </w:pPr>
      <w:r>
        <w:rPr>
          <w:rFonts w:hint="eastAsia" w:ascii="仿宋" w:hAnsi="仿宋" w:eastAsia="仿宋"/>
          <w:color w:val="auto"/>
          <w:kern w:val="0"/>
          <w:sz w:val="24"/>
          <w:szCs w:val="28"/>
          <w:highlight w:val="none"/>
          <w:lang w:eastAsia="zh-CN"/>
        </w:rPr>
        <w:t>（</w:t>
      </w:r>
      <w:r>
        <w:rPr>
          <w:rFonts w:hint="eastAsia" w:ascii="仿宋" w:hAnsi="仿宋" w:eastAsia="仿宋"/>
          <w:color w:val="auto"/>
          <w:kern w:val="0"/>
          <w:sz w:val="24"/>
          <w:szCs w:val="28"/>
          <w:highlight w:val="none"/>
          <w:lang w:val="en-US" w:eastAsia="zh-CN"/>
        </w:rPr>
        <w:t>格式自拟</w:t>
      </w:r>
      <w:r>
        <w:rPr>
          <w:rFonts w:hint="eastAsia" w:ascii="仿宋" w:hAnsi="仿宋" w:eastAsia="仿宋"/>
          <w:color w:val="auto"/>
          <w:kern w:val="0"/>
          <w:sz w:val="24"/>
          <w:szCs w:val="28"/>
          <w:highlight w:val="none"/>
          <w:lang w:eastAsia="zh-CN"/>
        </w:rPr>
        <w:t>）</w:t>
      </w:r>
    </w:p>
    <w:p>
      <w:pPr>
        <w:pStyle w:val="3"/>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3"/>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3"/>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3"/>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3"/>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3"/>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3"/>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3"/>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3"/>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3"/>
        <w:rPr>
          <w:rFonts w:hint="eastAsia" w:ascii="仿宋" w:hAnsi="仿宋" w:eastAsia="仿宋"/>
          <w:color w:val="auto"/>
          <w:kern w:val="0"/>
          <w:sz w:val="24"/>
          <w:szCs w:val="28"/>
          <w:highlight w:val="none"/>
        </w:rPr>
      </w:pPr>
    </w:p>
    <w:p>
      <w:pPr>
        <w:rPr>
          <w:rFonts w:hint="eastAsia" w:eastAsiaTheme="minorEastAsia"/>
          <w:color w:val="auto"/>
          <w:highlight w:val="none"/>
        </w:rPr>
      </w:pPr>
    </w:p>
    <w:p>
      <w:pPr>
        <w:pStyle w:val="3"/>
        <w:rPr>
          <w:rFonts w:hint="eastAsia" w:eastAsiaTheme="minorEastAsia"/>
          <w:color w:val="auto"/>
          <w:highlight w:val="none"/>
        </w:rPr>
      </w:pPr>
    </w:p>
    <w:p>
      <w:pPr>
        <w:rPr>
          <w:rFonts w:hint="eastAsia" w:eastAsiaTheme="minorEastAsia"/>
          <w:color w:val="auto"/>
          <w:highlight w:val="none"/>
        </w:rPr>
      </w:pPr>
    </w:p>
    <w:p>
      <w:pPr>
        <w:pStyle w:val="3"/>
        <w:rPr>
          <w:rFonts w:hint="eastAsia" w:eastAsiaTheme="minorEastAsia"/>
          <w:color w:val="auto"/>
          <w:highlight w:val="none"/>
        </w:rPr>
      </w:pPr>
    </w:p>
    <w:p>
      <w:pPr>
        <w:rPr>
          <w:rFonts w:ascii="仿宋" w:hAnsi="仿宋" w:eastAsia="仿宋"/>
          <w:color w:val="auto"/>
          <w:kern w:val="0"/>
          <w:sz w:val="24"/>
          <w:szCs w:val="28"/>
          <w:highlight w:val="none"/>
        </w:rPr>
      </w:pPr>
    </w:p>
    <w:p>
      <w:pPr>
        <w:pStyle w:val="3"/>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adjustRightInd w:val="0"/>
        <w:snapToGrid w:val="0"/>
        <w:spacing w:line="360" w:lineRule="auto"/>
        <w:ind w:firstLine="840" w:firstLineChars="350"/>
        <w:rPr>
          <w:rFonts w:ascii="仿宋_GB2312" w:hAnsi="仿宋" w:eastAsia="仿宋_GB2312"/>
          <w:color w:val="auto"/>
          <w:sz w:val="24"/>
          <w:highlight w:val="none"/>
        </w:rPr>
      </w:pPr>
      <w:r>
        <w:rPr>
          <w:rFonts w:hint="eastAsia" w:ascii="仿宋_GB2312" w:hAnsi="仿宋" w:eastAsia="仿宋_GB2312"/>
          <w:color w:val="auto"/>
          <w:sz w:val="24"/>
          <w:highlight w:val="none"/>
        </w:rPr>
        <w:t>投标人                           法定代表人或授权代表</w:t>
      </w:r>
    </w:p>
    <w:p>
      <w:pPr>
        <w:adjustRightInd w:val="0"/>
        <w:snapToGrid w:val="0"/>
        <w:spacing w:line="360" w:lineRule="auto"/>
        <w:ind w:firstLine="720" w:firstLineChars="300"/>
        <w:rPr>
          <w:rFonts w:ascii="仿宋_GB2312" w:hAnsi="仿宋" w:eastAsia="仿宋_GB2312"/>
          <w:color w:val="auto"/>
          <w:sz w:val="24"/>
          <w:highlight w:val="none"/>
        </w:rPr>
      </w:pPr>
      <w:r>
        <w:rPr>
          <w:rFonts w:hint="eastAsia" w:ascii="仿宋_GB2312" w:hAnsi="仿宋" w:eastAsia="仿宋_GB2312"/>
          <w:color w:val="auto"/>
          <w:sz w:val="24"/>
          <w:highlight w:val="none"/>
        </w:rPr>
        <w:t>（公章）：                            （签字）：</w:t>
      </w:r>
    </w:p>
    <w:p>
      <w:pPr>
        <w:adjustRightInd w:val="0"/>
        <w:snapToGrid w:val="0"/>
        <w:spacing w:line="360" w:lineRule="auto"/>
        <w:jc w:val="center"/>
        <w:rPr>
          <w:rFonts w:ascii="仿宋_GB2312" w:hAnsi="仿宋_GB2312" w:eastAsia="仿宋_GB2312" w:cs="仿宋_GB2312"/>
          <w:b/>
          <w:color w:val="auto"/>
          <w:sz w:val="42"/>
          <w:highlight w:val="none"/>
        </w:rPr>
      </w:pPr>
    </w:p>
    <w:p>
      <w:pPr>
        <w:spacing w:line="288" w:lineRule="auto"/>
        <w:ind w:left="424" w:leftChars="202"/>
        <w:rPr>
          <w:rFonts w:ascii="仿宋_GB2312" w:hAnsi="仿宋_GB2312" w:eastAsia="仿宋_GB2312" w:cs="仿宋_GB2312"/>
          <w:bCs/>
          <w:color w:val="auto"/>
          <w:sz w:val="24"/>
          <w:highlight w:val="none"/>
        </w:rPr>
      </w:pPr>
    </w:p>
    <w:p>
      <w:pPr>
        <w:pStyle w:val="3"/>
        <w:rPr>
          <w:rFonts w:ascii="仿宋_GB2312" w:hAnsi="仿宋_GB2312" w:eastAsia="仿宋_GB2312" w:cs="仿宋_GB2312"/>
          <w:color w:val="auto"/>
          <w:highlight w:val="none"/>
        </w:rPr>
      </w:pPr>
    </w:p>
    <w:p>
      <w:pPr>
        <w:pStyle w:val="3"/>
        <w:rPr>
          <w:rFonts w:ascii="仿宋_GB2312" w:hAnsi="仿宋_GB2312" w:eastAsia="仿宋_GB2312" w:cs="仿宋_GB2312"/>
          <w:color w:val="auto"/>
          <w:highlight w:val="none"/>
        </w:rPr>
      </w:pPr>
    </w:p>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58"/>
    <w:bookmarkEnd w:id="459"/>
    <w:bookmarkEnd w:id="460"/>
    <w:bookmarkEnd w:id="461"/>
    <w:bookmarkEnd w:id="462"/>
    <w:bookmarkEnd w:id="463"/>
    <w:bookmarkEnd w:id="464"/>
    <w:bookmarkEnd w:id="465"/>
    <w:bookmarkEnd w:id="466"/>
    <w:bookmarkEnd w:id="467"/>
    <w:p>
      <w:pPr>
        <w:pStyle w:val="195"/>
        <w:ind w:firstLine="3052" w:firstLineChars="950"/>
        <w:rPr>
          <w:rFonts w:ascii="仿宋" w:hAnsi="仿宋" w:eastAsia="仿宋"/>
          <w:b/>
          <w:color w:val="auto"/>
          <w:sz w:val="32"/>
          <w:szCs w:val="32"/>
          <w:highlight w:val="none"/>
        </w:rPr>
      </w:pPr>
      <w:bookmarkStart w:id="468" w:name="_Toc500747107"/>
      <w:bookmarkStart w:id="469" w:name="_Toc230583555"/>
      <w:bookmarkStart w:id="470" w:name="_Toc232395225"/>
      <w:bookmarkStart w:id="471" w:name="_Toc176882553"/>
      <w:bookmarkStart w:id="472" w:name="_Toc225933091"/>
      <w:bookmarkStart w:id="473" w:name="_Toc53722866"/>
      <w:bookmarkStart w:id="474" w:name="_Toc385992402"/>
      <w:bookmarkStart w:id="475" w:name="_Toc177817345"/>
      <w:bookmarkStart w:id="476" w:name="_Toc230013641"/>
      <w:bookmarkStart w:id="477" w:name="_Toc249515372"/>
      <w:bookmarkStart w:id="478" w:name="_Toc492955460"/>
      <w:bookmarkStart w:id="479" w:name="_Toc184043059"/>
      <w:bookmarkStart w:id="480" w:name="_Toc177189246"/>
      <w:bookmarkStart w:id="481" w:name="_Toc500747011"/>
      <w:bookmarkStart w:id="482" w:name="_Toc83547687"/>
      <w:bookmarkStart w:id="483" w:name="_Toc503063459"/>
      <w:bookmarkStart w:id="484" w:name="_Toc415499902"/>
      <w:bookmarkStart w:id="485" w:name="_Toc70687203"/>
      <w:bookmarkStart w:id="486" w:name="_Toc177995484"/>
      <w:bookmarkStart w:id="487" w:name="_Toc496324624"/>
      <w:bookmarkStart w:id="488" w:name="_Toc499711929"/>
      <w:bookmarkStart w:id="489" w:name="_Toc500747234"/>
      <w:bookmarkStart w:id="490" w:name="_Toc230099806"/>
      <w:bookmarkStart w:id="491" w:name="_Toc249525253"/>
      <w:bookmarkStart w:id="492" w:name="_Toc499711088"/>
      <w:bookmarkStart w:id="493" w:name="_Toc389620242"/>
      <w:bookmarkStart w:id="494" w:name="_Toc232176285"/>
      <w:bookmarkStart w:id="495" w:name="_Toc256342155"/>
      <w:r>
        <w:rPr>
          <w:rFonts w:hint="eastAsia" w:ascii="仿宋" w:hAnsi="仿宋" w:eastAsia="仿宋"/>
          <w:b/>
          <w:color w:val="auto"/>
          <w:sz w:val="32"/>
          <w:szCs w:val="32"/>
          <w:highlight w:val="none"/>
        </w:rPr>
        <w:t>第三部分  偏离表</w:t>
      </w:r>
    </w:p>
    <w:p>
      <w:pPr>
        <w:rPr>
          <w:rFonts w:ascii="仿宋_GB2312" w:hAnsi="仿宋_GB2312" w:eastAsia="仿宋_GB2312" w:cs="仿宋_GB2312"/>
          <w:color w:val="auto"/>
          <w:highlight w:val="none"/>
        </w:rPr>
      </w:pPr>
    </w:p>
    <w:p>
      <w:pPr>
        <w:autoSpaceDE w:val="0"/>
        <w:autoSpaceDN w:val="0"/>
        <w:adjustRightInd w:val="0"/>
        <w:snapToGrid w:val="0"/>
        <w:spacing w:line="360" w:lineRule="auto"/>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一、商务、合同条款偏离表</w:t>
      </w:r>
    </w:p>
    <w:p>
      <w:pPr>
        <w:pStyle w:val="29"/>
        <w:ind w:left="645" w:leftChars="307" w:right="560" w:firstLine="120" w:firstLineChars="50"/>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项目编号:</w:t>
      </w:r>
      <w:r>
        <w:rPr>
          <w:rFonts w:hint="eastAsia" w:ascii="仿宋_GB2312" w:hAnsi="仿宋_GB2312" w:eastAsia="仿宋_GB2312" w:cs="仿宋_GB2312"/>
          <w:color w:val="auto"/>
          <w:sz w:val="24"/>
          <w:szCs w:val="24"/>
          <w:highlight w:val="none"/>
          <w:lang w:eastAsia="zh-CN"/>
        </w:rPr>
        <w:t>HXTDJC20220210</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29"/>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序号</w:t>
            </w:r>
          </w:p>
        </w:tc>
        <w:tc>
          <w:tcPr>
            <w:tcW w:w="2835" w:type="dxa"/>
          </w:tcPr>
          <w:p>
            <w:pPr>
              <w:pStyle w:val="29"/>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磋商文件商务、合同条款</w:t>
            </w:r>
          </w:p>
        </w:tc>
        <w:tc>
          <w:tcPr>
            <w:tcW w:w="1701" w:type="dxa"/>
          </w:tcPr>
          <w:p>
            <w:pPr>
              <w:pStyle w:val="29"/>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完全响应</w:t>
            </w:r>
          </w:p>
        </w:tc>
        <w:tc>
          <w:tcPr>
            <w:tcW w:w="1417" w:type="dxa"/>
          </w:tcPr>
          <w:p>
            <w:pPr>
              <w:pStyle w:val="29"/>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有偏离</w:t>
            </w:r>
          </w:p>
        </w:tc>
        <w:tc>
          <w:tcPr>
            <w:tcW w:w="2195" w:type="dxa"/>
          </w:tcPr>
          <w:p>
            <w:pPr>
              <w:pStyle w:val="29"/>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jc w:val="center"/>
              <w:rPr>
                <w:rFonts w:ascii="仿宋_GB2312" w:hAnsi="仿宋_GB2312" w:eastAsia="仿宋_GB2312" w:cs="仿宋_GB2312"/>
                <w:color w:val="auto"/>
                <w:sz w:val="24"/>
                <w:szCs w:val="24"/>
                <w:highlight w:val="none"/>
              </w:rPr>
            </w:pPr>
          </w:p>
        </w:tc>
        <w:tc>
          <w:tcPr>
            <w:tcW w:w="2835" w:type="dxa"/>
          </w:tcPr>
          <w:p>
            <w:pPr>
              <w:pStyle w:val="29"/>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(服务地点)</w:t>
            </w:r>
          </w:p>
        </w:tc>
        <w:tc>
          <w:tcPr>
            <w:tcW w:w="1701" w:type="dxa"/>
          </w:tcPr>
          <w:p>
            <w:pPr>
              <w:pStyle w:val="29"/>
              <w:jc w:val="center"/>
              <w:rPr>
                <w:rFonts w:ascii="仿宋_GB2312" w:hAnsi="仿宋_GB2312" w:eastAsia="仿宋_GB2312" w:cs="仿宋_GB2312"/>
                <w:color w:val="auto"/>
                <w:sz w:val="24"/>
                <w:szCs w:val="24"/>
                <w:highlight w:val="none"/>
              </w:rPr>
            </w:pPr>
          </w:p>
        </w:tc>
        <w:tc>
          <w:tcPr>
            <w:tcW w:w="1417" w:type="dxa"/>
          </w:tcPr>
          <w:p>
            <w:pPr>
              <w:pStyle w:val="29"/>
              <w:jc w:val="center"/>
              <w:rPr>
                <w:rFonts w:ascii="仿宋_GB2312" w:hAnsi="仿宋_GB2312" w:eastAsia="仿宋_GB2312" w:cs="仿宋_GB2312"/>
                <w:color w:val="auto"/>
                <w:sz w:val="24"/>
                <w:szCs w:val="24"/>
                <w:highlight w:val="none"/>
              </w:rPr>
            </w:pPr>
          </w:p>
        </w:tc>
        <w:tc>
          <w:tcPr>
            <w:tcW w:w="2195" w:type="dxa"/>
          </w:tcPr>
          <w:p>
            <w:pPr>
              <w:pStyle w:val="29"/>
              <w:jc w:val="center"/>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仿宋_GB2312" w:hAnsi="仿宋_GB2312" w:eastAsia="仿宋_GB2312" w:cs="仿宋_GB2312"/>
                <w:color w:val="auto"/>
                <w:sz w:val="24"/>
                <w:szCs w:val="24"/>
                <w:highlight w:val="none"/>
              </w:rPr>
            </w:pPr>
          </w:p>
        </w:tc>
        <w:tc>
          <w:tcPr>
            <w:tcW w:w="2835" w:type="dxa"/>
            <w:vAlign w:val="center"/>
          </w:tcPr>
          <w:p>
            <w:pPr>
              <w:spacing w:line="360" w:lineRule="auto"/>
              <w:jc w:val="center"/>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(服务期)</w:t>
            </w:r>
          </w:p>
        </w:tc>
        <w:tc>
          <w:tcPr>
            <w:tcW w:w="1701" w:type="dxa"/>
          </w:tcPr>
          <w:p>
            <w:pPr>
              <w:pStyle w:val="29"/>
              <w:ind w:left="1080" w:leftChars="257" w:hanging="540"/>
              <w:jc w:val="center"/>
              <w:rPr>
                <w:rFonts w:ascii="仿宋_GB2312" w:hAnsi="仿宋_GB2312" w:eastAsia="仿宋_GB2312" w:cs="仿宋_GB2312"/>
                <w:color w:val="auto"/>
                <w:sz w:val="24"/>
                <w:szCs w:val="24"/>
                <w:highlight w:val="none"/>
              </w:rPr>
            </w:pPr>
          </w:p>
        </w:tc>
        <w:tc>
          <w:tcPr>
            <w:tcW w:w="1417" w:type="dxa"/>
          </w:tcPr>
          <w:p>
            <w:pPr>
              <w:pStyle w:val="29"/>
              <w:ind w:left="1080" w:leftChars="257" w:hanging="540"/>
              <w:jc w:val="center"/>
              <w:rPr>
                <w:rFonts w:ascii="仿宋_GB2312" w:hAnsi="仿宋_GB2312" w:eastAsia="仿宋_GB2312" w:cs="仿宋_GB2312"/>
                <w:color w:val="auto"/>
                <w:sz w:val="24"/>
                <w:szCs w:val="24"/>
                <w:highlight w:val="none"/>
              </w:rPr>
            </w:pPr>
          </w:p>
        </w:tc>
        <w:tc>
          <w:tcPr>
            <w:tcW w:w="2195" w:type="dxa"/>
          </w:tcPr>
          <w:p>
            <w:pPr>
              <w:pStyle w:val="29"/>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仿宋_GB2312" w:hAnsi="仿宋_GB2312" w:eastAsia="仿宋_GB2312" w:cs="仿宋_GB2312"/>
                <w:color w:val="auto"/>
                <w:sz w:val="24"/>
                <w:szCs w:val="24"/>
                <w:highlight w:val="none"/>
              </w:rPr>
            </w:pPr>
          </w:p>
        </w:tc>
        <w:tc>
          <w:tcPr>
            <w:tcW w:w="2835" w:type="dxa"/>
            <w:vAlign w:val="center"/>
          </w:tcPr>
          <w:p>
            <w:pPr>
              <w:spacing w:line="360" w:lineRule="auto"/>
              <w:jc w:val="center"/>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(付款方式)</w:t>
            </w:r>
          </w:p>
        </w:tc>
        <w:tc>
          <w:tcPr>
            <w:tcW w:w="1701" w:type="dxa"/>
          </w:tcPr>
          <w:p>
            <w:pPr>
              <w:pStyle w:val="29"/>
              <w:ind w:left="1080" w:leftChars="257" w:hanging="540"/>
              <w:rPr>
                <w:rFonts w:ascii="仿宋_GB2312" w:hAnsi="仿宋_GB2312" w:eastAsia="仿宋_GB2312" w:cs="仿宋_GB2312"/>
                <w:color w:val="auto"/>
                <w:sz w:val="24"/>
                <w:szCs w:val="24"/>
                <w:highlight w:val="none"/>
              </w:rPr>
            </w:pPr>
          </w:p>
        </w:tc>
        <w:tc>
          <w:tcPr>
            <w:tcW w:w="1417" w:type="dxa"/>
          </w:tcPr>
          <w:p>
            <w:pPr>
              <w:pStyle w:val="29"/>
              <w:ind w:left="1080" w:leftChars="257" w:hanging="540"/>
              <w:rPr>
                <w:rFonts w:ascii="仿宋_GB2312" w:hAnsi="仿宋_GB2312" w:eastAsia="仿宋_GB2312" w:cs="仿宋_GB2312"/>
                <w:color w:val="auto"/>
                <w:sz w:val="24"/>
                <w:szCs w:val="24"/>
                <w:highlight w:val="none"/>
              </w:rPr>
            </w:pPr>
          </w:p>
        </w:tc>
        <w:tc>
          <w:tcPr>
            <w:tcW w:w="2195" w:type="dxa"/>
          </w:tcPr>
          <w:p>
            <w:pPr>
              <w:pStyle w:val="29"/>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仿宋_GB2312" w:hAnsi="仿宋_GB2312" w:eastAsia="仿宋_GB2312" w:cs="仿宋_GB2312"/>
                <w:color w:val="auto"/>
                <w:sz w:val="24"/>
                <w:szCs w:val="24"/>
                <w:highlight w:val="none"/>
              </w:rPr>
            </w:pPr>
          </w:p>
        </w:tc>
        <w:tc>
          <w:tcPr>
            <w:tcW w:w="2835" w:type="dxa"/>
            <w:vAlign w:val="center"/>
          </w:tcPr>
          <w:p>
            <w:pPr>
              <w:spacing w:line="360" w:lineRule="auto"/>
              <w:jc w:val="center"/>
              <w:rPr>
                <w:rFonts w:ascii="仿宋_GB2312" w:hAnsi="仿宋_GB2312" w:eastAsia="仿宋_GB2312" w:cs="仿宋_GB2312"/>
                <w:bCs/>
                <w:color w:val="auto"/>
                <w:sz w:val="24"/>
                <w:highlight w:val="none"/>
              </w:rPr>
            </w:pPr>
            <w:r>
              <w:rPr>
                <w:rFonts w:hint="eastAsia" w:ascii="仿宋_GB2312" w:hAnsi="仿宋_GB2312" w:eastAsia="仿宋_GB2312" w:cs="仿宋_GB2312"/>
                <w:color w:val="auto"/>
                <w:sz w:val="24"/>
                <w:highlight w:val="none"/>
              </w:rPr>
              <w:t>….</w:t>
            </w:r>
          </w:p>
        </w:tc>
        <w:tc>
          <w:tcPr>
            <w:tcW w:w="1701" w:type="dxa"/>
          </w:tcPr>
          <w:p>
            <w:pPr>
              <w:pStyle w:val="29"/>
              <w:ind w:left="1080" w:leftChars="257" w:hanging="540"/>
              <w:rPr>
                <w:rFonts w:ascii="仿宋_GB2312" w:hAnsi="仿宋_GB2312" w:eastAsia="仿宋_GB2312" w:cs="仿宋_GB2312"/>
                <w:color w:val="auto"/>
                <w:sz w:val="24"/>
                <w:szCs w:val="24"/>
                <w:highlight w:val="none"/>
              </w:rPr>
            </w:pPr>
          </w:p>
        </w:tc>
        <w:tc>
          <w:tcPr>
            <w:tcW w:w="1417" w:type="dxa"/>
          </w:tcPr>
          <w:p>
            <w:pPr>
              <w:pStyle w:val="29"/>
              <w:ind w:left="1080" w:leftChars="257" w:hanging="540"/>
              <w:rPr>
                <w:rFonts w:ascii="仿宋_GB2312" w:hAnsi="仿宋_GB2312" w:eastAsia="仿宋_GB2312" w:cs="仿宋_GB2312"/>
                <w:color w:val="auto"/>
                <w:sz w:val="24"/>
                <w:szCs w:val="24"/>
                <w:highlight w:val="none"/>
              </w:rPr>
            </w:pPr>
          </w:p>
        </w:tc>
        <w:tc>
          <w:tcPr>
            <w:tcW w:w="2195" w:type="dxa"/>
          </w:tcPr>
          <w:p>
            <w:pPr>
              <w:pStyle w:val="29"/>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仿宋_GB2312" w:hAnsi="仿宋_GB2312" w:eastAsia="仿宋_GB2312" w:cs="仿宋_GB2312"/>
                <w:color w:val="auto"/>
                <w:sz w:val="24"/>
                <w:szCs w:val="24"/>
                <w:highlight w:val="none"/>
              </w:rPr>
            </w:pPr>
          </w:p>
        </w:tc>
        <w:tc>
          <w:tcPr>
            <w:tcW w:w="2835" w:type="dxa"/>
            <w:vAlign w:val="center"/>
          </w:tcPr>
          <w:p>
            <w:pPr>
              <w:spacing w:line="360" w:lineRule="auto"/>
              <w:jc w:val="center"/>
              <w:rPr>
                <w:rFonts w:ascii="仿宋_GB2312" w:hAnsi="仿宋_GB2312" w:eastAsia="仿宋_GB2312" w:cs="仿宋_GB2312"/>
                <w:bCs/>
                <w:color w:val="auto"/>
                <w:sz w:val="24"/>
                <w:highlight w:val="none"/>
              </w:rPr>
            </w:pPr>
          </w:p>
        </w:tc>
        <w:tc>
          <w:tcPr>
            <w:tcW w:w="1701" w:type="dxa"/>
          </w:tcPr>
          <w:p>
            <w:pPr>
              <w:pStyle w:val="29"/>
              <w:ind w:left="1080" w:leftChars="257" w:hanging="540"/>
              <w:rPr>
                <w:rFonts w:ascii="仿宋_GB2312" w:hAnsi="仿宋_GB2312" w:eastAsia="仿宋_GB2312" w:cs="仿宋_GB2312"/>
                <w:color w:val="auto"/>
                <w:sz w:val="24"/>
                <w:szCs w:val="24"/>
                <w:highlight w:val="none"/>
              </w:rPr>
            </w:pPr>
          </w:p>
        </w:tc>
        <w:tc>
          <w:tcPr>
            <w:tcW w:w="1417" w:type="dxa"/>
          </w:tcPr>
          <w:p>
            <w:pPr>
              <w:pStyle w:val="29"/>
              <w:ind w:left="1080" w:leftChars="257" w:hanging="540"/>
              <w:rPr>
                <w:rFonts w:ascii="仿宋_GB2312" w:hAnsi="仿宋_GB2312" w:eastAsia="仿宋_GB2312" w:cs="仿宋_GB2312"/>
                <w:color w:val="auto"/>
                <w:sz w:val="24"/>
                <w:szCs w:val="24"/>
                <w:highlight w:val="none"/>
              </w:rPr>
            </w:pPr>
          </w:p>
        </w:tc>
        <w:tc>
          <w:tcPr>
            <w:tcW w:w="2195" w:type="dxa"/>
          </w:tcPr>
          <w:p>
            <w:pPr>
              <w:pStyle w:val="29"/>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仿宋_GB2312" w:hAnsi="仿宋_GB2312" w:eastAsia="仿宋_GB2312" w:cs="仿宋_GB2312"/>
                <w:color w:val="auto"/>
                <w:sz w:val="24"/>
                <w:szCs w:val="24"/>
                <w:highlight w:val="none"/>
              </w:rPr>
            </w:pPr>
          </w:p>
        </w:tc>
        <w:tc>
          <w:tcPr>
            <w:tcW w:w="2835" w:type="dxa"/>
            <w:vAlign w:val="center"/>
          </w:tcPr>
          <w:p>
            <w:pPr>
              <w:spacing w:line="360" w:lineRule="auto"/>
              <w:jc w:val="center"/>
              <w:rPr>
                <w:rFonts w:ascii="仿宋_GB2312" w:hAnsi="仿宋_GB2312" w:eastAsia="仿宋_GB2312" w:cs="仿宋_GB2312"/>
                <w:bCs/>
                <w:color w:val="auto"/>
                <w:sz w:val="24"/>
                <w:highlight w:val="none"/>
              </w:rPr>
            </w:pPr>
          </w:p>
        </w:tc>
        <w:tc>
          <w:tcPr>
            <w:tcW w:w="1701" w:type="dxa"/>
          </w:tcPr>
          <w:p>
            <w:pPr>
              <w:pStyle w:val="29"/>
              <w:ind w:left="1080" w:leftChars="257" w:hanging="540"/>
              <w:rPr>
                <w:rFonts w:ascii="仿宋_GB2312" w:hAnsi="仿宋_GB2312" w:eastAsia="仿宋_GB2312" w:cs="仿宋_GB2312"/>
                <w:color w:val="auto"/>
                <w:sz w:val="24"/>
                <w:szCs w:val="24"/>
                <w:highlight w:val="none"/>
              </w:rPr>
            </w:pPr>
          </w:p>
        </w:tc>
        <w:tc>
          <w:tcPr>
            <w:tcW w:w="1417" w:type="dxa"/>
          </w:tcPr>
          <w:p>
            <w:pPr>
              <w:pStyle w:val="29"/>
              <w:ind w:left="1080" w:leftChars="257" w:hanging="540"/>
              <w:rPr>
                <w:rFonts w:ascii="仿宋_GB2312" w:hAnsi="仿宋_GB2312" w:eastAsia="仿宋_GB2312" w:cs="仿宋_GB2312"/>
                <w:color w:val="auto"/>
                <w:sz w:val="24"/>
                <w:szCs w:val="24"/>
                <w:highlight w:val="none"/>
              </w:rPr>
            </w:pPr>
          </w:p>
        </w:tc>
        <w:tc>
          <w:tcPr>
            <w:tcW w:w="2195" w:type="dxa"/>
          </w:tcPr>
          <w:p>
            <w:pPr>
              <w:pStyle w:val="29"/>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仿宋_GB2312" w:hAnsi="仿宋_GB2312" w:eastAsia="仿宋_GB2312" w:cs="仿宋_GB2312"/>
                <w:color w:val="auto"/>
                <w:sz w:val="24"/>
                <w:szCs w:val="24"/>
                <w:highlight w:val="none"/>
              </w:rPr>
            </w:pPr>
          </w:p>
        </w:tc>
        <w:tc>
          <w:tcPr>
            <w:tcW w:w="2835" w:type="dxa"/>
          </w:tcPr>
          <w:p>
            <w:pPr>
              <w:pStyle w:val="29"/>
              <w:ind w:left="1080" w:leftChars="257" w:hanging="540"/>
              <w:rPr>
                <w:rFonts w:ascii="仿宋_GB2312" w:hAnsi="仿宋_GB2312" w:eastAsia="仿宋_GB2312" w:cs="仿宋_GB2312"/>
                <w:color w:val="auto"/>
                <w:sz w:val="24"/>
                <w:szCs w:val="24"/>
                <w:highlight w:val="none"/>
              </w:rPr>
            </w:pPr>
          </w:p>
        </w:tc>
        <w:tc>
          <w:tcPr>
            <w:tcW w:w="1701" w:type="dxa"/>
          </w:tcPr>
          <w:p>
            <w:pPr>
              <w:pStyle w:val="29"/>
              <w:ind w:left="1080" w:leftChars="257" w:hanging="540"/>
              <w:rPr>
                <w:rFonts w:ascii="仿宋_GB2312" w:hAnsi="仿宋_GB2312" w:eastAsia="仿宋_GB2312" w:cs="仿宋_GB2312"/>
                <w:color w:val="auto"/>
                <w:sz w:val="24"/>
                <w:szCs w:val="24"/>
                <w:highlight w:val="none"/>
              </w:rPr>
            </w:pPr>
          </w:p>
        </w:tc>
        <w:tc>
          <w:tcPr>
            <w:tcW w:w="1417" w:type="dxa"/>
          </w:tcPr>
          <w:p>
            <w:pPr>
              <w:pStyle w:val="29"/>
              <w:ind w:left="1080" w:leftChars="257" w:hanging="540"/>
              <w:rPr>
                <w:rFonts w:ascii="仿宋_GB2312" w:hAnsi="仿宋_GB2312" w:eastAsia="仿宋_GB2312" w:cs="仿宋_GB2312"/>
                <w:color w:val="auto"/>
                <w:sz w:val="24"/>
                <w:szCs w:val="24"/>
                <w:highlight w:val="none"/>
              </w:rPr>
            </w:pPr>
          </w:p>
        </w:tc>
        <w:tc>
          <w:tcPr>
            <w:tcW w:w="2195" w:type="dxa"/>
          </w:tcPr>
          <w:p>
            <w:pPr>
              <w:pStyle w:val="29"/>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仿宋_GB2312" w:hAnsi="仿宋_GB2312" w:eastAsia="仿宋_GB2312" w:cs="仿宋_GB2312"/>
                <w:color w:val="auto"/>
                <w:sz w:val="24"/>
                <w:szCs w:val="24"/>
                <w:highlight w:val="none"/>
              </w:rPr>
            </w:pPr>
          </w:p>
        </w:tc>
        <w:tc>
          <w:tcPr>
            <w:tcW w:w="2835" w:type="dxa"/>
          </w:tcPr>
          <w:p>
            <w:pPr>
              <w:pStyle w:val="29"/>
              <w:ind w:left="1080" w:leftChars="257" w:hanging="540"/>
              <w:rPr>
                <w:rFonts w:ascii="仿宋_GB2312" w:hAnsi="仿宋_GB2312" w:eastAsia="仿宋_GB2312" w:cs="仿宋_GB2312"/>
                <w:color w:val="auto"/>
                <w:sz w:val="24"/>
                <w:szCs w:val="24"/>
                <w:highlight w:val="none"/>
              </w:rPr>
            </w:pPr>
          </w:p>
        </w:tc>
        <w:tc>
          <w:tcPr>
            <w:tcW w:w="1701" w:type="dxa"/>
          </w:tcPr>
          <w:p>
            <w:pPr>
              <w:pStyle w:val="29"/>
              <w:ind w:left="1080" w:leftChars="257" w:hanging="540"/>
              <w:rPr>
                <w:rFonts w:ascii="仿宋_GB2312" w:hAnsi="仿宋_GB2312" w:eastAsia="仿宋_GB2312" w:cs="仿宋_GB2312"/>
                <w:color w:val="auto"/>
                <w:sz w:val="24"/>
                <w:szCs w:val="24"/>
                <w:highlight w:val="none"/>
              </w:rPr>
            </w:pPr>
          </w:p>
        </w:tc>
        <w:tc>
          <w:tcPr>
            <w:tcW w:w="1417" w:type="dxa"/>
          </w:tcPr>
          <w:p>
            <w:pPr>
              <w:pStyle w:val="29"/>
              <w:ind w:left="1080" w:leftChars="257" w:hanging="540"/>
              <w:rPr>
                <w:rFonts w:ascii="仿宋_GB2312" w:hAnsi="仿宋_GB2312" w:eastAsia="仿宋_GB2312" w:cs="仿宋_GB2312"/>
                <w:color w:val="auto"/>
                <w:sz w:val="24"/>
                <w:szCs w:val="24"/>
                <w:highlight w:val="none"/>
              </w:rPr>
            </w:pPr>
          </w:p>
        </w:tc>
        <w:tc>
          <w:tcPr>
            <w:tcW w:w="2195" w:type="dxa"/>
          </w:tcPr>
          <w:p>
            <w:pPr>
              <w:pStyle w:val="29"/>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仿宋_GB2312" w:hAnsi="仿宋_GB2312" w:eastAsia="仿宋_GB2312" w:cs="仿宋_GB2312"/>
                <w:color w:val="auto"/>
                <w:sz w:val="24"/>
                <w:szCs w:val="24"/>
                <w:highlight w:val="none"/>
              </w:rPr>
            </w:pPr>
          </w:p>
        </w:tc>
        <w:tc>
          <w:tcPr>
            <w:tcW w:w="2835" w:type="dxa"/>
          </w:tcPr>
          <w:p>
            <w:pPr>
              <w:pStyle w:val="29"/>
              <w:ind w:left="1080" w:leftChars="257" w:hanging="540"/>
              <w:rPr>
                <w:rFonts w:ascii="仿宋_GB2312" w:hAnsi="仿宋_GB2312" w:eastAsia="仿宋_GB2312" w:cs="仿宋_GB2312"/>
                <w:color w:val="auto"/>
                <w:sz w:val="24"/>
                <w:szCs w:val="24"/>
                <w:highlight w:val="none"/>
              </w:rPr>
            </w:pPr>
          </w:p>
        </w:tc>
        <w:tc>
          <w:tcPr>
            <w:tcW w:w="1701" w:type="dxa"/>
          </w:tcPr>
          <w:p>
            <w:pPr>
              <w:pStyle w:val="29"/>
              <w:ind w:left="1080" w:leftChars="257" w:hanging="540"/>
              <w:rPr>
                <w:rFonts w:ascii="仿宋_GB2312" w:hAnsi="仿宋_GB2312" w:eastAsia="仿宋_GB2312" w:cs="仿宋_GB2312"/>
                <w:color w:val="auto"/>
                <w:sz w:val="24"/>
                <w:szCs w:val="24"/>
                <w:highlight w:val="none"/>
              </w:rPr>
            </w:pPr>
          </w:p>
        </w:tc>
        <w:tc>
          <w:tcPr>
            <w:tcW w:w="1417" w:type="dxa"/>
          </w:tcPr>
          <w:p>
            <w:pPr>
              <w:pStyle w:val="29"/>
              <w:ind w:left="1080" w:leftChars="257" w:hanging="540"/>
              <w:rPr>
                <w:rFonts w:ascii="仿宋_GB2312" w:hAnsi="仿宋_GB2312" w:eastAsia="仿宋_GB2312" w:cs="仿宋_GB2312"/>
                <w:color w:val="auto"/>
                <w:sz w:val="24"/>
                <w:szCs w:val="24"/>
                <w:highlight w:val="none"/>
              </w:rPr>
            </w:pPr>
          </w:p>
        </w:tc>
        <w:tc>
          <w:tcPr>
            <w:tcW w:w="2195" w:type="dxa"/>
          </w:tcPr>
          <w:p>
            <w:pPr>
              <w:pStyle w:val="29"/>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仿宋_GB2312" w:hAnsi="仿宋_GB2312" w:eastAsia="仿宋_GB2312" w:cs="仿宋_GB2312"/>
                <w:color w:val="auto"/>
                <w:sz w:val="24"/>
                <w:szCs w:val="24"/>
                <w:highlight w:val="none"/>
              </w:rPr>
            </w:pPr>
          </w:p>
        </w:tc>
        <w:tc>
          <w:tcPr>
            <w:tcW w:w="2835" w:type="dxa"/>
          </w:tcPr>
          <w:p>
            <w:pPr>
              <w:pStyle w:val="29"/>
              <w:ind w:left="1080" w:leftChars="257" w:hanging="540"/>
              <w:rPr>
                <w:rFonts w:ascii="仿宋_GB2312" w:hAnsi="仿宋_GB2312" w:eastAsia="仿宋_GB2312" w:cs="仿宋_GB2312"/>
                <w:color w:val="auto"/>
                <w:sz w:val="24"/>
                <w:szCs w:val="24"/>
                <w:highlight w:val="none"/>
              </w:rPr>
            </w:pPr>
          </w:p>
        </w:tc>
        <w:tc>
          <w:tcPr>
            <w:tcW w:w="1701" w:type="dxa"/>
          </w:tcPr>
          <w:p>
            <w:pPr>
              <w:pStyle w:val="29"/>
              <w:ind w:left="1080" w:leftChars="257" w:hanging="540"/>
              <w:rPr>
                <w:rFonts w:ascii="仿宋_GB2312" w:hAnsi="仿宋_GB2312" w:eastAsia="仿宋_GB2312" w:cs="仿宋_GB2312"/>
                <w:color w:val="auto"/>
                <w:sz w:val="24"/>
                <w:szCs w:val="24"/>
                <w:highlight w:val="none"/>
              </w:rPr>
            </w:pPr>
          </w:p>
        </w:tc>
        <w:tc>
          <w:tcPr>
            <w:tcW w:w="1417" w:type="dxa"/>
          </w:tcPr>
          <w:p>
            <w:pPr>
              <w:pStyle w:val="29"/>
              <w:ind w:left="1080" w:leftChars="257" w:hanging="540"/>
              <w:rPr>
                <w:rFonts w:ascii="仿宋_GB2312" w:hAnsi="仿宋_GB2312" w:eastAsia="仿宋_GB2312" w:cs="仿宋_GB2312"/>
                <w:color w:val="auto"/>
                <w:sz w:val="24"/>
                <w:szCs w:val="24"/>
                <w:highlight w:val="none"/>
              </w:rPr>
            </w:pPr>
          </w:p>
        </w:tc>
        <w:tc>
          <w:tcPr>
            <w:tcW w:w="2195" w:type="dxa"/>
          </w:tcPr>
          <w:p>
            <w:pPr>
              <w:pStyle w:val="29"/>
              <w:ind w:left="1080" w:leftChars="257" w:hanging="540"/>
              <w:rPr>
                <w:rFonts w:ascii="仿宋_GB2312" w:hAnsi="仿宋_GB2312" w:eastAsia="仿宋_GB2312" w:cs="仿宋_GB2312"/>
                <w:color w:val="auto"/>
                <w:sz w:val="24"/>
                <w:szCs w:val="24"/>
                <w:highlight w:val="none"/>
              </w:rPr>
            </w:pPr>
          </w:p>
        </w:tc>
      </w:tr>
    </w:tbl>
    <w:p>
      <w:pPr>
        <w:pStyle w:val="29"/>
        <w:ind w:left="1080" w:leftChars="257" w:hanging="540"/>
        <w:rPr>
          <w:rFonts w:ascii="仿宋_GB2312" w:hAnsi="仿宋_GB2312" w:eastAsia="仿宋_GB2312" w:cs="仿宋_GB2312"/>
          <w:color w:val="auto"/>
          <w:sz w:val="24"/>
          <w:szCs w:val="24"/>
          <w:highlight w:val="none"/>
        </w:rPr>
      </w:pP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供应商（公章）： 法定代表人或其授权代表（签字或盖章）：</w:t>
      </w:r>
    </w:p>
    <w:p>
      <w:pPr>
        <w:spacing w:before="120" w:after="120" w:line="360" w:lineRule="auto"/>
        <w:ind w:firstLine="4320" w:firstLineChars="18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期：年月日</w:t>
      </w:r>
    </w:p>
    <w:p>
      <w:pPr>
        <w:snapToGrid w:val="0"/>
        <w:spacing w:afterLines="50"/>
        <w:ind w:left="910" w:leftChars="203" w:hanging="484" w:hangingChars="202"/>
        <w:rPr>
          <w:rFonts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注：</w:t>
      </w:r>
      <w:r>
        <w:rPr>
          <w:rFonts w:hint="eastAsia" w:ascii="仿宋_GB2312" w:hAnsi="仿宋_GB2312" w:eastAsia="仿宋_GB2312" w:cs="仿宋_GB2312"/>
          <w:color w:val="auto"/>
          <w:highlight w:val="none"/>
        </w:rPr>
        <w:tab/>
      </w:r>
      <w:r>
        <w:rPr>
          <w:rFonts w:hint="eastAsia" w:ascii="仿宋_GB2312" w:hAnsi="仿宋_GB2312" w:eastAsia="仿宋_GB2312" w:cs="仿宋_GB2312"/>
          <w:color w:val="auto"/>
          <w:highlight w:val="none"/>
        </w:rPr>
        <w:t>1、对完全响应的，在下表相应列中标注“○”。对有偏离的条目在本表相应列中标注“正偏离”或“负偏离”，并在“偏离简述”栏中加以说明。</w:t>
      </w:r>
    </w:p>
    <w:p>
      <w:pPr>
        <w:snapToGrid w:val="0"/>
        <w:spacing w:afterLines="50"/>
        <w:ind w:left="842" w:leftChars="401"/>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2、正偏离是指应答的条件高于磋商文件要求，负偏离是指应答的条件低于磋商文件要求，正偏离项目不作扣分处理。</w:t>
      </w:r>
    </w:p>
    <w:p>
      <w:pPr>
        <w:snapToGrid w:val="0"/>
        <w:spacing w:afterLines="50"/>
        <w:ind w:left="842" w:leftChars="401"/>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3、供应商须完整填写响应表。如果未完整填写本表的各项内容则视作供应商已经对磋商文件相关要求和内容完全理解并同意，其报价为在此基础上的完全价格。</w:t>
      </w:r>
    </w:p>
    <w:p>
      <w:pPr>
        <w:snapToGrid w:val="0"/>
        <w:spacing w:afterLines="50"/>
        <w:ind w:left="842" w:leftChars="401"/>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29"/>
        <w:ind w:left="1080" w:leftChars="257" w:hanging="540"/>
        <w:rPr>
          <w:rFonts w:ascii="仿宋_GB2312" w:hAnsi="仿宋_GB2312" w:eastAsia="仿宋_GB2312" w:cs="仿宋_GB2312"/>
          <w:color w:val="auto"/>
          <w:sz w:val="24"/>
          <w:szCs w:val="24"/>
          <w:highlight w:val="none"/>
        </w:rPr>
      </w:pPr>
    </w:p>
    <w:p>
      <w:pPr>
        <w:jc w:val="center"/>
        <w:rPr>
          <w:rFonts w:ascii="仿宋_GB2312" w:hAnsi="仿宋_GB2312" w:eastAsia="仿宋_GB2312" w:cs="仿宋_GB2312"/>
          <w:b/>
          <w:color w:val="auto"/>
          <w:sz w:val="28"/>
          <w:szCs w:val="28"/>
          <w:highlight w:val="none"/>
        </w:rPr>
      </w:pPr>
      <w:bookmarkStart w:id="496" w:name="_Toc7005136"/>
      <w:bookmarkStart w:id="497" w:name="_Toc410631184"/>
      <w:bookmarkStart w:id="498" w:name="_Toc414445775"/>
      <w:bookmarkStart w:id="499" w:name="_Toc416103825"/>
      <w:r>
        <w:rPr>
          <w:rFonts w:hint="eastAsia" w:ascii="仿宋_GB2312" w:hAnsi="仿宋_GB2312" w:eastAsia="仿宋_GB2312" w:cs="仿宋_GB2312"/>
          <w:b/>
          <w:color w:val="auto"/>
          <w:sz w:val="28"/>
          <w:szCs w:val="28"/>
          <w:highlight w:val="none"/>
        </w:rPr>
        <w:br w:type="page"/>
      </w:r>
      <w:r>
        <w:rPr>
          <w:rFonts w:hint="eastAsia" w:ascii="仿宋_GB2312" w:hAnsi="仿宋_GB2312" w:eastAsia="仿宋_GB2312" w:cs="仿宋_GB2312"/>
          <w:b/>
          <w:color w:val="auto"/>
          <w:sz w:val="28"/>
          <w:szCs w:val="28"/>
          <w:highlight w:val="none"/>
        </w:rPr>
        <w:t>二、技术偏离表</w:t>
      </w:r>
      <w:bookmarkEnd w:id="496"/>
      <w:bookmarkEnd w:id="497"/>
      <w:bookmarkEnd w:id="498"/>
      <w:bookmarkEnd w:id="499"/>
    </w:p>
    <w:p>
      <w:pPr>
        <w:spacing w:after="240"/>
        <w:ind w:hanging="119"/>
        <w:rPr>
          <w:rFonts w:ascii="仿宋_GB2312" w:hAnsi="仿宋_GB2312" w:eastAsia="仿宋_GB2312" w:cs="仿宋_GB2312"/>
          <w:color w:val="auto"/>
          <w:highlight w:val="none"/>
        </w:rPr>
      </w:pPr>
    </w:p>
    <w:p>
      <w:pPr>
        <w:spacing w:after="240"/>
        <w:ind w:left="105" w:leftChars="50" w:firstLine="360" w:firstLineChars="15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项目编号:</w:t>
      </w:r>
      <w:r>
        <w:rPr>
          <w:rFonts w:hint="eastAsia" w:ascii="仿宋_GB2312" w:hAnsi="仿宋_GB2312" w:eastAsia="仿宋_GB2312" w:cs="仿宋_GB2312"/>
          <w:color w:val="auto"/>
          <w:sz w:val="24"/>
          <w:highlight w:val="none"/>
          <w:lang w:eastAsia="zh-CN"/>
        </w:rPr>
        <w:t>HXTDJC20220210</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磋商文件条目号</w:t>
            </w:r>
          </w:p>
        </w:tc>
        <w:tc>
          <w:tcPr>
            <w:tcW w:w="1932" w:type="dxa"/>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技术条款要求</w:t>
            </w:r>
          </w:p>
        </w:tc>
        <w:tc>
          <w:tcPr>
            <w:tcW w:w="1236" w:type="dxa"/>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完全响应</w:t>
            </w:r>
          </w:p>
        </w:tc>
        <w:tc>
          <w:tcPr>
            <w:tcW w:w="1236" w:type="dxa"/>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有偏离</w:t>
            </w:r>
          </w:p>
        </w:tc>
        <w:tc>
          <w:tcPr>
            <w:tcW w:w="2394" w:type="dxa"/>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color w:val="auto"/>
                <w:sz w:val="24"/>
                <w:highlight w:val="none"/>
              </w:rPr>
            </w:pPr>
          </w:p>
        </w:tc>
        <w:tc>
          <w:tcPr>
            <w:tcW w:w="1932"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2394" w:type="dxa"/>
          </w:tcPr>
          <w:p>
            <w:pPr>
              <w:spacing w:line="400" w:lineRule="exact"/>
              <w:rPr>
                <w:rFonts w:ascii="仿宋_GB2312" w:hAnsi="仿宋_GB2312" w:eastAsia="仿宋_GB2312" w:cs="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color w:val="auto"/>
                <w:sz w:val="24"/>
                <w:highlight w:val="none"/>
              </w:rPr>
            </w:pPr>
          </w:p>
        </w:tc>
        <w:tc>
          <w:tcPr>
            <w:tcW w:w="1932"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2394" w:type="dxa"/>
          </w:tcPr>
          <w:p>
            <w:pPr>
              <w:spacing w:line="400" w:lineRule="exact"/>
              <w:rPr>
                <w:rFonts w:ascii="仿宋_GB2312" w:hAnsi="仿宋_GB2312" w:eastAsia="仿宋_GB2312" w:cs="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color w:val="auto"/>
                <w:sz w:val="24"/>
                <w:highlight w:val="none"/>
              </w:rPr>
            </w:pPr>
          </w:p>
        </w:tc>
        <w:tc>
          <w:tcPr>
            <w:tcW w:w="1932"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2394" w:type="dxa"/>
          </w:tcPr>
          <w:p>
            <w:pPr>
              <w:spacing w:line="400" w:lineRule="exact"/>
              <w:rPr>
                <w:rFonts w:ascii="仿宋_GB2312" w:hAnsi="仿宋_GB2312" w:eastAsia="仿宋_GB2312" w:cs="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color w:val="auto"/>
                <w:sz w:val="24"/>
                <w:highlight w:val="none"/>
              </w:rPr>
            </w:pPr>
          </w:p>
        </w:tc>
        <w:tc>
          <w:tcPr>
            <w:tcW w:w="1932"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2394" w:type="dxa"/>
          </w:tcPr>
          <w:p>
            <w:pPr>
              <w:spacing w:line="400" w:lineRule="exact"/>
              <w:rPr>
                <w:rFonts w:ascii="仿宋_GB2312" w:hAnsi="仿宋_GB2312" w:eastAsia="仿宋_GB2312" w:cs="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color w:val="auto"/>
                <w:sz w:val="24"/>
                <w:highlight w:val="none"/>
              </w:rPr>
            </w:pPr>
          </w:p>
        </w:tc>
        <w:tc>
          <w:tcPr>
            <w:tcW w:w="1932"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2394" w:type="dxa"/>
          </w:tcPr>
          <w:p>
            <w:pPr>
              <w:spacing w:line="400" w:lineRule="exact"/>
              <w:rPr>
                <w:rFonts w:ascii="仿宋_GB2312" w:hAnsi="仿宋_GB2312" w:eastAsia="仿宋_GB2312" w:cs="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color w:val="auto"/>
                <w:sz w:val="24"/>
                <w:highlight w:val="none"/>
              </w:rPr>
            </w:pPr>
          </w:p>
        </w:tc>
        <w:tc>
          <w:tcPr>
            <w:tcW w:w="1932" w:type="dxa"/>
          </w:tcPr>
          <w:p>
            <w:pPr>
              <w:spacing w:line="400" w:lineRule="exact"/>
              <w:rPr>
                <w:rFonts w:ascii="仿宋_GB2312" w:hAnsi="仿宋_GB2312" w:eastAsia="仿宋_GB2312" w:cs="仿宋_GB2312"/>
                <w:bCs/>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2394" w:type="dxa"/>
          </w:tcPr>
          <w:p>
            <w:pPr>
              <w:spacing w:line="400" w:lineRule="exact"/>
              <w:rPr>
                <w:rFonts w:ascii="仿宋_GB2312" w:hAnsi="仿宋_GB2312" w:eastAsia="仿宋_GB2312" w:cs="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color w:val="auto"/>
                <w:sz w:val="24"/>
                <w:highlight w:val="none"/>
              </w:rPr>
            </w:pPr>
          </w:p>
        </w:tc>
        <w:tc>
          <w:tcPr>
            <w:tcW w:w="1932" w:type="dxa"/>
          </w:tcPr>
          <w:p>
            <w:pPr>
              <w:spacing w:line="400" w:lineRule="exact"/>
              <w:rPr>
                <w:rFonts w:ascii="仿宋_GB2312" w:hAnsi="仿宋_GB2312" w:eastAsia="仿宋_GB2312" w:cs="仿宋_GB2312"/>
                <w:bCs/>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2394" w:type="dxa"/>
          </w:tcPr>
          <w:p>
            <w:pPr>
              <w:spacing w:line="400" w:lineRule="exact"/>
              <w:rPr>
                <w:rFonts w:ascii="仿宋_GB2312" w:hAnsi="仿宋_GB2312" w:eastAsia="仿宋_GB2312" w:cs="仿宋_GB2312"/>
                <w:color w:val="auto"/>
                <w:sz w:val="24"/>
                <w:highlight w:val="none"/>
              </w:rPr>
            </w:pPr>
          </w:p>
        </w:tc>
      </w:tr>
    </w:tbl>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 xml:space="preserve">供应商（公章）： </w:t>
      </w: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法定代表人或其授权代表（签字或盖章）：</w:t>
      </w:r>
    </w:p>
    <w:p>
      <w:pPr>
        <w:spacing w:before="120" w:after="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期：年月日</w:t>
      </w:r>
    </w:p>
    <w:p>
      <w:pPr>
        <w:spacing w:line="360" w:lineRule="auto"/>
        <w:rPr>
          <w:rFonts w:ascii="仿宋_GB2312" w:hAnsi="仿宋_GB2312" w:eastAsia="仿宋_GB2312" w:cs="仿宋_GB2312"/>
          <w:color w:val="auto"/>
          <w:highlight w:val="none"/>
        </w:rPr>
      </w:pPr>
    </w:p>
    <w:p>
      <w:pPr>
        <w:snapToGrid w:val="0"/>
        <w:spacing w:afterLines="50"/>
        <w:ind w:left="850" w:hanging="850" w:hangingChars="405"/>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注：1.</w:t>
      </w:r>
      <w:r>
        <w:rPr>
          <w:rFonts w:hint="eastAsia" w:ascii="仿宋_GB2312" w:hAnsi="仿宋_GB2312" w:eastAsia="仿宋_GB2312" w:cs="仿宋_GB2312"/>
          <w:color w:val="auto"/>
          <w:highlight w:val="none"/>
        </w:rPr>
        <w:tab/>
      </w:r>
      <w:r>
        <w:rPr>
          <w:rFonts w:hint="eastAsia" w:ascii="仿宋_GB2312" w:hAnsi="仿宋_GB2312" w:eastAsia="仿宋_GB2312" w:cs="仿宋_GB2312"/>
          <w:color w:val="auto"/>
          <w:highlight w:val="none"/>
        </w:rPr>
        <w:t>对完全响应的条目在本表相应列中标注“○”。对有偏离的条目在本表相应列中标注“正偏离”或“负偏离”。并在“偏离简述”栏中加以说明。</w:t>
      </w:r>
    </w:p>
    <w:p>
      <w:pPr>
        <w:tabs>
          <w:tab w:val="left" w:pos="1200"/>
        </w:tabs>
        <w:snapToGrid w:val="0"/>
        <w:spacing w:afterLines="50"/>
        <w:ind w:left="850" w:leftChars="203" w:hanging="424" w:hangingChars="202"/>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r>
        <w:rPr>
          <w:rFonts w:hint="eastAsia" w:ascii="仿宋_GB2312" w:hAnsi="仿宋_GB2312" w:eastAsia="仿宋_GB2312" w:cs="仿宋_GB2312"/>
          <w:color w:val="auto"/>
          <w:highlight w:val="none"/>
        </w:rPr>
        <w:tab/>
      </w:r>
      <w:r>
        <w:rPr>
          <w:rFonts w:hint="eastAsia" w:ascii="仿宋_GB2312" w:hAnsi="仿宋_GB2312" w:eastAsia="仿宋_GB2312" w:cs="仿宋_GB2312"/>
          <w:color w:val="auto"/>
          <w:highlight w:val="none"/>
        </w:rPr>
        <w:t>正偏离是指应答的条件高于磋商文件要求，负偏离是指应答的条件低于磋商文件要求，正偏离项目不作扣分处理。</w:t>
      </w:r>
    </w:p>
    <w:p>
      <w:pPr>
        <w:tabs>
          <w:tab w:val="left" w:pos="1200"/>
        </w:tabs>
        <w:snapToGrid w:val="0"/>
        <w:spacing w:afterLines="50"/>
        <w:ind w:left="850" w:leftChars="203" w:hanging="424" w:hangingChars="202"/>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w:t>
      </w:r>
      <w:r>
        <w:rPr>
          <w:rFonts w:hint="eastAsia" w:ascii="仿宋_GB2312" w:hAnsi="仿宋_GB2312" w:eastAsia="仿宋_GB2312" w:cs="仿宋_GB2312"/>
          <w:color w:val="auto"/>
          <w:highlight w:val="none"/>
        </w:rPr>
        <w:tab/>
      </w:r>
      <w:r>
        <w:rPr>
          <w:rFonts w:hint="eastAsia" w:ascii="仿宋_GB2312" w:hAnsi="仿宋_GB2312" w:eastAsia="仿宋_GB2312" w:cs="仿宋_GB2312"/>
          <w:color w:val="auto"/>
          <w:highlight w:val="none"/>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Lines="50"/>
        <w:ind w:left="850" w:leftChars="203" w:hanging="424" w:hangingChars="202"/>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w:t>
      </w:r>
      <w:r>
        <w:rPr>
          <w:rFonts w:hint="eastAsia" w:ascii="仿宋_GB2312" w:hAnsi="仿宋_GB2312" w:eastAsia="仿宋_GB2312" w:cs="仿宋_GB2312"/>
          <w:color w:val="auto"/>
          <w:highlight w:val="none"/>
        </w:rPr>
        <w:tab/>
      </w:r>
      <w:r>
        <w:rPr>
          <w:rFonts w:hint="eastAsia" w:ascii="仿宋_GB2312" w:hAnsi="仿宋_GB2312" w:eastAsia="仿宋_GB2312" w:cs="仿宋_GB2312"/>
          <w:color w:val="auto"/>
          <w:highlight w:val="none"/>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ascii="仿宋_GB2312" w:hAnsi="仿宋_GB2312" w:eastAsia="仿宋_GB2312" w:cs="仿宋_GB2312"/>
          <w:b/>
          <w:color w:val="auto"/>
          <w:sz w:val="32"/>
          <w:szCs w:val="32"/>
          <w:highlight w:val="none"/>
        </w:rPr>
      </w:pPr>
    </w:p>
    <w:p>
      <w:pPr>
        <w:autoSpaceDE w:val="0"/>
        <w:autoSpaceDN w:val="0"/>
        <w:adjustRightInd w:val="0"/>
        <w:snapToGrid w:val="0"/>
        <w:spacing w:line="360" w:lineRule="auto"/>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color w:val="auto"/>
          <w:highlight w:val="none"/>
        </w:rPr>
        <w:br w:type="page"/>
      </w:r>
    </w:p>
    <w:p>
      <w:pPr>
        <w:pStyle w:val="195"/>
        <w:ind w:firstLine="2570" w:firstLineChars="800"/>
        <w:rPr>
          <w:rFonts w:ascii="仿宋" w:hAnsi="仿宋" w:eastAsia="仿宋"/>
          <w:b/>
          <w:color w:val="auto"/>
          <w:sz w:val="32"/>
          <w:szCs w:val="32"/>
          <w:highlight w:val="none"/>
        </w:rPr>
      </w:pPr>
      <w:r>
        <w:rPr>
          <w:rFonts w:hint="eastAsia" w:ascii="仿宋" w:hAnsi="仿宋" w:eastAsia="仿宋"/>
          <w:b/>
          <w:color w:val="auto"/>
          <w:sz w:val="32"/>
          <w:szCs w:val="32"/>
          <w:highlight w:val="none"/>
        </w:rPr>
        <w:t>第四部分  响应方案说明</w:t>
      </w:r>
    </w:p>
    <w:p>
      <w:pPr>
        <w:pStyle w:val="3"/>
        <w:rPr>
          <w:rFonts w:ascii="仿宋_GB2312" w:hAnsi="仿宋_GB2312" w:eastAsia="仿宋_GB2312" w:cs="仿宋_GB2312"/>
          <w:color w:val="auto"/>
          <w:highlight w:val="none"/>
          <w:lang w:val="zh-CN"/>
        </w:rPr>
      </w:pPr>
    </w:p>
    <w:p>
      <w:pPr>
        <w:autoSpaceDE w:val="0"/>
        <w:autoSpaceDN w:val="0"/>
        <w:adjustRightInd w:val="0"/>
        <w:spacing w:line="360" w:lineRule="auto"/>
        <w:jc w:val="center"/>
        <w:rPr>
          <w:rFonts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（格式自拟，内容需符合评审办法中要求的内容要求）</w:t>
      </w:r>
    </w:p>
    <w:p>
      <w:pPr>
        <w:pStyle w:val="3"/>
        <w:rPr>
          <w:rFonts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br w:type="page"/>
      </w:r>
    </w:p>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Pr>
        <w:pStyle w:val="195"/>
        <w:ind w:firstLine="0"/>
        <w:rPr>
          <w:rFonts w:ascii="仿宋" w:hAnsi="仿宋" w:eastAsia="仿宋"/>
          <w:b/>
          <w:color w:val="auto"/>
          <w:sz w:val="32"/>
          <w:szCs w:val="32"/>
          <w:highlight w:val="none"/>
        </w:rPr>
      </w:pPr>
      <w:r>
        <w:rPr>
          <w:rFonts w:hint="eastAsia" w:ascii="仿宋" w:hAnsi="仿宋" w:eastAsia="仿宋"/>
          <w:b/>
          <w:color w:val="auto"/>
          <w:sz w:val="32"/>
          <w:szCs w:val="32"/>
          <w:highlight w:val="none"/>
        </w:rPr>
        <w:t>第五部分 小微企业、监狱企业、残疾人福利单位声明函或证明</w:t>
      </w:r>
    </w:p>
    <w:p>
      <w:pPr>
        <w:pStyle w:val="195"/>
        <w:rPr>
          <w:rFonts w:ascii="仿宋" w:hAnsi="仿宋" w:eastAsia="仿宋"/>
          <w:b/>
          <w:bCs/>
          <w:color w:val="auto"/>
          <w:sz w:val="32"/>
          <w:szCs w:val="32"/>
          <w:highlight w:val="none"/>
        </w:rPr>
      </w:pPr>
    </w:p>
    <w:p>
      <w:pPr>
        <w:jc w:val="center"/>
        <w:rPr>
          <w:rFonts w:ascii="仿宋_GB2312" w:hAnsi="仿宋_GB2312" w:eastAsia="仿宋_GB2312" w:cs="仿宋_GB2312"/>
          <w:b/>
          <w:color w:val="auto"/>
          <w:kern w:val="0"/>
          <w:sz w:val="28"/>
          <w:szCs w:val="28"/>
          <w:highlight w:val="none"/>
        </w:rPr>
      </w:pPr>
      <w:bookmarkStart w:id="500" w:name="_Toc7005133"/>
      <w:r>
        <w:rPr>
          <w:rFonts w:hint="eastAsia" w:ascii="仿宋_GB2312" w:hAnsi="仿宋_GB2312" w:eastAsia="仿宋_GB2312" w:cs="仿宋_GB2312"/>
          <w:b/>
          <w:color w:val="auto"/>
          <w:kern w:val="0"/>
          <w:sz w:val="28"/>
          <w:szCs w:val="28"/>
          <w:highlight w:val="none"/>
        </w:rPr>
        <w:t>中小企业声明函(工程、服务)</w:t>
      </w:r>
    </w:p>
    <w:p>
      <w:pPr>
        <w:rPr>
          <w:rFonts w:ascii="仿宋_GB2312" w:hAnsi="仿宋_GB2312" w:eastAsia="仿宋_GB2312" w:cs="仿宋_GB2312"/>
          <w:color w:val="auto"/>
          <w:kern w:val="0"/>
          <w:sz w:val="30"/>
          <w:szCs w:val="30"/>
          <w:highlight w:val="none"/>
        </w:rPr>
      </w:pPr>
    </w:p>
    <w:p>
      <w:pPr>
        <w:spacing w:line="56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本公司(联合体)郑重声明，根据《政府采购促进中小企业发展管理办法》(财库(2020)46号)的规定，本公司(联合体)参加</w:t>
      </w:r>
      <w:r>
        <w:rPr>
          <w:rFonts w:hint="eastAsia" w:ascii="仿宋_GB2312" w:hAnsi="仿宋_GB2312" w:eastAsia="仿宋_GB2312" w:cs="仿宋_GB2312"/>
          <w:i/>
          <w:color w:val="auto"/>
          <w:kern w:val="0"/>
          <w:sz w:val="24"/>
          <w:highlight w:val="none"/>
          <w:u w:val="single"/>
        </w:rPr>
        <w:t>(单位名称)</w:t>
      </w:r>
      <w:r>
        <w:rPr>
          <w:rFonts w:hint="eastAsia" w:ascii="仿宋_GB2312" w:hAnsi="仿宋_GB2312" w:eastAsia="仿宋_GB2312" w:cs="仿宋_GB2312"/>
          <w:color w:val="auto"/>
          <w:kern w:val="0"/>
          <w:sz w:val="24"/>
          <w:highlight w:val="none"/>
        </w:rPr>
        <w:t xml:space="preserve"> 的</w:t>
      </w:r>
      <w:r>
        <w:rPr>
          <w:rFonts w:hint="eastAsia" w:ascii="仿宋_GB2312" w:hAnsi="仿宋_GB2312" w:eastAsia="仿宋_GB2312" w:cs="仿宋_GB2312"/>
          <w:i/>
          <w:color w:val="auto"/>
          <w:kern w:val="0"/>
          <w:sz w:val="24"/>
          <w:highlight w:val="none"/>
          <w:u w:val="single"/>
        </w:rPr>
        <w:t>(项目名称)</w:t>
      </w:r>
      <w:r>
        <w:rPr>
          <w:rFonts w:hint="eastAsia" w:ascii="仿宋_GB2312" w:hAnsi="仿宋_GB2312" w:eastAsia="仿宋_GB2312" w:cs="仿宋_GB2312"/>
          <w:color w:val="auto"/>
          <w:kern w:val="0"/>
          <w:sz w:val="24"/>
          <w:highlight w:val="none"/>
          <w:u w:val="single"/>
        </w:rPr>
        <w:t xml:space="preserve"> 采购</w:t>
      </w:r>
      <w:r>
        <w:rPr>
          <w:rFonts w:hint="eastAsia" w:ascii="仿宋_GB2312" w:hAnsi="仿宋_GB2312" w:eastAsia="仿宋_GB2312" w:cs="仿宋_GB2312"/>
          <w:color w:val="auto"/>
          <w:kern w:val="0"/>
          <w:sz w:val="24"/>
          <w:highlight w:val="none"/>
        </w:rPr>
        <w:t>活动，工程的施工单位全部为符合政策要求的中小企业(或者:服务全部由符合政策要求的中小企业承接)。相关企业(含联合体中的中小企业、签订分包意向协议的中小企业)的具体情况如下：</w:t>
      </w:r>
    </w:p>
    <w:p>
      <w:pPr>
        <w:pStyle w:val="67"/>
        <w:numPr>
          <w:ilvl w:val="0"/>
          <w:numId w:val="18"/>
        </w:numPr>
        <w:spacing w:line="560" w:lineRule="exact"/>
        <w:ind w:firstLineChars="0"/>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i/>
          <w:color w:val="auto"/>
          <w:kern w:val="0"/>
          <w:sz w:val="24"/>
          <w:szCs w:val="24"/>
          <w:highlight w:val="none"/>
          <w:u w:val="single"/>
        </w:rPr>
        <w:t xml:space="preserve"> (标的名称) </w:t>
      </w:r>
      <w:r>
        <w:rPr>
          <w:rFonts w:hint="eastAsia" w:ascii="仿宋_GB2312" w:hAnsi="仿宋_GB2312" w:eastAsia="仿宋_GB2312" w:cs="仿宋_GB2312"/>
          <w:color w:val="auto"/>
          <w:kern w:val="0"/>
          <w:sz w:val="24"/>
          <w:szCs w:val="24"/>
          <w:highlight w:val="none"/>
        </w:rPr>
        <w:t>，属于</w:t>
      </w:r>
      <w:r>
        <w:rPr>
          <w:rFonts w:hint="eastAsia" w:ascii="仿宋_GB2312" w:hAnsi="仿宋_GB2312" w:eastAsia="仿宋_GB2312" w:cs="仿宋_GB2312"/>
          <w:i/>
          <w:color w:val="auto"/>
          <w:kern w:val="0"/>
          <w:sz w:val="24"/>
          <w:szCs w:val="24"/>
          <w:highlight w:val="none"/>
          <w:u w:val="single"/>
        </w:rPr>
        <w:t>(采购文件中明的所属行业)</w:t>
      </w:r>
      <w:r>
        <w:rPr>
          <w:rFonts w:hint="eastAsia" w:ascii="仿宋_GB2312" w:hAnsi="仿宋_GB2312" w:eastAsia="仿宋_GB2312" w:cs="仿宋_GB2312"/>
          <w:color w:val="auto"/>
          <w:kern w:val="0"/>
          <w:sz w:val="24"/>
          <w:szCs w:val="24"/>
          <w:highlight w:val="none"/>
        </w:rPr>
        <w:t>；承建(承接)企业为</w:t>
      </w:r>
      <w:r>
        <w:rPr>
          <w:rFonts w:hint="eastAsia" w:ascii="仿宋_GB2312" w:hAnsi="仿宋_GB2312" w:eastAsia="仿宋_GB2312" w:cs="仿宋_GB2312"/>
          <w:i/>
          <w:color w:val="auto"/>
          <w:kern w:val="0"/>
          <w:sz w:val="24"/>
          <w:szCs w:val="24"/>
          <w:highlight w:val="none"/>
          <w:u w:val="single"/>
        </w:rPr>
        <w:t xml:space="preserve"> (企业名称) </w:t>
      </w:r>
      <w:r>
        <w:rPr>
          <w:rFonts w:hint="eastAsia" w:ascii="仿宋_GB2312" w:hAnsi="仿宋_GB2312" w:eastAsia="仿宋_GB2312" w:cs="仿宋_GB2312"/>
          <w:color w:val="auto"/>
          <w:kern w:val="0"/>
          <w:sz w:val="24"/>
          <w:szCs w:val="24"/>
          <w:highlight w:val="none"/>
        </w:rPr>
        <w:t>，从业人员人，营业收入为万元，资产总额为万元，属于</w:t>
      </w:r>
      <w:r>
        <w:rPr>
          <w:rFonts w:hint="eastAsia" w:ascii="仿宋_GB2312" w:hAnsi="仿宋_GB2312" w:eastAsia="仿宋_GB2312" w:cs="仿宋_GB2312"/>
          <w:i/>
          <w:color w:val="auto"/>
          <w:kern w:val="0"/>
          <w:sz w:val="24"/>
          <w:szCs w:val="24"/>
          <w:highlight w:val="none"/>
          <w:u w:val="single"/>
        </w:rPr>
        <w:t xml:space="preserve"> (中型企</w:t>
      </w:r>
      <w:r>
        <w:rPr>
          <w:rFonts w:hint="eastAsia" w:ascii="仿宋_GB2312" w:hAnsi="仿宋_GB2312" w:eastAsia="仿宋_GB2312" w:cs="仿宋_GB2312"/>
          <w:i/>
          <w:color w:val="auto"/>
          <w:kern w:val="0"/>
          <w:sz w:val="24"/>
          <w:szCs w:val="24"/>
          <w:highlight w:val="none"/>
          <w:u w:val="single"/>
          <w:lang w:val="en-US" w:eastAsia="zh-CN"/>
        </w:rPr>
        <w:t>业</w:t>
      </w:r>
      <w:r>
        <w:rPr>
          <w:rFonts w:hint="eastAsia" w:ascii="仿宋_GB2312" w:hAnsi="仿宋_GB2312" w:eastAsia="仿宋_GB2312" w:cs="仿宋_GB2312"/>
          <w:i/>
          <w:color w:val="auto"/>
          <w:kern w:val="0"/>
          <w:sz w:val="24"/>
          <w:szCs w:val="24"/>
          <w:highlight w:val="none"/>
          <w:u w:val="single"/>
        </w:rPr>
        <w:t xml:space="preserve">、小型企业、微型企业) </w:t>
      </w:r>
      <w:r>
        <w:rPr>
          <w:rFonts w:hint="eastAsia" w:ascii="仿宋_GB2312" w:hAnsi="仿宋_GB2312" w:eastAsia="仿宋_GB2312" w:cs="仿宋_GB2312"/>
          <w:color w:val="auto"/>
          <w:kern w:val="0"/>
          <w:sz w:val="24"/>
          <w:szCs w:val="24"/>
          <w:highlight w:val="none"/>
        </w:rPr>
        <w:t>；</w:t>
      </w:r>
    </w:p>
    <w:p>
      <w:pPr>
        <w:spacing w:line="56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2. </w:t>
      </w:r>
      <w:r>
        <w:rPr>
          <w:rFonts w:hint="eastAsia" w:ascii="仿宋_GB2312" w:hAnsi="仿宋_GB2312" w:eastAsia="仿宋_GB2312" w:cs="仿宋_GB2312"/>
          <w:i/>
          <w:color w:val="auto"/>
          <w:kern w:val="0"/>
          <w:sz w:val="24"/>
          <w:highlight w:val="none"/>
          <w:u w:val="single"/>
        </w:rPr>
        <w:t xml:space="preserve">(标的名称) </w:t>
      </w:r>
      <w:r>
        <w:rPr>
          <w:rFonts w:hint="eastAsia" w:ascii="仿宋_GB2312" w:hAnsi="仿宋_GB2312" w:eastAsia="仿宋_GB2312" w:cs="仿宋_GB2312"/>
          <w:color w:val="auto"/>
          <w:kern w:val="0"/>
          <w:sz w:val="24"/>
          <w:highlight w:val="none"/>
        </w:rPr>
        <w:t>，属于</w:t>
      </w:r>
      <w:r>
        <w:rPr>
          <w:rFonts w:hint="eastAsia" w:ascii="仿宋_GB2312" w:hAnsi="仿宋_GB2312" w:eastAsia="仿宋_GB2312" w:cs="仿宋_GB2312"/>
          <w:i/>
          <w:color w:val="auto"/>
          <w:kern w:val="0"/>
          <w:sz w:val="24"/>
          <w:highlight w:val="none"/>
          <w:u w:val="single"/>
        </w:rPr>
        <w:t>(采购文件中明的所属行业)</w:t>
      </w:r>
      <w:r>
        <w:rPr>
          <w:rFonts w:hint="eastAsia" w:ascii="仿宋_GB2312" w:hAnsi="仿宋_GB2312" w:eastAsia="仿宋_GB2312" w:cs="仿宋_GB2312"/>
          <w:color w:val="auto"/>
          <w:kern w:val="0"/>
          <w:sz w:val="24"/>
          <w:highlight w:val="none"/>
        </w:rPr>
        <w:t>；承建(承接)企业为</w:t>
      </w:r>
      <w:r>
        <w:rPr>
          <w:rFonts w:hint="eastAsia" w:ascii="仿宋_GB2312" w:hAnsi="仿宋_GB2312" w:eastAsia="仿宋_GB2312" w:cs="仿宋_GB2312"/>
          <w:i/>
          <w:color w:val="auto"/>
          <w:kern w:val="0"/>
          <w:sz w:val="24"/>
          <w:highlight w:val="none"/>
          <w:u w:val="single"/>
        </w:rPr>
        <w:t xml:space="preserve"> (企业名称) </w:t>
      </w:r>
      <w:r>
        <w:rPr>
          <w:rFonts w:hint="eastAsia" w:ascii="仿宋_GB2312" w:hAnsi="仿宋_GB2312" w:eastAsia="仿宋_GB2312" w:cs="仿宋_GB2312"/>
          <w:color w:val="auto"/>
          <w:kern w:val="0"/>
          <w:sz w:val="24"/>
          <w:highlight w:val="none"/>
        </w:rPr>
        <w:t>，从业人员人，营业收入为万元，资产总额为万元，属于</w:t>
      </w:r>
      <w:r>
        <w:rPr>
          <w:rFonts w:hint="eastAsia" w:ascii="仿宋_GB2312" w:hAnsi="仿宋_GB2312" w:eastAsia="仿宋_GB2312" w:cs="仿宋_GB2312"/>
          <w:i/>
          <w:color w:val="auto"/>
          <w:kern w:val="0"/>
          <w:sz w:val="24"/>
          <w:highlight w:val="none"/>
          <w:u w:val="single"/>
        </w:rPr>
        <w:t xml:space="preserve"> (中型企</w:t>
      </w:r>
      <w:r>
        <w:rPr>
          <w:rFonts w:hint="eastAsia" w:ascii="仿宋_GB2312" w:hAnsi="仿宋_GB2312" w:eastAsia="仿宋_GB2312" w:cs="仿宋_GB2312"/>
          <w:i/>
          <w:color w:val="auto"/>
          <w:kern w:val="0"/>
          <w:sz w:val="24"/>
          <w:highlight w:val="none"/>
          <w:u w:val="single"/>
          <w:lang w:val="en-US" w:eastAsia="zh-CN"/>
        </w:rPr>
        <w:t>业</w:t>
      </w:r>
      <w:r>
        <w:rPr>
          <w:rFonts w:hint="eastAsia" w:ascii="仿宋_GB2312" w:hAnsi="仿宋_GB2312" w:eastAsia="仿宋_GB2312" w:cs="仿宋_GB2312"/>
          <w:i/>
          <w:color w:val="auto"/>
          <w:kern w:val="0"/>
          <w:sz w:val="24"/>
          <w:highlight w:val="none"/>
          <w:u w:val="single"/>
        </w:rPr>
        <w:t xml:space="preserve">、小型企业、微型企业) </w:t>
      </w:r>
      <w:r>
        <w:rPr>
          <w:rFonts w:hint="eastAsia" w:ascii="仿宋_GB2312" w:hAnsi="仿宋_GB2312" w:eastAsia="仿宋_GB2312" w:cs="仿宋_GB2312"/>
          <w:color w:val="auto"/>
          <w:kern w:val="0"/>
          <w:sz w:val="24"/>
          <w:highlight w:val="none"/>
        </w:rPr>
        <w:t>；</w:t>
      </w:r>
    </w:p>
    <w:p>
      <w:pPr>
        <w:spacing w:line="56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w:t>
      </w:r>
    </w:p>
    <w:p>
      <w:pPr>
        <w:spacing w:line="56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以上企业，不属于大企业的分支机构，不存在控股股东为大企业的情形，也不存在与大企业的负责人为同一人的情形。</w:t>
      </w:r>
    </w:p>
    <w:p>
      <w:pPr>
        <w:spacing w:line="56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本企业对上述声明内容的真实性负责。如有虚假，将依法承担相应责任。</w:t>
      </w:r>
    </w:p>
    <w:p>
      <w:pPr>
        <w:spacing w:line="560" w:lineRule="exac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企业名称(盖章):</w:t>
      </w:r>
    </w:p>
    <w:p>
      <w:pPr>
        <w:spacing w:line="560" w:lineRule="exact"/>
        <w:ind w:firstLine="4320" w:firstLineChars="18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日期：</w:t>
      </w:r>
    </w:p>
    <w:p>
      <w:pPr>
        <w:spacing w:line="560" w:lineRule="exact"/>
        <w:ind w:firstLine="5400" w:firstLineChars="1800"/>
        <w:rPr>
          <w:rFonts w:ascii="仿宋_GB2312" w:hAnsi="仿宋_GB2312" w:eastAsia="仿宋_GB2312" w:cs="仿宋_GB2312"/>
          <w:color w:val="auto"/>
          <w:kern w:val="0"/>
          <w:sz w:val="30"/>
          <w:szCs w:val="30"/>
          <w:highlight w:val="none"/>
        </w:rPr>
      </w:pPr>
    </w:p>
    <w:p>
      <w:pPr>
        <w:rPr>
          <w:rFonts w:ascii="仿宋_GB2312" w:hAnsi="仿宋_GB2312" w:eastAsia="仿宋_GB2312" w:cs="仿宋_GB2312"/>
          <w:color w:val="auto"/>
          <w:kern w:val="0"/>
          <w:sz w:val="30"/>
          <w:szCs w:val="30"/>
          <w:highlight w:val="none"/>
          <w:u w:val="single"/>
        </w:rPr>
      </w:pPr>
    </w:p>
    <w:p>
      <w:pPr>
        <w:ind w:firstLine="105" w:firstLineChars="50"/>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（从业人员、营业收入、资产总额填报上一年度数据，无上一年度数据的新成立企业可不填报）</w:t>
      </w:r>
    </w:p>
    <w:p>
      <w:pP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br w:type="page"/>
      </w:r>
    </w:p>
    <w:bookmarkEnd w:id="500"/>
    <w:p>
      <w:pPr>
        <w:jc w:val="center"/>
        <w:outlineLvl w:val="1"/>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二、监狱企业声明函</w:t>
      </w:r>
    </w:p>
    <w:p>
      <w:pPr>
        <w:spacing w:line="360" w:lineRule="auto"/>
        <w:rPr>
          <w:rFonts w:ascii="仿宋_GB2312" w:hAnsi="Arial" w:eastAsia="仿宋_GB2312"/>
          <w:b/>
          <w:color w:val="auto"/>
          <w:kern w:val="0"/>
          <w:sz w:val="24"/>
          <w:szCs w:val="20"/>
          <w:highlight w:val="none"/>
        </w:rPr>
      </w:pPr>
    </w:p>
    <w:p>
      <w:pPr>
        <w:widowControl/>
        <w:spacing w:before="100" w:beforeAutospacing="1" w:after="100" w:afterAutospacing="1" w:line="360" w:lineRule="auto"/>
        <w:ind w:firstLine="480" w:firstLineChars="200"/>
        <w:jc w:val="left"/>
        <w:rPr>
          <w:rFonts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本单位郑重声明下列事项（按照实际情况勾选或填空）：</w:t>
      </w:r>
    </w:p>
    <w:p>
      <w:pPr>
        <w:widowControl/>
        <w:spacing w:before="100" w:beforeAutospacing="1" w:after="100" w:afterAutospacing="1" w:line="360" w:lineRule="auto"/>
        <w:ind w:firstLine="480" w:firstLineChars="200"/>
        <w:jc w:val="left"/>
        <w:rPr>
          <w:rFonts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本单位为直接供应商，提供本单位制造的货物。</w:t>
      </w:r>
    </w:p>
    <w:p>
      <w:pPr>
        <w:widowControl/>
        <w:spacing w:before="100" w:beforeAutospacing="1" w:after="100" w:afterAutospacing="1" w:line="360" w:lineRule="auto"/>
        <w:ind w:firstLine="360" w:firstLineChars="150"/>
        <w:jc w:val="left"/>
        <w:rPr>
          <w:rFonts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（1）本企业（单位）（请填写：是、不是）监狱企业。如果是，后附省级以上监狱管理局、戒毒管理局（含新疆生产建设兵团）出具的属于监狱企业的证明文件。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（2）本企业（单位）（请填写：是、不是）为联合体一方，提供本企业（单位）制造的货物，由本企业（单位）承担工程、提供服务。本企业（单位）提供协议合同金额占到共同投标协议合同总金额的比例为。</w:t>
      </w:r>
    </w:p>
    <w:p>
      <w:pPr>
        <w:widowControl/>
        <w:spacing w:before="100" w:beforeAutospacing="1" w:after="100" w:afterAutospacing="1" w:line="360" w:lineRule="auto"/>
        <w:jc w:val="left"/>
        <w:rPr>
          <w:rFonts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　　本企业（单位）对上述声明的真实性负责。如有虚假，将依法承担相应责任。</w:t>
      </w:r>
    </w:p>
    <w:p>
      <w:pPr>
        <w:widowControl/>
        <w:spacing w:before="100" w:beforeAutospacing="1" w:after="100" w:afterAutospacing="1" w:line="360" w:lineRule="auto"/>
        <w:jc w:val="left"/>
        <w:rPr>
          <w:rFonts w:ascii="仿宋_GB2312" w:hAnsi="Arial" w:eastAsia="仿宋_GB2312"/>
          <w:b/>
          <w:color w:val="auto"/>
          <w:kern w:val="0"/>
          <w:sz w:val="24"/>
          <w:szCs w:val="20"/>
          <w:highlight w:val="none"/>
        </w:rPr>
      </w:pPr>
      <w:r>
        <w:rPr>
          <w:rFonts w:hint="eastAsia" w:ascii="仿宋_GB2312" w:hAnsi="仿宋" w:eastAsia="仿宋_GB2312" w:cs="宋体"/>
          <w:color w:val="auto"/>
          <w:kern w:val="0"/>
          <w:sz w:val="24"/>
          <w:highlight w:val="none"/>
        </w:rPr>
        <w:t>　</w:t>
      </w:r>
      <w:r>
        <w:rPr>
          <w:rFonts w:hint="eastAsia" w:ascii="仿宋_GB2312" w:hAnsi="Arial" w:eastAsia="仿宋_GB2312"/>
          <w:b/>
          <w:color w:val="auto"/>
          <w:kern w:val="0"/>
          <w:sz w:val="24"/>
          <w:szCs w:val="20"/>
          <w:highlight w:val="none"/>
        </w:rPr>
        <w:t>　</w:t>
      </w:r>
    </w:p>
    <w:p>
      <w:pPr>
        <w:widowControl/>
        <w:spacing w:before="100" w:beforeAutospacing="1" w:after="100" w:afterAutospacing="1" w:line="360" w:lineRule="auto"/>
        <w:ind w:firstLine="360" w:firstLineChars="150"/>
        <w:jc w:val="left"/>
        <w:rPr>
          <w:rFonts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单位名称（公章）：</w:t>
      </w:r>
    </w:p>
    <w:p>
      <w:pPr>
        <w:widowControl/>
        <w:spacing w:before="100" w:beforeAutospacing="1" w:after="100" w:afterAutospacing="1" w:line="360" w:lineRule="auto"/>
        <w:jc w:val="left"/>
        <w:rPr>
          <w:rFonts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 xml:space="preserve"> 　法定代表人或授权代表（签字）:  </w:t>
      </w:r>
    </w:p>
    <w:p>
      <w:pPr>
        <w:widowControl/>
        <w:spacing w:before="100" w:beforeAutospacing="1" w:after="100" w:afterAutospacing="1" w:line="360" w:lineRule="auto"/>
        <w:ind w:firstLine="240" w:firstLineChars="100"/>
        <w:jc w:val="left"/>
        <w:rPr>
          <w:rFonts w:ascii="仿宋_GB2312" w:hAnsi="仿宋" w:eastAsia="仿宋_GB2312" w:cs="宋体"/>
          <w:color w:val="auto"/>
          <w:kern w:val="0"/>
          <w:sz w:val="24"/>
          <w:highlight w:val="none"/>
          <w:u w:val="single"/>
        </w:rPr>
      </w:pPr>
      <w:r>
        <w:rPr>
          <w:rFonts w:hint="eastAsia" w:ascii="仿宋_GB2312" w:hAnsi="仿宋" w:eastAsia="仿宋_GB2312" w:cs="宋体"/>
          <w:color w:val="auto"/>
          <w:kern w:val="0"/>
          <w:sz w:val="24"/>
          <w:highlight w:val="none"/>
        </w:rPr>
        <w:t>日　期：</w:t>
      </w:r>
    </w:p>
    <w:p>
      <w:pPr>
        <w:widowControl/>
        <w:spacing w:before="100" w:beforeAutospacing="1" w:after="100" w:afterAutospacing="1" w:line="360" w:lineRule="auto"/>
        <w:jc w:val="left"/>
        <w:rPr>
          <w:rFonts w:ascii="仿宋_GB2312" w:hAnsi="仿宋" w:eastAsia="仿宋_GB2312" w:cs="宋体"/>
          <w:color w:val="auto"/>
          <w:kern w:val="0"/>
          <w:sz w:val="24"/>
          <w:highlight w:val="none"/>
          <w:u w:val="single"/>
        </w:rPr>
      </w:pPr>
    </w:p>
    <w:p>
      <w:pPr>
        <w:widowControl/>
        <w:spacing w:before="100" w:beforeAutospacing="1" w:after="100" w:afterAutospacing="1" w:line="360" w:lineRule="auto"/>
        <w:jc w:val="left"/>
        <w:rPr>
          <w:rFonts w:ascii="仿宋_GB2312" w:hAnsi="仿宋_GB2312" w:eastAsia="仿宋_GB2312" w:cs="仿宋_GB2312"/>
          <w:color w:val="auto"/>
          <w:sz w:val="24"/>
          <w:highlight w:val="none"/>
        </w:rPr>
      </w:pPr>
      <w:r>
        <w:rPr>
          <w:rFonts w:hint="eastAsia" w:ascii="仿宋_GB2312" w:hAnsi="仿宋" w:eastAsia="仿宋_GB2312" w:cs="宋体"/>
          <w:color w:val="auto"/>
          <w:kern w:val="0"/>
          <w:sz w:val="24"/>
          <w:highlight w:val="none"/>
        </w:rPr>
        <w:t>注：符合《关于政府采购支持监狱企业发展有关问题的通知》价格扣减条件的供应商须提交。需提供</w:t>
      </w:r>
      <w:r>
        <w:rPr>
          <w:rFonts w:hint="eastAsia" w:ascii="仿宋_GB2312" w:hAnsi="仿宋_GB2312" w:eastAsia="仿宋_GB2312" w:cs="仿宋_GB2312"/>
          <w:color w:val="auto"/>
          <w:sz w:val="24"/>
          <w:highlight w:val="none"/>
        </w:rPr>
        <w:t>省级以上监狱管理局、戒毒管理局（含新疆生产建设兵团）出具的属于监狱企业的证明文件。</w:t>
      </w:r>
    </w:p>
    <w:p>
      <w:pPr>
        <w:rPr>
          <w:rFonts w:ascii="仿宋_GB2312" w:hAnsi="仿宋_GB2312" w:eastAsia="仿宋_GB2312" w:cs="仿宋_GB2312"/>
          <w:color w:val="auto"/>
          <w:sz w:val="32"/>
          <w:szCs w:val="32"/>
          <w:highlight w:val="none"/>
        </w:rPr>
      </w:pPr>
    </w:p>
    <w:p>
      <w:pPr>
        <w:jc w:val="center"/>
        <w:outlineLvl w:val="2"/>
        <w:rPr>
          <w:rFonts w:ascii="仿宋_GB2312" w:hAnsi="仿宋_GB2312" w:eastAsia="仿宋_GB2312" w:cs="仿宋_GB2312"/>
          <w:b/>
          <w:color w:val="auto"/>
          <w:sz w:val="32"/>
          <w:szCs w:val="32"/>
          <w:highlight w:val="none"/>
        </w:rPr>
      </w:pPr>
      <w:bookmarkStart w:id="501" w:name="_Toc7005134"/>
      <w:r>
        <w:rPr>
          <w:rFonts w:hint="eastAsia" w:ascii="仿宋_GB2312" w:hAnsi="仿宋_GB2312" w:eastAsia="仿宋_GB2312" w:cs="仿宋_GB2312"/>
          <w:color w:val="auto"/>
          <w:sz w:val="32"/>
          <w:szCs w:val="32"/>
          <w:highlight w:val="none"/>
        </w:rPr>
        <w:br w:type="page"/>
      </w:r>
      <w:r>
        <w:rPr>
          <w:rFonts w:hint="eastAsia" w:ascii="仿宋_GB2312" w:hAnsi="仿宋_GB2312" w:eastAsia="仿宋_GB2312" w:cs="仿宋_GB2312"/>
          <w:b/>
          <w:color w:val="auto"/>
          <w:sz w:val="28"/>
          <w:szCs w:val="28"/>
          <w:highlight w:val="none"/>
        </w:rPr>
        <w:t>三、残疾人福利性单位声明函</w:t>
      </w:r>
      <w:bookmarkEnd w:id="501"/>
    </w:p>
    <w:p>
      <w:pPr>
        <w:spacing w:after="120"/>
        <w:rPr>
          <w:rFonts w:ascii="仿宋_GB2312" w:hAnsi="仿宋_GB2312" w:eastAsia="仿宋_GB2312" w:cs="仿宋_GB2312"/>
          <w:color w:val="auto"/>
          <w:highlight w:val="none"/>
        </w:rPr>
      </w:pPr>
    </w:p>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（注：符合条件的残疾人福利性单位请提供本函，不符合的不提供本函）</w:t>
      </w:r>
    </w:p>
    <w:p>
      <w:pPr>
        <w:rPr>
          <w:rFonts w:ascii="仿宋_GB2312" w:hAnsi="仿宋_GB2312" w:eastAsia="仿宋_GB2312" w:cs="仿宋_GB2312"/>
          <w:color w:val="auto"/>
          <w:sz w:val="24"/>
          <w:highlight w:val="none"/>
        </w:rPr>
      </w:pPr>
    </w:p>
    <w:p>
      <w:pPr>
        <w:spacing w:line="360" w:lineRule="auto"/>
        <w:rPr>
          <w:rFonts w:ascii="仿宋_GB2312" w:hAnsi="仿宋_GB2312" w:eastAsia="仿宋_GB2312" w:cs="仿宋_GB2312"/>
          <w:color w:val="auto"/>
          <w:sz w:val="24"/>
          <w:highlight w:val="none"/>
        </w:rPr>
      </w:pP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1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本单位对上述声明的真实性负责。如有虚假，将依法承担相应责任。</w:t>
      </w:r>
    </w:p>
    <w:p>
      <w:pPr>
        <w:spacing w:line="360" w:lineRule="auto"/>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ind w:firstLine="3600" w:firstLineChars="15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单位名称（公章）：</w:t>
      </w:r>
    </w:p>
    <w:p>
      <w:pPr>
        <w:rPr>
          <w:rFonts w:ascii="仿宋_GB2312" w:hAnsi="仿宋_GB2312" w:eastAsia="仿宋_GB2312" w:cs="仿宋_GB2312"/>
          <w:color w:val="auto"/>
          <w:sz w:val="24"/>
          <w:highlight w:val="none"/>
        </w:rPr>
      </w:pPr>
    </w:p>
    <w:p>
      <w:pPr>
        <w:ind w:firstLine="3600" w:firstLineChars="15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w:t>
      </w:r>
    </w:p>
    <w:p>
      <w:pPr>
        <w:rPr>
          <w:rFonts w:ascii="仿宋_GB2312" w:hAnsi="仿宋_GB2312" w:eastAsia="仿宋_GB2312" w:cs="仿宋_GB2312"/>
          <w:color w:val="auto"/>
          <w:sz w:val="24"/>
          <w:highlight w:val="none"/>
        </w:rPr>
      </w:pPr>
    </w:p>
    <w:p>
      <w:pPr>
        <w:snapToGrid w:val="0"/>
        <w:spacing w:beforeLines="50"/>
        <w:jc w:val="center"/>
        <w:rPr>
          <w:rFonts w:ascii="仿宋_GB2312" w:hAnsi="仿宋_GB2312" w:eastAsia="仿宋_GB2312" w:cs="仿宋_GB2312"/>
          <w:b/>
          <w:color w:val="auto"/>
          <w:sz w:val="24"/>
          <w:szCs w:val="21"/>
          <w:highlight w:val="none"/>
        </w:rPr>
      </w:pPr>
    </w:p>
    <w:p>
      <w:pPr>
        <w:widowControl/>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br w:type="page"/>
      </w:r>
    </w:p>
    <w:p>
      <w:pPr>
        <w:jc w:val="center"/>
        <w:outlineLvl w:val="2"/>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四、响应承诺书</w:t>
      </w:r>
    </w:p>
    <w:p>
      <w:pPr>
        <w:spacing w:line="360" w:lineRule="auto"/>
        <w:rPr>
          <w:rFonts w:ascii="仿宋_GB2312" w:hAnsi="仿宋_GB2312" w:eastAsia="仿宋_GB2312" w:cs="仿宋_GB2312"/>
          <w:color w:val="auto"/>
          <w:sz w:val="24"/>
          <w:highlight w:val="none"/>
        </w:rPr>
      </w:pPr>
    </w:p>
    <w:p>
      <w:pPr>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eastAsia="zh-CN"/>
        </w:rPr>
        <w:t>陕西鸿信泰鼎建设项目管理有限公司</w:t>
      </w:r>
      <w:r>
        <w:rPr>
          <w:rFonts w:hint="eastAsia" w:ascii="仿宋_GB2312" w:hAnsi="仿宋_GB2312" w:eastAsia="仿宋_GB2312" w:cs="仿宋_GB2312"/>
          <w:color w:val="auto"/>
          <w:sz w:val="24"/>
          <w:highlight w:val="none"/>
        </w:rPr>
        <w:t>：</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我方在此声明，我方以下事项进行承诺：</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 在本次磋商中我公司无与其他供应商相互串通，或与采购人串通的行为；</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 在本次磋商中我公司无向采购人或磋商小组成员行贿的手段谋取成交的行为；</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 在本次磋商中我公司无出借或借用资质行为、在响应文件中所附资料（业绩、项目负责人资料等）无弄虚作假；</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 我公司没有处于被责令停产、停业、投标资格被取消状态；</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（5）我公司不采用非法手段获取证据进行质疑、投诉，在质疑、投诉过程中不提供虚假情况或进行恶意质疑、投诉。</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上述承诺内容如有不实，我公司愿意承担由此造成的一切法律责任，并承诺以磋商保证金赔偿给采购人造成的损失。</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特此承诺。</w:t>
      </w:r>
    </w:p>
    <w:p>
      <w:pPr>
        <w:spacing w:line="360" w:lineRule="auto"/>
        <w:ind w:firstLine="480" w:firstLineChars="200"/>
        <w:rPr>
          <w:rFonts w:ascii="仿宋_GB2312" w:hAnsi="仿宋_GB2312" w:eastAsia="仿宋_GB2312" w:cs="仿宋_GB2312"/>
          <w:color w:val="auto"/>
          <w:sz w:val="24"/>
          <w:highlight w:val="none"/>
        </w:rPr>
      </w:pP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 xml:space="preserve">供应商名称（公章）： </w:t>
      </w: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法定代表人或其授权代表（签字或加盖人名章）：</w:t>
      </w:r>
    </w:p>
    <w:p>
      <w:pPr>
        <w:spacing w:before="120" w:after="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期：年月日</w:t>
      </w:r>
    </w:p>
    <w:p>
      <w:pPr>
        <w:pStyle w:val="3"/>
        <w:rPr>
          <w:color w:val="auto"/>
          <w:highlight w:val="none"/>
        </w:rPr>
      </w:pPr>
      <w:r>
        <w:rPr>
          <w:color w:val="auto"/>
          <w:highlight w:val="none"/>
        </w:rPr>
        <w:br w:type="page"/>
      </w:r>
    </w:p>
    <w:p>
      <w:pPr>
        <w:pStyle w:val="195"/>
        <w:ind w:firstLine="0"/>
        <w:jc w:val="center"/>
        <w:rPr>
          <w:rFonts w:ascii="仿宋" w:hAnsi="仿宋" w:eastAsia="仿宋"/>
          <w:b/>
          <w:color w:val="auto"/>
          <w:sz w:val="32"/>
          <w:szCs w:val="32"/>
          <w:highlight w:val="none"/>
        </w:rPr>
      </w:pPr>
      <w:r>
        <w:rPr>
          <w:rFonts w:hint="eastAsia" w:ascii="仿宋" w:hAnsi="仿宋" w:eastAsia="仿宋"/>
          <w:b/>
          <w:color w:val="auto"/>
          <w:sz w:val="32"/>
          <w:szCs w:val="32"/>
          <w:highlight w:val="none"/>
        </w:rPr>
        <w:t>第六部分  保证金支付凭证或担保函（复印件）</w:t>
      </w:r>
    </w:p>
    <w:p>
      <w:pPr>
        <w:pStyle w:val="195"/>
        <w:rPr>
          <w:rFonts w:ascii="仿宋" w:hAnsi="仿宋" w:eastAsia="仿宋"/>
          <w:b/>
          <w:color w:val="auto"/>
          <w:sz w:val="32"/>
          <w:szCs w:val="32"/>
          <w:highlight w:val="none"/>
        </w:rPr>
      </w:pPr>
    </w:p>
    <w:p>
      <w:pPr>
        <w:rPr>
          <w:rFonts w:ascii="仿宋_GB2312" w:hAnsi="仿宋_GB2312" w:eastAsia="仿宋_GB2312" w:cs="仿宋_GB2312"/>
          <w:color w:val="auto"/>
          <w:sz w:val="24"/>
          <w:highlight w:val="none"/>
        </w:rPr>
      </w:pPr>
    </w:p>
    <w:p>
      <w:pPr>
        <w:spacing w:after="12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本项目不要求提供保证金</w:t>
      </w:r>
    </w:p>
    <w:p>
      <w:pPr>
        <w:spacing w:after="120"/>
        <w:rPr>
          <w:rFonts w:ascii="仿宋_GB2312" w:hAnsi="仿宋_GB2312" w:eastAsia="仿宋_GB2312" w:cs="仿宋_GB2312"/>
          <w:color w:val="auto"/>
          <w:highlight w:val="none"/>
        </w:rPr>
      </w:pPr>
    </w:p>
    <w:p>
      <w:pPr>
        <w:spacing w:after="120"/>
        <w:rPr>
          <w:rFonts w:ascii="仿宋_GB2312" w:hAnsi="仿宋_GB2312" w:eastAsia="仿宋_GB2312" w:cs="仿宋_GB2312"/>
          <w:color w:val="auto"/>
          <w:highlight w:val="none"/>
        </w:rPr>
      </w:pPr>
    </w:p>
    <w:p>
      <w:pPr>
        <w:spacing w:after="120"/>
        <w:rPr>
          <w:rFonts w:ascii="仿宋_GB2312" w:hAnsi="仿宋_GB2312" w:eastAsia="仿宋_GB2312" w:cs="仿宋_GB2312"/>
          <w:color w:val="auto"/>
          <w:highlight w:val="none"/>
        </w:rPr>
      </w:pPr>
    </w:p>
    <w:p>
      <w:pPr>
        <w:autoSpaceDE w:val="0"/>
        <w:autoSpaceDN w:val="0"/>
        <w:adjustRightInd w:val="0"/>
        <w:spacing w:line="360" w:lineRule="auto"/>
        <w:jc w:val="center"/>
        <w:rPr>
          <w:rFonts w:ascii="仿宋_GB2312" w:hAnsi="仿宋_GB2312" w:eastAsia="仿宋_GB2312" w:cs="仿宋_GB2312"/>
          <w:b/>
          <w:bCs/>
          <w:color w:val="auto"/>
          <w:sz w:val="44"/>
          <w:szCs w:val="44"/>
          <w:highlight w:val="none"/>
          <w:lang w:val="zh-CN"/>
        </w:rPr>
      </w:pPr>
    </w:p>
    <w:p>
      <w:pPr>
        <w:autoSpaceDE w:val="0"/>
        <w:autoSpaceDN w:val="0"/>
        <w:adjustRightInd w:val="0"/>
        <w:snapToGrid w:val="0"/>
        <w:spacing w:line="288" w:lineRule="auto"/>
        <w:jc w:val="left"/>
        <w:rPr>
          <w:rFonts w:ascii="仿宋_GB2312" w:hAnsi="仿宋_GB2312" w:eastAsia="仿宋_GB2312" w:cs="仿宋_GB2312"/>
          <w:bCs/>
          <w:color w:val="auto"/>
          <w:sz w:val="44"/>
          <w:szCs w:val="44"/>
          <w:highlight w:val="none"/>
        </w:rPr>
        <w:sectPr>
          <w:pgSz w:w="11906" w:h="16838"/>
          <w:pgMar w:top="1418" w:right="1418" w:bottom="1418" w:left="1418" w:header="851" w:footer="992" w:gutter="0"/>
          <w:pgNumType w:fmt="decimal"/>
          <w:cols w:space="720" w:num="1"/>
          <w:docGrid w:linePitch="312" w:charSpace="0"/>
        </w:sectPr>
      </w:pPr>
    </w:p>
    <w:p>
      <w:pPr>
        <w:widowControl/>
        <w:snapToGrid w:val="0"/>
        <w:spacing w:before="100" w:beforeAutospacing="1" w:after="100" w:afterAutospacing="1" w:line="320" w:lineRule="exact"/>
        <w:rPr>
          <w:rFonts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附件1</w:t>
      </w:r>
    </w:p>
    <w:p>
      <w:pPr>
        <w:widowControl/>
        <w:snapToGrid w:val="0"/>
        <w:spacing w:before="100" w:beforeAutospacing="1" w:after="100" w:afterAutospacing="1" w:line="320" w:lineRule="exact"/>
        <w:jc w:val="center"/>
        <w:rPr>
          <w:rFonts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磋商响应担保函</w:t>
      </w:r>
    </w:p>
    <w:p>
      <w:pPr>
        <w:snapToGrid w:val="0"/>
        <w:ind w:firstLine="3360" w:firstLineChars="1400"/>
        <w:rPr>
          <w:rFonts w:ascii="仿宋_GB2312" w:hAnsi="仿宋_GB2312" w:eastAsia="仿宋_GB2312" w:cs="仿宋_GB2312"/>
          <w:color w:val="auto"/>
          <w:sz w:val="24"/>
          <w:highlight w:val="none"/>
        </w:rPr>
      </w:pPr>
      <w:r>
        <w:rPr>
          <w:rFonts w:hint="eastAsia" w:ascii="仿宋_GB2312" w:hAnsi="仿宋_GB2312" w:eastAsia="仿宋_GB2312" w:cs="仿宋_GB2312"/>
          <w:bCs/>
          <w:color w:val="auto"/>
          <w:sz w:val="24"/>
          <w:highlight w:val="none"/>
        </w:rPr>
        <w:t>（适用于保证金保函）</w:t>
      </w:r>
    </w:p>
    <w:p>
      <w:pPr>
        <w:snapToGrid w:val="0"/>
        <w:ind w:right="48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保函编号:</w:t>
      </w:r>
    </w:p>
    <w:p>
      <w:pPr>
        <w:snapToGrid w:val="0"/>
        <w:ind w:right="48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u w:val="single"/>
          <w:lang w:eastAsia="zh-CN"/>
        </w:rPr>
        <w:t>陕西鸿信泰鼎建设项目管理有限公司</w:t>
      </w:r>
      <w:r>
        <w:rPr>
          <w:rFonts w:hint="eastAsia" w:ascii="仿宋_GB2312" w:hAnsi="仿宋_GB2312" w:eastAsia="仿宋_GB2312" w:cs="仿宋_GB2312"/>
          <w:color w:val="auto"/>
          <w:sz w:val="24"/>
          <w:highlight w:val="none"/>
        </w:rPr>
        <w:t>(下称受益人)：</w:t>
      </w:r>
    </w:p>
    <w:p>
      <w:pPr>
        <w:snapToGrid w:val="0"/>
        <w:spacing w:line="288" w:lineRule="auto"/>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鉴于</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(下称被保证人)将于</w:t>
      </w:r>
      <w:r>
        <w:rPr>
          <w:rFonts w:hint="eastAsia" w:ascii="仿宋_GB2312" w:hAnsi="仿宋_GB2312" w:eastAsia="仿宋_GB2312" w:cs="仿宋_GB2312"/>
          <w:color w:val="auto"/>
          <w:sz w:val="24"/>
          <w:highlight w:val="none"/>
          <w:u w:val="single"/>
        </w:rPr>
        <w:t>    年 月 日</w:t>
      </w:r>
      <w:r>
        <w:rPr>
          <w:rFonts w:hint="eastAsia" w:ascii="仿宋_GB2312" w:hAnsi="仿宋_GB2312" w:eastAsia="仿宋_GB2312" w:cs="仿宋_GB2312"/>
          <w:color w:val="auto"/>
          <w:sz w:val="24"/>
          <w:highlight w:val="none"/>
        </w:rPr>
        <w:t>参加贵方竞争性磋商文件编号为</w:t>
      </w:r>
      <w:r>
        <w:rPr>
          <w:rFonts w:hint="eastAsia" w:ascii="仿宋_GB2312" w:hAnsi="仿宋_GB2312" w:eastAsia="仿宋_GB2312" w:cs="仿宋_GB2312"/>
          <w:color w:val="auto"/>
          <w:sz w:val="24"/>
          <w:highlight w:val="none"/>
          <w:u w:val="single"/>
        </w:rPr>
        <w:t> （采购项目编号）</w:t>
      </w:r>
      <w:r>
        <w:rPr>
          <w:rFonts w:hint="eastAsia" w:ascii="仿宋_GB2312" w:hAnsi="仿宋_GB2312" w:eastAsia="仿宋_GB2312" w:cs="仿宋_GB2312"/>
          <w:color w:val="auto"/>
          <w:sz w:val="24"/>
          <w:highlight w:val="none"/>
        </w:rPr>
        <w:t>的</w:t>
      </w:r>
      <w:r>
        <w:rPr>
          <w:rFonts w:hint="eastAsia" w:ascii="仿宋_GB2312" w:hAnsi="仿宋_GB2312" w:eastAsia="仿宋_GB2312" w:cs="仿宋_GB2312"/>
          <w:color w:val="auto"/>
          <w:sz w:val="24"/>
          <w:highlight w:val="none"/>
          <w:u w:val="single"/>
        </w:rPr>
        <w:t xml:space="preserve"> （项目名称） </w:t>
      </w:r>
      <w:r>
        <w:rPr>
          <w:rFonts w:hint="eastAsia" w:ascii="仿宋_GB2312" w:hAnsi="仿宋_GB2312" w:eastAsia="仿宋_GB2312" w:cs="仿宋_GB2312"/>
          <w:color w:val="auto"/>
          <w:sz w:val="24"/>
          <w:highlight w:val="none"/>
        </w:rPr>
        <w:t>的竞争性磋商,我方接受被保证人的委托,在此向受益人提供不可撤销的磋商保证：</w:t>
      </w:r>
    </w:p>
    <w:p>
      <w:pPr>
        <w:numPr>
          <w:ilvl w:val="0"/>
          <w:numId w:val="19"/>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本保证担保的担保金额为</w:t>
      </w:r>
      <w:r>
        <w:rPr>
          <w:rFonts w:hint="eastAsia" w:ascii="仿宋_GB2312" w:hAnsi="仿宋_GB2312" w:eastAsia="仿宋_GB2312" w:cs="仿宋_GB2312"/>
          <w:color w:val="auto"/>
          <w:sz w:val="24"/>
          <w:highlight w:val="none"/>
          <w:u w:val="single"/>
        </w:rPr>
        <w:t>人民币</w:t>
      </w:r>
      <w:r>
        <w:rPr>
          <w:rFonts w:hint="eastAsia" w:ascii="仿宋_GB2312" w:hAnsi="仿宋_GB2312" w:eastAsia="仿宋_GB2312" w:cs="仿宋_GB2312"/>
          <w:color w:val="auto"/>
          <w:sz w:val="24"/>
          <w:highlight w:val="none"/>
        </w:rPr>
        <w:t>(币种</w:t>
      </w:r>
      <w:r>
        <w:rPr>
          <w:rFonts w:hint="eastAsia" w:ascii="仿宋_GB2312" w:hAnsi="仿宋_GB2312" w:eastAsia="仿宋_GB2312" w:cs="仿宋_GB2312"/>
          <w:color w:val="auto"/>
          <w:sz w:val="24"/>
          <w:highlight w:val="none"/>
          <w:u w:val="single"/>
        </w:rPr>
        <w:t>)     </w:t>
      </w:r>
      <w:r>
        <w:rPr>
          <w:rFonts w:hint="eastAsia" w:ascii="仿宋_GB2312" w:hAnsi="仿宋_GB2312" w:eastAsia="仿宋_GB2312" w:cs="仿宋_GB2312"/>
          <w:color w:val="auto"/>
          <w:sz w:val="24"/>
          <w:highlight w:val="none"/>
        </w:rPr>
        <w:t>元(小写)</w:t>
      </w:r>
      <w:r>
        <w:rPr>
          <w:rFonts w:hint="eastAsia" w:ascii="仿宋_GB2312" w:hAnsi="仿宋_GB2312" w:eastAsia="仿宋_GB2312" w:cs="仿宋_GB2312"/>
          <w:color w:val="auto"/>
          <w:sz w:val="24"/>
          <w:highlight w:val="none"/>
          <w:u w:val="single"/>
        </w:rPr>
        <w:t xml:space="preserve">     元整</w:t>
      </w:r>
      <w:r>
        <w:rPr>
          <w:rFonts w:hint="eastAsia" w:ascii="仿宋_GB2312" w:hAnsi="仿宋_GB2312" w:eastAsia="仿宋_GB2312" w:cs="仿宋_GB2312"/>
          <w:color w:val="auto"/>
          <w:sz w:val="24"/>
          <w:highlight w:val="none"/>
        </w:rPr>
        <w:t>(大写）。</w:t>
      </w:r>
    </w:p>
    <w:p>
      <w:pPr>
        <w:numPr>
          <w:ilvl w:val="0"/>
          <w:numId w:val="19"/>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二、本保证担保的保证期间为响应文件的有效期(或延长的有效期),延长有效期无须通知我方。</w:t>
      </w:r>
    </w:p>
    <w:p>
      <w:pPr>
        <w:numPr>
          <w:ilvl w:val="0"/>
          <w:numId w:val="19"/>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三、在本保证担保的保证期间内,如果被保证人出现下列情形之一,受益人可以向我方提起索赔：</w:t>
      </w:r>
    </w:p>
    <w:p>
      <w:pPr>
        <w:numPr>
          <w:ilvl w:val="0"/>
          <w:numId w:val="19"/>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1.被保证人在响应文件有效期内撤回其响应文件；</w:t>
      </w:r>
    </w:p>
    <w:p>
      <w:pPr>
        <w:numPr>
          <w:ilvl w:val="0"/>
          <w:numId w:val="19"/>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2.被保证人在响应文件有效期内收到受益人发出的成交通知书后,不能或拒绝按竞争性磋商文件的要求签署合同；</w:t>
      </w:r>
    </w:p>
    <w:p>
      <w:pPr>
        <w:numPr>
          <w:ilvl w:val="0"/>
          <w:numId w:val="19"/>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3.被保证人在有效期内收到受益人发出的成交通知书后,不能或拒绝按竞争性磋商文件的规定提交履约担保；</w:t>
      </w:r>
    </w:p>
    <w:p>
      <w:pPr>
        <w:numPr>
          <w:ilvl w:val="0"/>
          <w:numId w:val="19"/>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4.被保证人成交后未按照竞争性磋商文件规定交纳代理服务费。</w:t>
      </w:r>
    </w:p>
    <w:p>
      <w:pPr>
        <w:numPr>
          <w:ilvl w:val="0"/>
          <w:numId w:val="19"/>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四、在本保证担保的保证期间内,我方收到受益人经法定代表人或其授权委托代理人签字并加盖公章的书面索赔通知后,将不争辩、不挑剔、不可撤销地立即向受益人支付本保证担保的担保金额。</w:t>
      </w:r>
    </w:p>
    <w:p>
      <w:pPr>
        <w:numPr>
          <w:ilvl w:val="0"/>
          <w:numId w:val="19"/>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五、受益人的索赔通知应当说明索赔理由,并必须在本保证担保的保证期间内送达我方。</w:t>
      </w:r>
    </w:p>
    <w:p>
      <w:pPr>
        <w:numPr>
          <w:ilvl w:val="0"/>
          <w:numId w:val="19"/>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六、本保证担保项下的权利不得转让。</w:t>
      </w:r>
    </w:p>
    <w:p>
      <w:pPr>
        <w:numPr>
          <w:ilvl w:val="0"/>
          <w:numId w:val="19"/>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七、本保证担保的保证期间届满,或我方已向受益人支付本保证担保的担保金额,我方的保证责任免除。</w:t>
      </w:r>
    </w:p>
    <w:p>
      <w:pPr>
        <w:numPr>
          <w:ilvl w:val="0"/>
          <w:numId w:val="19"/>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八、本保证担保适用中华人民共和国法律。</w:t>
      </w:r>
    </w:p>
    <w:p>
      <w:pPr>
        <w:numPr>
          <w:ilvl w:val="0"/>
          <w:numId w:val="19"/>
        </w:numPr>
        <w:snapToGrid w:val="0"/>
        <w:spacing w:line="28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九、本保证担保以中文文本为准,涂改无效。</w:t>
      </w:r>
    </w:p>
    <w:p>
      <w:pPr>
        <w:snapToGrid w:val="0"/>
        <w:spacing w:line="288" w:lineRule="auto"/>
        <w:rPr>
          <w:rFonts w:hint="eastAsia" w:ascii="仿宋_GB2312" w:hAnsi="仿宋_GB2312" w:eastAsia="仿宋_GB2312" w:cs="仿宋_GB2312"/>
          <w:color w:val="auto"/>
          <w:sz w:val="24"/>
          <w:highlight w:val="none"/>
          <w:lang w:eastAsia="zh-CN"/>
        </w:rPr>
      </w:pPr>
    </w:p>
    <w:p>
      <w:pPr>
        <w:snapToGrid w:val="0"/>
        <w:spacing w:line="288" w:lineRule="auto"/>
        <w:rPr>
          <w:rFonts w:hint="eastAsia" w:ascii="仿宋_GB2312" w:hAnsi="仿宋_GB2312" w:eastAsia="仿宋_GB2312" w:cs="仿宋_GB2312"/>
          <w:color w:val="auto"/>
          <w:sz w:val="24"/>
          <w:highlight w:val="none"/>
          <w:u w:val="single"/>
          <w:lang w:eastAsia="zh-CN"/>
        </w:rPr>
      </w:pPr>
      <w:r>
        <w:rPr>
          <w:rFonts w:hint="eastAsia" w:ascii="仿宋_GB2312" w:hAnsi="仿宋_GB2312" w:eastAsia="仿宋_GB2312" w:cs="仿宋_GB2312"/>
          <w:color w:val="auto"/>
          <w:sz w:val="24"/>
          <w:highlight w:val="none"/>
        </w:rPr>
        <w:t>保证人(盖章):</w:t>
      </w:r>
      <w:r>
        <w:rPr>
          <w:rFonts w:hint="eastAsia" w:ascii="仿宋_GB2312" w:hAnsi="仿宋_GB2312" w:eastAsia="仿宋_GB2312" w:cs="仿宋_GB2312"/>
          <w:color w:val="auto"/>
          <w:sz w:val="24"/>
          <w:highlight w:val="none"/>
          <w:u w:val="single"/>
        </w:rPr>
        <w:t xml:space="preserve">     </w:t>
      </w:r>
    </w:p>
    <w:p>
      <w:pPr>
        <w:snapToGrid w:val="0"/>
        <w:spacing w:line="288" w:lineRule="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 xml:space="preserve">法定代表人或其授权委托代理人(签字或盖章）： </w:t>
      </w:r>
    </w:p>
    <w:p>
      <w:pPr>
        <w:snapToGrid w:val="0"/>
        <w:spacing w:line="288" w:lineRule="auto"/>
        <w:rPr>
          <w:rFonts w:hint="eastAsia" w:ascii="仿宋_GB2312" w:hAnsi="仿宋_GB2312" w:eastAsia="仿宋_GB2312" w:cs="仿宋_GB2312"/>
          <w:color w:val="auto"/>
          <w:sz w:val="24"/>
          <w:highlight w:val="none"/>
          <w:u w:val="single"/>
          <w:lang w:eastAsia="zh-CN"/>
        </w:rPr>
      </w:pPr>
      <w:r>
        <w:rPr>
          <w:rFonts w:hint="eastAsia" w:ascii="仿宋_GB2312" w:hAnsi="仿宋_GB2312" w:eastAsia="仿宋_GB2312" w:cs="仿宋_GB2312"/>
          <w:color w:val="auto"/>
          <w:sz w:val="24"/>
          <w:highlight w:val="none"/>
        </w:rPr>
        <w:t>单位地址:</w:t>
      </w:r>
      <w:r>
        <w:rPr>
          <w:rFonts w:hint="eastAsia" w:ascii="仿宋_GB2312" w:hAnsi="仿宋_GB2312" w:eastAsia="仿宋_GB2312" w:cs="仿宋_GB2312"/>
          <w:color w:val="auto"/>
          <w:sz w:val="24"/>
          <w:highlight w:val="none"/>
          <w:u w:val="single"/>
        </w:rPr>
        <w:t xml:space="preserve">     </w:t>
      </w:r>
    </w:p>
    <w:p>
      <w:pPr>
        <w:snapToGrid w:val="0"/>
        <w:spacing w:line="288"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电话:     </w:t>
      </w:r>
    </w:p>
    <w:p>
      <w:pPr>
        <w:snapToGrid w:val="0"/>
        <w:spacing w:line="288"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日期:     年    月    日</w:t>
      </w:r>
    </w:p>
    <w:p>
      <w:pPr>
        <w:widowControl/>
        <w:snapToGrid w:val="0"/>
        <w:spacing w:before="100" w:beforeAutospacing="1" w:after="100" w:afterAutospacing="1" w:line="360" w:lineRule="auto"/>
        <w:rPr>
          <w:rFonts w:ascii="仿宋_GB2312" w:hAnsi="仿宋_GB2312" w:eastAsia="仿宋_GB2312" w:cs="仿宋_GB2312"/>
          <w:b/>
          <w:bCs/>
          <w:color w:val="auto"/>
          <w:kern w:val="0"/>
          <w:sz w:val="32"/>
          <w:szCs w:val="32"/>
          <w:highlight w:val="none"/>
        </w:rPr>
      </w:pPr>
      <w:bookmarkStart w:id="502" w:name="_Toc515647799"/>
      <w:bookmarkStart w:id="503" w:name="_Toc532473491"/>
      <w:bookmarkStart w:id="504" w:name="_Toc21748"/>
      <w:bookmarkStart w:id="505" w:name="_Toc16186"/>
      <w:r>
        <w:rPr>
          <w:rFonts w:hint="eastAsia" w:ascii="仿宋_GB2312" w:hAnsi="仿宋_GB2312" w:eastAsia="仿宋_GB2312" w:cs="仿宋_GB2312"/>
          <w:color w:val="auto"/>
          <w:kern w:val="0"/>
          <w:sz w:val="24"/>
          <w:highlight w:val="none"/>
        </w:rPr>
        <w:br w:type="page"/>
      </w:r>
      <w:bookmarkEnd w:id="502"/>
      <w:bookmarkEnd w:id="503"/>
      <w:bookmarkEnd w:id="504"/>
      <w:bookmarkEnd w:id="505"/>
      <w:bookmarkStart w:id="506" w:name="_Toc515647800"/>
      <w:bookmarkStart w:id="507" w:name="_Toc20660404"/>
      <w:bookmarkStart w:id="508" w:name="_Toc532473492"/>
      <w:bookmarkStart w:id="509" w:name="_Toc10951"/>
      <w:bookmarkStart w:id="510" w:name="_Toc6548"/>
      <w:r>
        <w:rPr>
          <w:rFonts w:hint="eastAsia" w:ascii="仿宋_GB2312" w:hAnsi="仿宋_GB2312" w:eastAsia="仿宋_GB2312" w:cs="仿宋_GB2312"/>
          <w:b/>
          <w:bCs/>
          <w:color w:val="auto"/>
          <w:kern w:val="0"/>
          <w:sz w:val="28"/>
          <w:szCs w:val="28"/>
          <w:highlight w:val="none"/>
        </w:rPr>
        <w:t>附件2</w:t>
      </w:r>
    </w:p>
    <w:p>
      <w:pPr>
        <w:widowControl/>
        <w:snapToGrid w:val="0"/>
        <w:spacing w:before="100" w:beforeAutospacing="1" w:after="100" w:afterAutospacing="1" w:line="360" w:lineRule="auto"/>
        <w:jc w:val="center"/>
        <w:rPr>
          <w:rFonts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履约担保函格式</w:t>
      </w:r>
      <w:bookmarkEnd w:id="506"/>
      <w:bookmarkEnd w:id="507"/>
      <w:bookmarkEnd w:id="508"/>
      <w:bookmarkEnd w:id="509"/>
      <w:bookmarkEnd w:id="510"/>
    </w:p>
    <w:p>
      <w:pPr>
        <w:snapToGrid w:val="0"/>
        <w:spacing w:line="336"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编号：</w:t>
      </w:r>
    </w:p>
    <w:p>
      <w:pPr>
        <w:snapToGrid w:val="0"/>
        <w:spacing w:line="336" w:lineRule="auto"/>
        <w:rPr>
          <w:rFonts w:ascii="仿宋_GB2312" w:hAnsi="仿宋_GB2312" w:eastAsia="仿宋_GB2312" w:cs="仿宋_GB2312"/>
          <w:color w:val="auto"/>
          <w:sz w:val="28"/>
          <w:szCs w:val="28"/>
          <w:highlight w:val="none"/>
        </w:rPr>
      </w:pPr>
    </w:p>
    <w:p>
      <w:pPr>
        <w:snapToGrid w:val="0"/>
        <w:spacing w:line="336"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（采购人名称）：</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鉴于你方与（以下简称供应商）于年月日签定编号为的《政府采购合同》（以下简称主合同），且依据该合同的约定，供应商应在年月日前向你方交纳履约保证金，且可以履约担保函的形式交纳履约保证金。应供应商的申请，我方以保证的方式向你方提供如下履约保证金担保：</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一、保证责任的情形及保证金额</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（一）在供应商出现下列情形之一时，我方承担保证责任：</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1．将成交项目转让给他人，或者在磋商响应文件中未说明，且未经采购人同意，将成交项目分包给他人的；</w:t>
      </w:r>
    </w:p>
    <w:p>
      <w:pPr>
        <w:snapToGrid w:val="0"/>
        <w:spacing w:line="336"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2．主合同约定的应当缴纳履约保证金的情形: </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（1）未按主合同约定的质量、数量和期限供应货物/提供服务/完成工程的；</w:t>
      </w:r>
    </w:p>
    <w:p>
      <w:pPr>
        <w:snapToGrid w:val="0"/>
        <w:spacing w:line="336" w:lineRule="auto"/>
        <w:ind w:firstLine="480" w:firstLineChars="20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（二）我方的保证范围是主合同约定的合同价款总额的%数额为元（大写），币种为。（即主合同履约保证金金额）</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二、保证的方式及保证期间</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我方保证的方式为：连带责任保证。</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我方保证的期间为：自本合同生效之日起至供应商按照主合同约定的供货/完工期限届满后日内。</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如果供应商未按主合同约定向贵方供应货物/提供服务/完成工程的，由我方在保证金额内向你方支付上述款项。</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三、承担保证责任的程序</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1．你方要求我方承担保证责任的，应在本保函保证期间内向我方发出书面索赔通知。索赔通知应写明要求索赔的金额，支付款项应到达的帐号。并附有证明供应商违约事实的证明材料。</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如果你方与供应商因货物质量问题产生争议，你方还需同时提供部门出具的质量检测报告，或经诉讼（仲裁）程序裁决后的裁决书、调解书，本保证人即按照检测结果或裁决书、调解书决定是否承担保证责任。</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 我方收到你方的书面索赔通知及相应证明材料，在工作日内进行核定后按照本保函的承诺承担保证责任。</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四、保证责任的终止</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2．我方按照本保函向你方履行了保证责任后，自我方向你方支付款项（支付款项从我方账户划出）之日起，保证责任即终止。</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3．按照法律法规的规定或出现应终止我方保证责任的其它情形的，我方在本保函项下的保证责任亦终止。</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五、免责条款</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1．因你方违反主合同约定致使供应商不能履行义务的，我方不承担保证责任。</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2．依照法律法规的规定或你方与供应商的另行约定，全部或者部分免除供应商应缴纳的保证金义务的，我方亦免除相应的保证责任。</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3．因不可抗力造成供应商不能履行供货义务的，我方不承担保证责任。</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六、争议的解决</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因本保函发生的纠纷，由你我双方协商解决，协商不成的，通过诉讼程序解决，诉讼管辖地法院为法院。</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七、保函的生效</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本保函自我方加盖公章之日起生效。</w:t>
      </w:r>
    </w:p>
    <w:p>
      <w:pPr>
        <w:snapToGrid w:val="0"/>
        <w:spacing w:line="336" w:lineRule="auto"/>
        <w:rPr>
          <w:rFonts w:ascii="仿宋_GB2312" w:hAnsi="仿宋_GB2312" w:eastAsia="仿宋_GB2312" w:cs="仿宋_GB2312"/>
          <w:color w:val="auto"/>
          <w:sz w:val="24"/>
          <w:highlight w:val="none"/>
        </w:rPr>
      </w:pPr>
    </w:p>
    <w:p>
      <w:pPr>
        <w:snapToGrid w:val="0"/>
        <w:spacing w:line="336" w:lineRule="auto"/>
        <w:rPr>
          <w:rFonts w:ascii="仿宋_GB2312" w:hAnsi="仿宋_GB2312" w:eastAsia="仿宋_GB2312" w:cs="仿宋_GB2312"/>
          <w:color w:val="auto"/>
          <w:sz w:val="24"/>
          <w:highlight w:val="none"/>
        </w:rPr>
      </w:pPr>
    </w:p>
    <w:p>
      <w:pPr>
        <w:spacing w:line="360" w:lineRule="auto"/>
        <w:ind w:left="1080" w:leftChars="257" w:hanging="54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出具保函单位名称（盖公章）：</w:t>
      </w:r>
    </w:p>
    <w:p>
      <w:pPr>
        <w:spacing w:line="360" w:lineRule="auto"/>
        <w:ind w:left="1080" w:leftChars="257" w:hanging="54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签字人姓名和职务：</w:t>
      </w:r>
    </w:p>
    <w:p>
      <w:pPr>
        <w:spacing w:line="360" w:lineRule="auto"/>
        <w:ind w:left="1080" w:leftChars="257" w:hanging="54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签字人签名：</w:t>
      </w:r>
    </w:p>
    <w:p>
      <w:pPr>
        <w:spacing w:line="360" w:lineRule="auto"/>
        <w:ind w:left="1080" w:leftChars="257" w:hanging="540"/>
        <w:rPr>
          <w:rFonts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4"/>
          <w:highlight w:val="none"/>
        </w:rPr>
        <w:t>时间：</w:t>
      </w:r>
      <w:r>
        <w:rPr>
          <w:rFonts w:hint="eastAsia" w:ascii="仿宋_GB2312" w:hAnsi="仿宋_GB2312" w:eastAsia="仿宋_GB2312" w:cs="仿宋_GB2312"/>
          <w:color w:val="auto"/>
          <w:sz w:val="24"/>
          <w:highlight w:val="none"/>
          <w:u w:val="single"/>
        </w:rPr>
        <w:t xml:space="preserve">         年      月      日    </w:t>
      </w:r>
    </w:p>
    <w:p>
      <w:pPr>
        <w:spacing w:after="120"/>
        <w:rPr>
          <w:rFonts w:ascii="仿宋_GB2312" w:hAnsi="仿宋_GB2312" w:eastAsia="仿宋_GB2312" w:cs="仿宋_GB2312"/>
          <w:color w:val="auto"/>
          <w:highlight w:val="none"/>
        </w:rPr>
      </w:pPr>
    </w:p>
    <w:p>
      <w:pPr>
        <w:autoSpaceDE w:val="0"/>
        <w:autoSpaceDN w:val="0"/>
        <w:adjustRightInd w:val="0"/>
        <w:snapToGrid w:val="0"/>
        <w:spacing w:line="360" w:lineRule="auto"/>
        <w:rPr>
          <w:rFonts w:ascii="仿宋_GB2312" w:hAnsi="仿宋_GB2312" w:eastAsia="仿宋_GB2312" w:cs="仿宋_GB2312"/>
          <w:b/>
          <w:bCs/>
          <w:color w:val="auto"/>
          <w:sz w:val="28"/>
          <w:szCs w:val="28"/>
          <w:highlight w:val="none"/>
          <w:lang w:val="zh-CN"/>
        </w:rPr>
      </w:pPr>
      <w:r>
        <w:rPr>
          <w:rFonts w:hint="eastAsia" w:ascii="仿宋_GB2312" w:hAnsi="仿宋_GB2312" w:eastAsia="仿宋_GB2312" w:cs="仿宋_GB2312"/>
          <w:b/>
          <w:bCs/>
          <w:color w:val="auto"/>
          <w:sz w:val="28"/>
          <w:szCs w:val="28"/>
          <w:highlight w:val="none"/>
          <w:lang w:val="zh-CN"/>
        </w:rPr>
        <w:t>附件3</w:t>
      </w:r>
    </w:p>
    <w:p>
      <w:pPr>
        <w:autoSpaceDE w:val="0"/>
        <w:autoSpaceDN w:val="0"/>
        <w:adjustRightInd w:val="0"/>
        <w:snapToGrid w:val="0"/>
        <w:spacing w:line="360" w:lineRule="auto"/>
        <w:jc w:val="center"/>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 xml:space="preserve"> （最后）磋商响应报价表</w:t>
      </w:r>
    </w:p>
    <w:p>
      <w:pPr>
        <w:spacing w:after="120"/>
        <w:rPr>
          <w:rFonts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t>（随身携带，单独提供，无需装订在响应文件中）</w:t>
      </w:r>
    </w:p>
    <w:p>
      <w:pPr>
        <w:pStyle w:val="3"/>
        <w:rPr>
          <w:color w:val="auto"/>
          <w:highlight w:val="none"/>
          <w:lang w:val="zh-CN"/>
        </w:rPr>
      </w:pP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spacing w:after="120"/>
              <w:rPr>
                <w:rFonts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lang w:val="zh-CN"/>
              </w:rPr>
              <w:br w:type="page"/>
            </w:r>
            <w:r>
              <w:rPr>
                <w:rFonts w:hint="eastAsia" w:ascii="仿宋_GB2312" w:hAnsi="仿宋_GB2312" w:eastAsia="仿宋_GB2312" w:cs="仿宋_GB2312"/>
                <w:b/>
                <w:color w:val="auto"/>
                <w:sz w:val="24"/>
                <w:highlight w:val="none"/>
              </w:rPr>
              <w:t>项目编号及项目名称</w:t>
            </w:r>
          </w:p>
        </w:tc>
        <w:tc>
          <w:tcPr>
            <w:tcW w:w="6981" w:type="dxa"/>
            <w:vAlign w:val="center"/>
          </w:tcPr>
          <w:p>
            <w:pPr>
              <w:spacing w:after="120"/>
              <w:rPr>
                <w:rFonts w:hint="eastAsia" w:ascii="仿宋_GB2312" w:hAnsi="仿宋_GB2312" w:eastAsia="仿宋_GB2312" w:cs="仿宋_GB2312"/>
                <w:color w:val="auto"/>
                <w:sz w:val="24"/>
                <w:highlight w:val="none"/>
                <w:u w:val="single"/>
                <w:lang w:eastAsia="zh-CN"/>
              </w:rPr>
            </w:pPr>
            <w:r>
              <w:rPr>
                <w:rFonts w:hint="eastAsia" w:ascii="仿宋_GB2312" w:hAnsi="仿宋_GB2312" w:eastAsia="仿宋_GB2312" w:cs="仿宋_GB2312"/>
                <w:color w:val="auto"/>
                <w:sz w:val="24"/>
                <w:highlight w:val="none"/>
              </w:rPr>
              <w:t>项目编号：</w:t>
            </w:r>
            <w:r>
              <w:rPr>
                <w:rFonts w:hint="eastAsia" w:ascii="仿宋_GB2312" w:hAnsi="仿宋_GB2312" w:eastAsia="仿宋_GB2312" w:cs="仿宋_GB2312"/>
                <w:color w:val="auto"/>
                <w:sz w:val="24"/>
                <w:highlight w:val="none"/>
                <w:lang w:eastAsia="zh-CN"/>
              </w:rPr>
              <w:t>HXTDJC20220210</w:t>
            </w:r>
          </w:p>
          <w:p>
            <w:pPr>
              <w:spacing w:after="120"/>
              <w:rPr>
                <w:rFonts w:hint="eastAsia" w:ascii="仿宋_GB2312" w:hAnsi="仿宋_GB2312" w:eastAsia="仿宋_GB2312" w:cs="仿宋_GB2312"/>
                <w:color w:val="auto"/>
                <w:sz w:val="24"/>
                <w:highlight w:val="none"/>
                <w:u w:val="single"/>
                <w:lang w:eastAsia="zh-CN"/>
              </w:rPr>
            </w:pPr>
            <w:r>
              <w:rPr>
                <w:rFonts w:hint="eastAsia" w:ascii="仿宋_GB2312" w:hAnsi="仿宋_GB2312" w:eastAsia="仿宋_GB2312" w:cs="仿宋_GB2312"/>
                <w:color w:val="auto"/>
                <w:sz w:val="24"/>
                <w:highlight w:val="none"/>
              </w:rPr>
              <w:t>项目名称：</w:t>
            </w:r>
            <w:r>
              <w:rPr>
                <w:rFonts w:hint="eastAsia" w:ascii="仿宋_GB2312" w:hAnsi="仿宋_GB2312" w:eastAsia="仿宋_GB2312" w:cs="仿宋_GB2312"/>
                <w:color w:val="auto"/>
                <w:sz w:val="24"/>
                <w:highlight w:val="none"/>
                <w:lang w:eastAsia="zh-CN"/>
              </w:rPr>
              <w:t>13个行政监测断面设施设备运行维护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spacing w:after="120"/>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响应总价</w:t>
            </w:r>
          </w:p>
        </w:tc>
        <w:tc>
          <w:tcPr>
            <w:tcW w:w="6981" w:type="dxa"/>
            <w:vAlign w:val="center"/>
          </w:tcPr>
          <w:p>
            <w:pPr>
              <w:spacing w:after="120"/>
              <w:rPr>
                <w:rFonts w:ascii="仿宋_GB2312" w:hAnsi="仿宋_GB2312" w:eastAsia="仿宋_GB2312" w:cs="仿宋_GB2312"/>
                <w:i/>
                <w:color w:val="auto"/>
                <w:sz w:val="24"/>
                <w:highlight w:val="none"/>
              </w:rPr>
            </w:pPr>
            <w:r>
              <w:rPr>
                <w:rFonts w:hint="eastAsia" w:ascii="仿宋_GB2312" w:hAnsi="仿宋_GB2312" w:eastAsia="仿宋_GB2312" w:cs="仿宋_GB2312"/>
                <w:color w:val="auto"/>
                <w:sz w:val="24"/>
                <w:highlight w:val="none"/>
              </w:rPr>
              <w:t>人民币（大写）： 整（小写：</w:t>
            </w:r>
            <w:r>
              <w:rPr>
                <w:rFonts w:hint="eastAsia" w:ascii="宋体" w:hAnsi="宋体" w:eastAsia="宋体" w:cs="宋体"/>
                <w:color w:val="auto"/>
                <w:sz w:val="24"/>
                <w:highlight w:val="none"/>
              </w:rPr>
              <w:t>¥</w:t>
            </w:r>
            <w:r>
              <w:rPr>
                <w:rFonts w:hint="eastAsia" w:ascii="仿宋_GB2312" w:hAnsi="仿宋_GB2312" w:eastAsia="仿宋_GB2312" w:cs="仿宋_GB2312"/>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服务期</w:t>
            </w:r>
          </w:p>
        </w:tc>
        <w:tc>
          <w:tcPr>
            <w:tcW w:w="6981" w:type="dxa"/>
            <w:vAlign w:val="center"/>
          </w:tcPr>
          <w:p>
            <w:pPr>
              <w:spacing w:after="120"/>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服务地点</w:t>
            </w:r>
          </w:p>
        </w:tc>
        <w:tc>
          <w:tcPr>
            <w:tcW w:w="6981" w:type="dxa"/>
            <w:vAlign w:val="center"/>
          </w:tcPr>
          <w:p>
            <w:pPr>
              <w:spacing w:after="120"/>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spacing w:after="120"/>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备注</w:t>
            </w:r>
          </w:p>
        </w:tc>
        <w:tc>
          <w:tcPr>
            <w:tcW w:w="6981" w:type="dxa"/>
            <w:vAlign w:val="center"/>
          </w:tcPr>
          <w:p>
            <w:pPr>
              <w:spacing w:after="120"/>
              <w:rPr>
                <w:rFonts w:ascii="仿宋_GB2312" w:hAnsi="仿宋_GB2312" w:eastAsia="仿宋_GB2312" w:cs="仿宋_GB2312"/>
                <w:color w:val="auto"/>
                <w:sz w:val="24"/>
                <w:highlight w:val="none"/>
              </w:rPr>
            </w:pPr>
          </w:p>
        </w:tc>
      </w:tr>
    </w:tbl>
    <w:p>
      <w:pPr>
        <w:pStyle w:val="3"/>
        <w:rPr>
          <w:color w:val="auto"/>
          <w:highlight w:val="none"/>
          <w:lang w:val="zh-CN"/>
        </w:rPr>
      </w:pPr>
    </w:p>
    <w:p>
      <w:pPr>
        <w:autoSpaceDE w:val="0"/>
        <w:autoSpaceDN w:val="0"/>
        <w:adjustRightInd w:val="0"/>
        <w:snapToGrid w:val="0"/>
        <w:spacing w:line="360" w:lineRule="auto"/>
        <w:rPr>
          <w:rFonts w:ascii="仿宋_GB2312" w:hAnsi="仿宋_GB2312" w:eastAsia="仿宋_GB2312" w:cs="仿宋_GB2312"/>
          <w:b/>
          <w:bCs/>
          <w:color w:val="auto"/>
          <w:sz w:val="24"/>
          <w:highlight w:val="none"/>
        </w:rPr>
      </w:pPr>
    </w:p>
    <w:p>
      <w:pPr>
        <w:autoSpaceDE w:val="0"/>
        <w:autoSpaceDN w:val="0"/>
        <w:adjustRightInd w:val="0"/>
        <w:snapToGrid w:val="0"/>
        <w:spacing w:line="360" w:lineRule="auto"/>
        <w:rPr>
          <w:rFonts w:ascii="仿宋_GB2312" w:hAnsi="仿宋_GB2312" w:eastAsia="仿宋_GB2312" w:cs="仿宋_GB2312"/>
          <w:color w:val="auto"/>
          <w:sz w:val="24"/>
          <w:highlight w:val="none"/>
        </w:rPr>
      </w:pPr>
    </w:p>
    <w:p>
      <w:pPr>
        <w:autoSpaceDE w:val="0"/>
        <w:autoSpaceDN w:val="0"/>
        <w:adjustRightInd w:val="0"/>
        <w:snapToGrid w:val="0"/>
        <w:spacing w:line="360" w:lineRule="auto"/>
        <w:ind w:firstLine="1080" w:firstLineChars="45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供应商法定代表人</w:t>
      </w:r>
      <w:r>
        <w:rPr>
          <w:rFonts w:hint="eastAsia" w:ascii="仿宋_GB2312" w:hAnsi="仿宋_GB2312" w:eastAsia="仿宋_GB2312" w:cs="仿宋_GB2312"/>
          <w:color w:val="auto"/>
          <w:sz w:val="24"/>
          <w:highlight w:val="none"/>
        </w:rPr>
        <w:t>或</w:t>
      </w:r>
      <w:r>
        <w:rPr>
          <w:rFonts w:hint="eastAsia" w:ascii="仿宋_GB2312" w:hAnsi="仿宋_GB2312" w:eastAsia="仿宋_GB2312" w:cs="仿宋_GB2312"/>
          <w:color w:val="auto"/>
          <w:sz w:val="24"/>
          <w:highlight w:val="none"/>
          <w:lang w:val="zh-CN"/>
        </w:rPr>
        <w:t>授权代表</w:t>
      </w:r>
    </w:p>
    <w:p>
      <w:pPr>
        <w:autoSpaceDE w:val="0"/>
        <w:autoSpaceDN w:val="0"/>
        <w:adjustRightInd w:val="0"/>
        <w:snapToGrid w:val="0"/>
        <w:spacing w:line="360" w:lineRule="auto"/>
        <w:ind w:firstLine="960" w:firstLineChars="40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（公章）：                            （</w:t>
      </w:r>
      <w:r>
        <w:rPr>
          <w:rFonts w:hint="eastAsia" w:ascii="仿宋_GB2312" w:hAnsi="仿宋_GB2312" w:eastAsia="仿宋_GB2312" w:cs="仿宋_GB2312"/>
          <w:b/>
          <w:color w:val="auto"/>
          <w:sz w:val="24"/>
          <w:highlight w:val="none"/>
          <w:lang w:val="zh-CN"/>
        </w:rPr>
        <w:t>签字</w:t>
      </w:r>
      <w:r>
        <w:rPr>
          <w:rFonts w:hint="eastAsia" w:ascii="仿宋_GB2312" w:hAnsi="仿宋_GB2312" w:eastAsia="仿宋_GB2312" w:cs="仿宋_GB2312"/>
          <w:color w:val="auto"/>
          <w:sz w:val="24"/>
          <w:highlight w:val="none"/>
          <w:lang w:val="zh-CN"/>
        </w:rPr>
        <w:t>）：</w:t>
      </w:r>
    </w:p>
    <w:p>
      <w:pPr>
        <w:autoSpaceDE w:val="0"/>
        <w:autoSpaceDN w:val="0"/>
        <w:adjustRightInd w:val="0"/>
        <w:snapToGrid w:val="0"/>
        <w:spacing w:line="360" w:lineRule="auto"/>
        <w:rPr>
          <w:rFonts w:ascii="仿宋_GB2312" w:hAnsi="仿宋_GB2312" w:eastAsia="仿宋_GB2312" w:cs="仿宋_GB2312"/>
          <w:color w:val="auto"/>
          <w:sz w:val="24"/>
          <w:highlight w:val="none"/>
          <w:lang w:val="zh-CN"/>
        </w:rPr>
      </w:pPr>
    </w:p>
    <w:p>
      <w:pPr>
        <w:autoSpaceDE w:val="0"/>
        <w:autoSpaceDN w:val="0"/>
        <w:adjustRightInd w:val="0"/>
        <w:snapToGrid w:val="0"/>
        <w:spacing w:line="360" w:lineRule="auto"/>
        <w:rPr>
          <w:rFonts w:ascii="仿宋_GB2312" w:hAnsi="仿宋_GB2312" w:eastAsia="仿宋_GB2312" w:cs="仿宋_GB2312"/>
          <w:color w:val="auto"/>
          <w:sz w:val="24"/>
          <w:highlight w:val="none"/>
          <w:lang w:val="zh-CN"/>
        </w:rPr>
      </w:pPr>
    </w:p>
    <w:p>
      <w:pPr>
        <w:autoSpaceDE w:val="0"/>
        <w:autoSpaceDN w:val="0"/>
        <w:adjustRightInd w:val="0"/>
        <w:snapToGrid w:val="0"/>
        <w:spacing w:line="360" w:lineRule="auto"/>
        <w:ind w:firstLine="240" w:firstLineChars="10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年 月日</w:t>
      </w:r>
    </w:p>
    <w:p>
      <w:pPr>
        <w:spacing w:after="120"/>
        <w:rPr>
          <w:rFonts w:ascii="仿宋_GB2312" w:hAnsi="仿宋_GB2312" w:eastAsia="仿宋_GB2312" w:cs="仿宋_GB2312"/>
          <w:b/>
          <w:bCs/>
          <w:color w:val="auto"/>
          <w:sz w:val="30"/>
          <w:szCs w:val="30"/>
          <w:highlight w:val="none"/>
        </w:rPr>
        <w:sectPr>
          <w:footerReference r:id="rId11" w:type="first"/>
          <w:headerReference r:id="rId9" w:type="default"/>
          <w:footerReference r:id="rId10" w:type="default"/>
          <w:pgSz w:w="11906" w:h="16838"/>
          <w:pgMar w:top="1418" w:right="1418" w:bottom="1418" w:left="1418" w:header="851" w:footer="992" w:gutter="0"/>
          <w:pgNumType w:fmt="decimal"/>
          <w:cols w:space="720" w:num="1"/>
          <w:docGrid w:linePitch="312" w:charSpace="0"/>
        </w:sectPr>
      </w:pPr>
      <w:r>
        <w:rPr>
          <w:rFonts w:hint="eastAsia" w:ascii="仿宋_GB2312" w:hAnsi="仿宋_GB2312" w:eastAsia="仿宋_GB2312" w:cs="仿宋_GB2312"/>
          <w:color w:val="auto"/>
          <w:highlight w:val="none"/>
          <w:lang w:val="zh-CN"/>
        </w:rPr>
        <w:br w:type="page"/>
      </w:r>
    </w:p>
    <w:p>
      <w:pPr>
        <w:keepNext/>
        <w:keepLines/>
        <w:autoSpaceDE w:val="0"/>
        <w:autoSpaceDN w:val="0"/>
        <w:adjustRightInd w:val="0"/>
        <w:spacing w:line="360" w:lineRule="auto"/>
        <w:jc w:val="center"/>
        <w:outlineLvl w:val="2"/>
        <w:rPr>
          <w:rFonts w:ascii="仿宋_GB2312" w:hAnsi="仿宋_GB2312" w:eastAsia="仿宋_GB2312" w:cs="仿宋_GB2312"/>
          <w:b/>
          <w:color w:val="auto"/>
          <w:kern w:val="0"/>
          <w:sz w:val="32"/>
          <w:szCs w:val="32"/>
          <w:highlight w:val="none"/>
          <w:shd w:val="clear" w:color="auto" w:fill="FFFFFF"/>
        </w:rPr>
      </w:pPr>
      <w:r>
        <w:rPr>
          <w:rFonts w:hint="eastAsia" w:ascii="仿宋_GB2312" w:hAnsi="仿宋_GB2312" w:eastAsia="仿宋_GB2312" w:cs="仿宋_GB2312"/>
          <w:b/>
          <w:color w:val="auto"/>
          <w:kern w:val="0"/>
          <w:sz w:val="32"/>
          <w:szCs w:val="32"/>
          <w:highlight w:val="none"/>
          <w:shd w:val="clear" w:color="auto" w:fill="FFFFFF"/>
        </w:rPr>
        <w:t>（最后）分项报价表</w:t>
      </w:r>
    </w:p>
    <w:p>
      <w:pPr>
        <w:pStyle w:val="3"/>
        <w:rPr>
          <w:color w:val="auto"/>
          <w:highlight w:val="none"/>
        </w:rPr>
      </w:pPr>
      <w:r>
        <w:rPr>
          <w:rFonts w:hint="eastAsia"/>
          <w:color w:val="auto"/>
          <w:highlight w:val="none"/>
        </w:rPr>
        <w:t xml:space="preserve">                      （随身携带，单独提供，无需装订在响应文件中）</w:t>
      </w:r>
    </w:p>
    <w:p>
      <w:pPr>
        <w:autoSpaceDE w:val="0"/>
        <w:autoSpaceDN w:val="0"/>
        <w:adjustRightInd w:val="0"/>
        <w:snapToGrid w:val="0"/>
        <w:spacing w:before="120" w:line="360" w:lineRule="auto"/>
        <w:ind w:left="-206" w:leftChars="-98"/>
        <w:jc w:val="left"/>
        <w:rPr>
          <w:rFonts w:ascii="仿宋" w:hAnsi="仿宋" w:eastAsia="仿宋"/>
          <w:color w:val="auto"/>
          <w:kern w:val="0"/>
          <w:sz w:val="24"/>
          <w:szCs w:val="28"/>
          <w:highlight w:val="none"/>
        </w:rPr>
      </w:pPr>
    </w:p>
    <w:p>
      <w:pPr>
        <w:pStyle w:val="3"/>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3"/>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3"/>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3"/>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3"/>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3"/>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3"/>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3"/>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3"/>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3"/>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3"/>
        <w:rPr>
          <w:rFonts w:ascii="仿宋" w:hAnsi="仿宋" w:eastAsia="仿宋"/>
          <w:color w:val="auto"/>
          <w:kern w:val="0"/>
          <w:sz w:val="24"/>
          <w:szCs w:val="28"/>
          <w:highlight w:val="none"/>
        </w:rPr>
      </w:pPr>
    </w:p>
    <w:p>
      <w:pPr>
        <w:rPr>
          <w:rFonts w:ascii="仿宋" w:hAnsi="仿宋" w:eastAsia="仿宋"/>
          <w:color w:val="auto"/>
          <w:kern w:val="0"/>
          <w:sz w:val="24"/>
          <w:szCs w:val="28"/>
          <w:highlight w:val="none"/>
        </w:rPr>
      </w:pPr>
    </w:p>
    <w:p>
      <w:pPr>
        <w:pStyle w:val="3"/>
        <w:rPr>
          <w:rFonts w:ascii="仿宋" w:hAnsi="仿宋" w:eastAsia="仿宋"/>
          <w:color w:val="auto"/>
          <w:kern w:val="0"/>
          <w:sz w:val="24"/>
          <w:szCs w:val="28"/>
          <w:highlight w:val="none"/>
        </w:rPr>
      </w:pPr>
    </w:p>
    <w:p>
      <w:pPr>
        <w:rPr>
          <w:color w:val="auto"/>
          <w:highlight w:val="none"/>
        </w:rPr>
      </w:pPr>
    </w:p>
    <w:p>
      <w:pPr>
        <w:adjustRightInd w:val="0"/>
        <w:snapToGrid w:val="0"/>
        <w:spacing w:line="360" w:lineRule="auto"/>
        <w:ind w:firstLine="1080" w:firstLineChars="450"/>
        <w:rPr>
          <w:rFonts w:ascii="仿宋_GB2312" w:hAnsi="仿宋" w:eastAsia="仿宋_GB2312"/>
          <w:color w:val="auto"/>
          <w:sz w:val="24"/>
          <w:highlight w:val="none"/>
        </w:rPr>
      </w:pPr>
      <w:r>
        <w:rPr>
          <w:rFonts w:hint="eastAsia" w:ascii="仿宋_GB2312" w:hAnsi="仿宋" w:eastAsia="仿宋_GB2312"/>
          <w:color w:val="auto"/>
          <w:sz w:val="24"/>
          <w:highlight w:val="none"/>
        </w:rPr>
        <w:t>投标人                         法定代表人或授权代表</w:t>
      </w:r>
    </w:p>
    <w:p>
      <w:pPr>
        <w:adjustRightInd w:val="0"/>
        <w:snapToGrid w:val="0"/>
        <w:spacing w:line="360" w:lineRule="auto"/>
        <w:ind w:left="-525" w:leftChars="-250" w:firstLine="1680" w:firstLineChars="700"/>
        <w:rPr>
          <w:rFonts w:ascii="仿宋_GB2312" w:hAnsi="仿宋_GB2312" w:eastAsia="仿宋_GB2312" w:cs="仿宋_GB2312"/>
          <w:color w:val="auto"/>
          <w:szCs w:val="21"/>
          <w:highlight w:val="none"/>
        </w:rPr>
      </w:pPr>
      <w:r>
        <w:rPr>
          <w:rFonts w:hint="eastAsia" w:ascii="仿宋_GB2312" w:hAnsi="仿宋" w:eastAsia="仿宋_GB2312"/>
          <w:color w:val="auto"/>
          <w:sz w:val="24"/>
          <w:highlight w:val="none"/>
        </w:rPr>
        <w:t>（公章）：                          （签字）：</w:t>
      </w:r>
    </w:p>
    <w:sectPr>
      <w:footerReference r:id="rId13" w:type="first"/>
      <w:footerReference r:id="rId12" w:type="default"/>
      <w:pgSz w:w="11906" w:h="16838"/>
      <w:pgMar w:top="1418" w:right="1418" w:bottom="1418" w:left="1418"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1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CF3C52"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MV Boli">
    <w:panose1 w:val="02000500030200090000"/>
    <w:charset w:val="00"/>
    <w:family w:val="auto"/>
    <w:pitch w:val="default"/>
    <w:sig w:usb0="00000003" w:usb1="00000000" w:usb2="00000100" w:usb3="00000000" w:csb0="00000001" w:csb1="00000000"/>
  </w:font>
  <w:font w:name="Wingdings 2">
    <w:panose1 w:val="05020102010507070707"/>
    <w:charset w:val="00"/>
    <w:family w:val="auto"/>
    <w:pitch w:val="default"/>
    <w:sig w:usb0="00000000" w:usb1="00000000" w:usb2="00000000" w:usb3="00000000" w:csb0="80000000" w:csb1="00000000"/>
  </w:font>
  <w:font w:name="方正大标宋简体">
    <w:altName w:val="Arial Unicode MS"/>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3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4"/>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4"/>
                          </w:pPr>
                          <w:r>
                            <w:fldChar w:fldCharType="begin"/>
                          </w:r>
                          <w:r>
                            <w:instrText xml:space="preserve"> PAGE  \* MERGEFORMAT </w:instrText>
                          </w:r>
                          <w: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1">
    <w:nsid w:val="FA2D3D5B"/>
    <w:multiLevelType w:val="singleLevel"/>
    <w:tmpl w:val="FA2D3D5B"/>
    <w:lvl w:ilvl="0" w:tentative="0">
      <w:start w:val="30"/>
      <w:numFmt w:val="decimal"/>
      <w:suff w:val="space"/>
      <w:lvlText w:val="%1."/>
      <w:lvlJc w:val="left"/>
    </w:lvl>
  </w:abstractNum>
  <w:abstractNum w:abstractNumId="2">
    <w:nsid w:val="0000000E"/>
    <w:multiLevelType w:val="multilevel"/>
    <w:tmpl w:val="0000000E"/>
    <w:lvl w:ilvl="0" w:tentative="0">
      <w:start w:val="1"/>
      <w:numFmt w:val="decimal"/>
      <w:pStyle w:val="91"/>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6"/>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1035497F"/>
    <w:multiLevelType w:val="singleLevel"/>
    <w:tmpl w:val="1035497F"/>
    <w:lvl w:ilvl="0" w:tentative="0">
      <w:start w:val="5"/>
      <w:numFmt w:val="decimal"/>
      <w:suff w:val="space"/>
      <w:lvlText w:val="%1."/>
      <w:lvlJc w:val="left"/>
    </w:lvl>
  </w:abstractNum>
  <w:abstractNum w:abstractNumId="7">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8">
    <w:nsid w:val="359CB8E8"/>
    <w:multiLevelType w:val="singleLevel"/>
    <w:tmpl w:val="359CB8E8"/>
    <w:lvl w:ilvl="0" w:tentative="0">
      <w:start w:val="1"/>
      <w:numFmt w:val="chineseCounting"/>
      <w:suff w:val="nothing"/>
      <w:lvlText w:val="%1、"/>
      <w:lvlJc w:val="left"/>
      <w:rPr>
        <w:rFonts w:hint="eastAsia"/>
      </w:rPr>
    </w:lvl>
  </w:abstractNum>
  <w:abstractNum w:abstractNumId="9">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10">
    <w:nsid w:val="537AA372"/>
    <w:multiLevelType w:val="singleLevel"/>
    <w:tmpl w:val="537AA372"/>
    <w:lvl w:ilvl="0" w:tentative="0">
      <w:start w:val="21"/>
      <w:numFmt w:val="decimal"/>
      <w:suff w:val="space"/>
      <w:lvlText w:val="%1."/>
      <w:lvlJc w:val="left"/>
    </w:lvl>
  </w:abstractNum>
  <w:abstractNum w:abstractNumId="11">
    <w:nsid w:val="5AA8DCB0"/>
    <w:multiLevelType w:val="singleLevel"/>
    <w:tmpl w:val="5AA8DCB0"/>
    <w:lvl w:ilvl="0" w:tentative="0">
      <w:start w:val="1"/>
      <w:numFmt w:val="decimal"/>
      <w:suff w:val="nothing"/>
      <w:lvlText w:val="%1、"/>
      <w:lvlJc w:val="left"/>
    </w:lvl>
  </w:abstractNum>
  <w:abstractNum w:abstractNumId="12">
    <w:nsid w:val="5AAB3475"/>
    <w:multiLevelType w:val="singleLevel"/>
    <w:tmpl w:val="5AAB3475"/>
    <w:lvl w:ilvl="0" w:tentative="0">
      <w:start w:val="1"/>
      <w:numFmt w:val="decimal"/>
      <w:lvlText w:val="%1."/>
      <w:lvlJc w:val="left"/>
      <w:pPr>
        <w:ind w:left="425" w:hanging="425"/>
      </w:pPr>
      <w:rPr>
        <w:rFonts w:hint="default"/>
      </w:rPr>
    </w:lvl>
  </w:abstractNum>
  <w:abstractNum w:abstractNumId="13">
    <w:nsid w:val="5AAB3487"/>
    <w:multiLevelType w:val="singleLevel"/>
    <w:tmpl w:val="5AAB3487"/>
    <w:lvl w:ilvl="0" w:tentative="0">
      <w:start w:val="1"/>
      <w:numFmt w:val="decimal"/>
      <w:lvlText w:val="%1)"/>
      <w:lvlJc w:val="left"/>
      <w:pPr>
        <w:ind w:left="567" w:hanging="425"/>
      </w:pPr>
      <w:rPr>
        <w:rFonts w:hint="default"/>
      </w:rPr>
    </w:lvl>
  </w:abstractNum>
  <w:abstractNum w:abstractNumId="14">
    <w:nsid w:val="624D1350"/>
    <w:multiLevelType w:val="singleLevel"/>
    <w:tmpl w:val="624D1350"/>
    <w:lvl w:ilvl="0" w:tentative="0">
      <w:start w:val="25"/>
      <w:numFmt w:val="decimal"/>
      <w:suff w:val="space"/>
      <w:lvlText w:val="%1."/>
      <w:lvlJc w:val="left"/>
    </w:lvl>
  </w:abstractNum>
  <w:abstractNum w:abstractNumId="15">
    <w:nsid w:val="6CEA2025"/>
    <w:multiLevelType w:val="multilevel"/>
    <w:tmpl w:val="6CEA2025"/>
    <w:lvl w:ilvl="0" w:tentative="0">
      <w:start w:val="1"/>
      <w:numFmt w:val="none"/>
      <w:pStyle w:val="239"/>
      <w:suff w:val="nothing"/>
      <w:lvlText w:val="%1"/>
      <w:lvlJc w:val="left"/>
      <w:pPr>
        <w:ind w:left="0" w:firstLine="0"/>
      </w:pPr>
      <w:rPr>
        <w:rFonts w:hint="default" w:ascii="Times New Roman" w:hAnsi="Times New Roman"/>
        <w:b/>
        <w:i w:val="0"/>
        <w:sz w:val="21"/>
      </w:rPr>
    </w:lvl>
    <w:lvl w:ilvl="1" w:tentative="0">
      <w:start w:val="1"/>
      <w:numFmt w:val="decimal"/>
      <w:pStyle w:val="240"/>
      <w:suff w:val="nothing"/>
      <w:lvlText w:val="%1%2　"/>
      <w:lvlJc w:val="left"/>
      <w:pPr>
        <w:ind w:left="315" w:firstLine="0"/>
      </w:pPr>
      <w:rPr>
        <w:rFonts w:hint="eastAsia" w:ascii="黑体" w:hAnsi="Times New Roman" w:eastAsia="黑体"/>
        <w:b w:val="0"/>
        <w:i w:val="0"/>
        <w:sz w:val="21"/>
      </w:rPr>
    </w:lvl>
    <w:lvl w:ilvl="2" w:tentative="0">
      <w:start w:val="1"/>
      <w:numFmt w:val="decimal"/>
      <w:pStyle w:val="241"/>
      <w:suff w:val="nothing"/>
      <w:lvlText w:val="%1%2.%3　"/>
      <w:lvlJc w:val="left"/>
      <w:pPr>
        <w:ind w:left="630" w:firstLine="0"/>
      </w:pPr>
      <w:rPr>
        <w:rFonts w:hint="eastAsia" w:ascii="黑体" w:hAnsi="Times New Roman" w:eastAsia="黑体"/>
        <w:b w:val="0"/>
        <w:i w:val="0"/>
        <w:sz w:val="21"/>
      </w:rPr>
    </w:lvl>
    <w:lvl w:ilvl="3" w:tentative="0">
      <w:start w:val="1"/>
      <w:numFmt w:val="decimal"/>
      <w:pStyle w:val="242"/>
      <w:suff w:val="nothing"/>
      <w:lvlText w:val="%1%2.%3.%4　"/>
      <w:lvlJc w:val="left"/>
      <w:pPr>
        <w:ind w:left="567" w:firstLine="0"/>
      </w:pPr>
      <w:rPr>
        <w:rFonts w:hint="eastAsia" w:ascii="黑体" w:hAnsi="Times New Roman" w:eastAsia="黑体"/>
        <w:b w:val="0"/>
        <w:i w:val="0"/>
        <w:sz w:val="21"/>
      </w:rPr>
    </w:lvl>
    <w:lvl w:ilvl="4" w:tentative="0">
      <w:start w:val="1"/>
      <w:numFmt w:val="decimal"/>
      <w:pStyle w:val="244"/>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5"/>
      <w:suff w:val="nothing"/>
      <w:lvlText w:val="%1%2.%3.%4.%5.%6　"/>
      <w:lvlJc w:val="left"/>
      <w:pPr>
        <w:ind w:left="0" w:firstLine="0"/>
      </w:pPr>
      <w:rPr>
        <w:rFonts w:hint="eastAsia" w:ascii="黑体" w:hAnsi="Times New Roman" w:eastAsia="黑体"/>
        <w:b w:val="0"/>
        <w:i w:val="0"/>
        <w:sz w:val="21"/>
      </w:rPr>
    </w:lvl>
    <w:lvl w:ilvl="6" w:tentative="0">
      <w:start w:val="1"/>
      <w:numFmt w:val="decimal"/>
      <w:pStyle w:val="2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7">
    <w:nsid w:val="74681D32"/>
    <w:multiLevelType w:val="multilevel"/>
    <w:tmpl w:val="74681D3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8">
    <w:nsid w:val="76933334"/>
    <w:multiLevelType w:val="multilevel"/>
    <w:tmpl w:val="76933334"/>
    <w:lvl w:ilvl="0" w:tentative="0">
      <w:start w:val="1"/>
      <w:numFmt w:val="none"/>
      <w:pStyle w:val="243"/>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5"/>
  </w:num>
  <w:num w:numId="4">
    <w:abstractNumId w:val="18"/>
  </w:num>
  <w:num w:numId="5">
    <w:abstractNumId w:val="6"/>
  </w:num>
  <w:num w:numId="6">
    <w:abstractNumId w:val="9"/>
  </w:num>
  <w:num w:numId="7">
    <w:abstractNumId w:val="0"/>
  </w:num>
  <w:num w:numId="8">
    <w:abstractNumId w:val="10"/>
  </w:num>
  <w:num w:numId="9">
    <w:abstractNumId w:val="14"/>
  </w:num>
  <w:num w:numId="10">
    <w:abstractNumId w:val="5"/>
  </w:num>
  <w:num w:numId="11">
    <w:abstractNumId w:val="1"/>
  </w:num>
  <w:num w:numId="12">
    <w:abstractNumId w:val="12"/>
  </w:num>
  <w:num w:numId="13">
    <w:abstractNumId w:val="13"/>
  </w:num>
  <w:num w:numId="14">
    <w:abstractNumId w:val="4"/>
  </w:num>
  <w:num w:numId="15">
    <w:abstractNumId w:val="11"/>
  </w:num>
  <w:num w:numId="16">
    <w:abstractNumId w:val="7"/>
  </w:num>
  <w:num w:numId="17">
    <w:abstractNumId w:val="16"/>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zY2NTkxMTgyNDIyNDNlMDM4ZDA2YzcxMWFmZjEifQ=="/>
  </w:docVars>
  <w:rsids>
    <w:rsidRoot w:val="00172A27"/>
    <w:rsid w:val="000076EB"/>
    <w:rsid w:val="00010824"/>
    <w:rsid w:val="00011C69"/>
    <w:rsid w:val="00017F4A"/>
    <w:rsid w:val="0003167F"/>
    <w:rsid w:val="00035C01"/>
    <w:rsid w:val="000360A4"/>
    <w:rsid w:val="000432ED"/>
    <w:rsid w:val="00043EA6"/>
    <w:rsid w:val="000449A9"/>
    <w:rsid w:val="00047D64"/>
    <w:rsid w:val="00051DDB"/>
    <w:rsid w:val="000524DF"/>
    <w:rsid w:val="00060BDF"/>
    <w:rsid w:val="00065875"/>
    <w:rsid w:val="000739EC"/>
    <w:rsid w:val="000864F6"/>
    <w:rsid w:val="00090E0B"/>
    <w:rsid w:val="00091EC9"/>
    <w:rsid w:val="0009361A"/>
    <w:rsid w:val="0009381E"/>
    <w:rsid w:val="00093935"/>
    <w:rsid w:val="00095A0C"/>
    <w:rsid w:val="0009799D"/>
    <w:rsid w:val="000A15A6"/>
    <w:rsid w:val="000A2D28"/>
    <w:rsid w:val="000A4FE6"/>
    <w:rsid w:val="000B5CCC"/>
    <w:rsid w:val="000C135C"/>
    <w:rsid w:val="000C3906"/>
    <w:rsid w:val="000C5BB6"/>
    <w:rsid w:val="000D231B"/>
    <w:rsid w:val="000D4A95"/>
    <w:rsid w:val="000D6BDC"/>
    <w:rsid w:val="000D7E41"/>
    <w:rsid w:val="000E103E"/>
    <w:rsid w:val="000E1212"/>
    <w:rsid w:val="000E2D1B"/>
    <w:rsid w:val="000E5101"/>
    <w:rsid w:val="000E638B"/>
    <w:rsid w:val="000F3A5B"/>
    <w:rsid w:val="001019AA"/>
    <w:rsid w:val="001027AD"/>
    <w:rsid w:val="00106BC6"/>
    <w:rsid w:val="00112F6D"/>
    <w:rsid w:val="0011313B"/>
    <w:rsid w:val="0012603F"/>
    <w:rsid w:val="00130EAA"/>
    <w:rsid w:val="00134EE0"/>
    <w:rsid w:val="00136E83"/>
    <w:rsid w:val="00145E81"/>
    <w:rsid w:val="001500A1"/>
    <w:rsid w:val="0015108F"/>
    <w:rsid w:val="0015361A"/>
    <w:rsid w:val="00153D2A"/>
    <w:rsid w:val="001618BA"/>
    <w:rsid w:val="00162B16"/>
    <w:rsid w:val="001633CE"/>
    <w:rsid w:val="00167244"/>
    <w:rsid w:val="00170E92"/>
    <w:rsid w:val="00172A27"/>
    <w:rsid w:val="00173C23"/>
    <w:rsid w:val="00175AAF"/>
    <w:rsid w:val="00183796"/>
    <w:rsid w:val="00185079"/>
    <w:rsid w:val="00187220"/>
    <w:rsid w:val="00194AEF"/>
    <w:rsid w:val="001A26CA"/>
    <w:rsid w:val="001A31AB"/>
    <w:rsid w:val="001B1FDC"/>
    <w:rsid w:val="001B2823"/>
    <w:rsid w:val="001B354A"/>
    <w:rsid w:val="001B3620"/>
    <w:rsid w:val="001B388E"/>
    <w:rsid w:val="001B3B0E"/>
    <w:rsid w:val="001B7144"/>
    <w:rsid w:val="001C1032"/>
    <w:rsid w:val="001C180D"/>
    <w:rsid w:val="001C3B26"/>
    <w:rsid w:val="001D0DA4"/>
    <w:rsid w:val="001D3446"/>
    <w:rsid w:val="001D4132"/>
    <w:rsid w:val="001D5293"/>
    <w:rsid w:val="001D5FDA"/>
    <w:rsid w:val="001E0BCB"/>
    <w:rsid w:val="001E13CC"/>
    <w:rsid w:val="001E5ACA"/>
    <w:rsid w:val="001E6E32"/>
    <w:rsid w:val="001F2DA3"/>
    <w:rsid w:val="001F642F"/>
    <w:rsid w:val="00200AA2"/>
    <w:rsid w:val="00210A41"/>
    <w:rsid w:val="0021263B"/>
    <w:rsid w:val="0021351E"/>
    <w:rsid w:val="002156D3"/>
    <w:rsid w:val="00220DD5"/>
    <w:rsid w:val="00222276"/>
    <w:rsid w:val="0022779B"/>
    <w:rsid w:val="00236B3C"/>
    <w:rsid w:val="00237812"/>
    <w:rsid w:val="00240C69"/>
    <w:rsid w:val="00246479"/>
    <w:rsid w:val="00247D31"/>
    <w:rsid w:val="002527EC"/>
    <w:rsid w:val="0026051F"/>
    <w:rsid w:val="00262E9E"/>
    <w:rsid w:val="0026552B"/>
    <w:rsid w:val="002713C4"/>
    <w:rsid w:val="0027169F"/>
    <w:rsid w:val="0027314A"/>
    <w:rsid w:val="00276156"/>
    <w:rsid w:val="0028153C"/>
    <w:rsid w:val="0028435C"/>
    <w:rsid w:val="00290692"/>
    <w:rsid w:val="00290B93"/>
    <w:rsid w:val="00293DE8"/>
    <w:rsid w:val="0029438A"/>
    <w:rsid w:val="00294F2B"/>
    <w:rsid w:val="002957B2"/>
    <w:rsid w:val="002A0D21"/>
    <w:rsid w:val="002A5A2C"/>
    <w:rsid w:val="002B1655"/>
    <w:rsid w:val="002B1779"/>
    <w:rsid w:val="002B1CDB"/>
    <w:rsid w:val="002B28F2"/>
    <w:rsid w:val="002B4680"/>
    <w:rsid w:val="002B46E7"/>
    <w:rsid w:val="002B5FA1"/>
    <w:rsid w:val="002B646E"/>
    <w:rsid w:val="002B68F2"/>
    <w:rsid w:val="002B7042"/>
    <w:rsid w:val="002C20D3"/>
    <w:rsid w:val="002C4263"/>
    <w:rsid w:val="002D1DB2"/>
    <w:rsid w:val="002D224B"/>
    <w:rsid w:val="002D225D"/>
    <w:rsid w:val="002D4A13"/>
    <w:rsid w:val="002E321E"/>
    <w:rsid w:val="002E32E8"/>
    <w:rsid w:val="002E5A17"/>
    <w:rsid w:val="002E601A"/>
    <w:rsid w:val="002F1770"/>
    <w:rsid w:val="002F2F49"/>
    <w:rsid w:val="002F2FB6"/>
    <w:rsid w:val="002F5F72"/>
    <w:rsid w:val="002F6981"/>
    <w:rsid w:val="00304929"/>
    <w:rsid w:val="00310A20"/>
    <w:rsid w:val="00326D08"/>
    <w:rsid w:val="00334EF7"/>
    <w:rsid w:val="00355C44"/>
    <w:rsid w:val="00367444"/>
    <w:rsid w:val="003703B4"/>
    <w:rsid w:val="0037250B"/>
    <w:rsid w:val="00373E63"/>
    <w:rsid w:val="0037458F"/>
    <w:rsid w:val="003778AA"/>
    <w:rsid w:val="003803CD"/>
    <w:rsid w:val="003816EF"/>
    <w:rsid w:val="00383DEC"/>
    <w:rsid w:val="0038577F"/>
    <w:rsid w:val="00387748"/>
    <w:rsid w:val="0039011E"/>
    <w:rsid w:val="00394350"/>
    <w:rsid w:val="00394484"/>
    <w:rsid w:val="003A02D7"/>
    <w:rsid w:val="003A0A59"/>
    <w:rsid w:val="003C1B37"/>
    <w:rsid w:val="003C5F20"/>
    <w:rsid w:val="003D08D2"/>
    <w:rsid w:val="003D1432"/>
    <w:rsid w:val="003D378B"/>
    <w:rsid w:val="003D6CC0"/>
    <w:rsid w:val="003D6F83"/>
    <w:rsid w:val="003E0455"/>
    <w:rsid w:val="003E6091"/>
    <w:rsid w:val="003E6268"/>
    <w:rsid w:val="003F1C98"/>
    <w:rsid w:val="00400609"/>
    <w:rsid w:val="00402745"/>
    <w:rsid w:val="0040289E"/>
    <w:rsid w:val="004035B3"/>
    <w:rsid w:val="004057AC"/>
    <w:rsid w:val="00410849"/>
    <w:rsid w:val="00421C0B"/>
    <w:rsid w:val="004247BB"/>
    <w:rsid w:val="00424FDA"/>
    <w:rsid w:val="00424FED"/>
    <w:rsid w:val="00425851"/>
    <w:rsid w:val="00425E9F"/>
    <w:rsid w:val="00427494"/>
    <w:rsid w:val="0043286E"/>
    <w:rsid w:val="00441E37"/>
    <w:rsid w:val="00442A84"/>
    <w:rsid w:val="00443C15"/>
    <w:rsid w:val="00465B46"/>
    <w:rsid w:val="00467B48"/>
    <w:rsid w:val="004810E3"/>
    <w:rsid w:val="00494A82"/>
    <w:rsid w:val="004A0A68"/>
    <w:rsid w:val="004A4BC1"/>
    <w:rsid w:val="004A6CB2"/>
    <w:rsid w:val="004B012C"/>
    <w:rsid w:val="004B4658"/>
    <w:rsid w:val="004B498E"/>
    <w:rsid w:val="004B631E"/>
    <w:rsid w:val="004C17E7"/>
    <w:rsid w:val="004C2993"/>
    <w:rsid w:val="004D1511"/>
    <w:rsid w:val="004D3A80"/>
    <w:rsid w:val="004D5228"/>
    <w:rsid w:val="004E0461"/>
    <w:rsid w:val="004E069A"/>
    <w:rsid w:val="004F4B90"/>
    <w:rsid w:val="00500014"/>
    <w:rsid w:val="0050046A"/>
    <w:rsid w:val="00504579"/>
    <w:rsid w:val="00504DD9"/>
    <w:rsid w:val="00505D0E"/>
    <w:rsid w:val="005118AC"/>
    <w:rsid w:val="005120B4"/>
    <w:rsid w:val="00520A9F"/>
    <w:rsid w:val="00521994"/>
    <w:rsid w:val="00531619"/>
    <w:rsid w:val="00533DBA"/>
    <w:rsid w:val="005349DD"/>
    <w:rsid w:val="00543323"/>
    <w:rsid w:val="00553423"/>
    <w:rsid w:val="00562743"/>
    <w:rsid w:val="00562C82"/>
    <w:rsid w:val="0057296E"/>
    <w:rsid w:val="00572DA7"/>
    <w:rsid w:val="00573153"/>
    <w:rsid w:val="00573C62"/>
    <w:rsid w:val="00574517"/>
    <w:rsid w:val="00582E2D"/>
    <w:rsid w:val="00594BFB"/>
    <w:rsid w:val="005A3176"/>
    <w:rsid w:val="005A3911"/>
    <w:rsid w:val="005B0EE1"/>
    <w:rsid w:val="005B4961"/>
    <w:rsid w:val="005C1347"/>
    <w:rsid w:val="005C2FC9"/>
    <w:rsid w:val="005C32D0"/>
    <w:rsid w:val="005C75CD"/>
    <w:rsid w:val="005D0DAD"/>
    <w:rsid w:val="005D3236"/>
    <w:rsid w:val="005D391F"/>
    <w:rsid w:val="005D4608"/>
    <w:rsid w:val="005D5C6A"/>
    <w:rsid w:val="005D626C"/>
    <w:rsid w:val="005E226F"/>
    <w:rsid w:val="005E62A2"/>
    <w:rsid w:val="005E725B"/>
    <w:rsid w:val="005F2153"/>
    <w:rsid w:val="005F22FA"/>
    <w:rsid w:val="005F5F4A"/>
    <w:rsid w:val="005F65DF"/>
    <w:rsid w:val="005F7683"/>
    <w:rsid w:val="00610176"/>
    <w:rsid w:val="0062765A"/>
    <w:rsid w:val="0063060A"/>
    <w:rsid w:val="00630C07"/>
    <w:rsid w:val="00630C0C"/>
    <w:rsid w:val="0064266B"/>
    <w:rsid w:val="00643C14"/>
    <w:rsid w:val="00651B51"/>
    <w:rsid w:val="0065448D"/>
    <w:rsid w:val="006561CA"/>
    <w:rsid w:val="0065724B"/>
    <w:rsid w:val="00660AD9"/>
    <w:rsid w:val="00661C43"/>
    <w:rsid w:val="0066575C"/>
    <w:rsid w:val="00670409"/>
    <w:rsid w:val="0067503A"/>
    <w:rsid w:val="00675BB2"/>
    <w:rsid w:val="006760B5"/>
    <w:rsid w:val="00682569"/>
    <w:rsid w:val="00684CC0"/>
    <w:rsid w:val="00685847"/>
    <w:rsid w:val="006859E8"/>
    <w:rsid w:val="00690146"/>
    <w:rsid w:val="00691990"/>
    <w:rsid w:val="00694AD5"/>
    <w:rsid w:val="006A414E"/>
    <w:rsid w:val="006A5F7C"/>
    <w:rsid w:val="006A6858"/>
    <w:rsid w:val="006A7003"/>
    <w:rsid w:val="006B00F6"/>
    <w:rsid w:val="006C0DD3"/>
    <w:rsid w:val="006C20DF"/>
    <w:rsid w:val="006C3F78"/>
    <w:rsid w:val="006C6120"/>
    <w:rsid w:val="006C7DB2"/>
    <w:rsid w:val="006D02B6"/>
    <w:rsid w:val="006D063F"/>
    <w:rsid w:val="006D2517"/>
    <w:rsid w:val="006D5FD5"/>
    <w:rsid w:val="006D6999"/>
    <w:rsid w:val="006E165D"/>
    <w:rsid w:val="006E4B98"/>
    <w:rsid w:val="006E4E35"/>
    <w:rsid w:val="006E6E80"/>
    <w:rsid w:val="006F1B11"/>
    <w:rsid w:val="006F1E2E"/>
    <w:rsid w:val="006F70E2"/>
    <w:rsid w:val="006F72F9"/>
    <w:rsid w:val="006F7DCD"/>
    <w:rsid w:val="0070043D"/>
    <w:rsid w:val="00705212"/>
    <w:rsid w:val="00707621"/>
    <w:rsid w:val="007079A5"/>
    <w:rsid w:val="007108A1"/>
    <w:rsid w:val="00711EA4"/>
    <w:rsid w:val="00716957"/>
    <w:rsid w:val="00720269"/>
    <w:rsid w:val="007219AF"/>
    <w:rsid w:val="007247E7"/>
    <w:rsid w:val="007249D9"/>
    <w:rsid w:val="00724A04"/>
    <w:rsid w:val="007346B5"/>
    <w:rsid w:val="00735AA2"/>
    <w:rsid w:val="00735EA4"/>
    <w:rsid w:val="00740059"/>
    <w:rsid w:val="00740FB3"/>
    <w:rsid w:val="00741789"/>
    <w:rsid w:val="00744A89"/>
    <w:rsid w:val="00745687"/>
    <w:rsid w:val="00747962"/>
    <w:rsid w:val="0075070D"/>
    <w:rsid w:val="00751324"/>
    <w:rsid w:val="00752C78"/>
    <w:rsid w:val="007603C6"/>
    <w:rsid w:val="00762641"/>
    <w:rsid w:val="00767EB5"/>
    <w:rsid w:val="0077123A"/>
    <w:rsid w:val="00772B56"/>
    <w:rsid w:val="0077391F"/>
    <w:rsid w:val="00777AD6"/>
    <w:rsid w:val="00781479"/>
    <w:rsid w:val="007820A4"/>
    <w:rsid w:val="007847E9"/>
    <w:rsid w:val="00787F49"/>
    <w:rsid w:val="00790A08"/>
    <w:rsid w:val="007925D2"/>
    <w:rsid w:val="007971F8"/>
    <w:rsid w:val="00797C0F"/>
    <w:rsid w:val="007A5B87"/>
    <w:rsid w:val="007B3285"/>
    <w:rsid w:val="007B5519"/>
    <w:rsid w:val="007C4C08"/>
    <w:rsid w:val="007C6A3F"/>
    <w:rsid w:val="007D2F26"/>
    <w:rsid w:val="007D47D5"/>
    <w:rsid w:val="007E1E5B"/>
    <w:rsid w:val="007E5F14"/>
    <w:rsid w:val="007E71F5"/>
    <w:rsid w:val="007E73B0"/>
    <w:rsid w:val="007F1B7B"/>
    <w:rsid w:val="007F4D32"/>
    <w:rsid w:val="00801DEF"/>
    <w:rsid w:val="0080217E"/>
    <w:rsid w:val="008031F1"/>
    <w:rsid w:val="00803280"/>
    <w:rsid w:val="00804A4E"/>
    <w:rsid w:val="00807872"/>
    <w:rsid w:val="00817CCC"/>
    <w:rsid w:val="00826B74"/>
    <w:rsid w:val="00831006"/>
    <w:rsid w:val="008357E9"/>
    <w:rsid w:val="00845769"/>
    <w:rsid w:val="0084595F"/>
    <w:rsid w:val="00855B04"/>
    <w:rsid w:val="00865539"/>
    <w:rsid w:val="00866447"/>
    <w:rsid w:val="00867C65"/>
    <w:rsid w:val="00872B82"/>
    <w:rsid w:val="00874426"/>
    <w:rsid w:val="008761AB"/>
    <w:rsid w:val="00881621"/>
    <w:rsid w:val="008855E4"/>
    <w:rsid w:val="008861AE"/>
    <w:rsid w:val="00886814"/>
    <w:rsid w:val="008A594E"/>
    <w:rsid w:val="008B4671"/>
    <w:rsid w:val="008B5C32"/>
    <w:rsid w:val="008B7216"/>
    <w:rsid w:val="008C000B"/>
    <w:rsid w:val="008C3554"/>
    <w:rsid w:val="008C4E5C"/>
    <w:rsid w:val="008C633E"/>
    <w:rsid w:val="008D1DDB"/>
    <w:rsid w:val="008D4781"/>
    <w:rsid w:val="008D47E6"/>
    <w:rsid w:val="008E1587"/>
    <w:rsid w:val="008E64B8"/>
    <w:rsid w:val="008F2A45"/>
    <w:rsid w:val="008F42F1"/>
    <w:rsid w:val="008F5042"/>
    <w:rsid w:val="00902DE7"/>
    <w:rsid w:val="00904AE8"/>
    <w:rsid w:val="0091049B"/>
    <w:rsid w:val="00912229"/>
    <w:rsid w:val="00915E8C"/>
    <w:rsid w:val="00921008"/>
    <w:rsid w:val="00921EB2"/>
    <w:rsid w:val="009224A5"/>
    <w:rsid w:val="009238F5"/>
    <w:rsid w:val="009312FA"/>
    <w:rsid w:val="0093690A"/>
    <w:rsid w:val="0094157C"/>
    <w:rsid w:val="00945555"/>
    <w:rsid w:val="009523E8"/>
    <w:rsid w:val="0095414E"/>
    <w:rsid w:val="00954420"/>
    <w:rsid w:val="00957118"/>
    <w:rsid w:val="00961697"/>
    <w:rsid w:val="009633A0"/>
    <w:rsid w:val="00972AD9"/>
    <w:rsid w:val="00972D74"/>
    <w:rsid w:val="0097394C"/>
    <w:rsid w:val="00976333"/>
    <w:rsid w:val="00976425"/>
    <w:rsid w:val="009808B4"/>
    <w:rsid w:val="00985D63"/>
    <w:rsid w:val="009864F9"/>
    <w:rsid w:val="0099054D"/>
    <w:rsid w:val="00992349"/>
    <w:rsid w:val="00992AA1"/>
    <w:rsid w:val="00994A20"/>
    <w:rsid w:val="009954FA"/>
    <w:rsid w:val="009A00B0"/>
    <w:rsid w:val="009A10A6"/>
    <w:rsid w:val="009B42B8"/>
    <w:rsid w:val="009B5AAB"/>
    <w:rsid w:val="009B5D0A"/>
    <w:rsid w:val="009B5E2B"/>
    <w:rsid w:val="009B633E"/>
    <w:rsid w:val="009C08A6"/>
    <w:rsid w:val="009C0994"/>
    <w:rsid w:val="009C339F"/>
    <w:rsid w:val="009C401D"/>
    <w:rsid w:val="009C7C3E"/>
    <w:rsid w:val="009D1A82"/>
    <w:rsid w:val="009D1BC2"/>
    <w:rsid w:val="009D4E57"/>
    <w:rsid w:val="009E30FC"/>
    <w:rsid w:val="009E6071"/>
    <w:rsid w:val="009E695E"/>
    <w:rsid w:val="009F19A2"/>
    <w:rsid w:val="009F56F2"/>
    <w:rsid w:val="009F61CC"/>
    <w:rsid w:val="00A1373A"/>
    <w:rsid w:val="00A13B44"/>
    <w:rsid w:val="00A14F27"/>
    <w:rsid w:val="00A22E4D"/>
    <w:rsid w:val="00A26715"/>
    <w:rsid w:val="00A30D88"/>
    <w:rsid w:val="00A32E49"/>
    <w:rsid w:val="00A32FE3"/>
    <w:rsid w:val="00A34F06"/>
    <w:rsid w:val="00A36093"/>
    <w:rsid w:val="00A36F6B"/>
    <w:rsid w:val="00A37966"/>
    <w:rsid w:val="00A4310B"/>
    <w:rsid w:val="00A43E43"/>
    <w:rsid w:val="00A45ECA"/>
    <w:rsid w:val="00A52C70"/>
    <w:rsid w:val="00A556AC"/>
    <w:rsid w:val="00A60B0A"/>
    <w:rsid w:val="00A60B1F"/>
    <w:rsid w:val="00A62048"/>
    <w:rsid w:val="00A627F3"/>
    <w:rsid w:val="00A62DE0"/>
    <w:rsid w:val="00A77387"/>
    <w:rsid w:val="00A80309"/>
    <w:rsid w:val="00A80EE8"/>
    <w:rsid w:val="00A85050"/>
    <w:rsid w:val="00A85AED"/>
    <w:rsid w:val="00A91861"/>
    <w:rsid w:val="00AA24F4"/>
    <w:rsid w:val="00AB0C96"/>
    <w:rsid w:val="00AB3A97"/>
    <w:rsid w:val="00AB4466"/>
    <w:rsid w:val="00AB5D9E"/>
    <w:rsid w:val="00AB762D"/>
    <w:rsid w:val="00AB7CB0"/>
    <w:rsid w:val="00AC3C7D"/>
    <w:rsid w:val="00AC5E2A"/>
    <w:rsid w:val="00AD2213"/>
    <w:rsid w:val="00AE1D80"/>
    <w:rsid w:val="00AF0FAA"/>
    <w:rsid w:val="00AF1C97"/>
    <w:rsid w:val="00AF28CD"/>
    <w:rsid w:val="00AF5482"/>
    <w:rsid w:val="00AF7370"/>
    <w:rsid w:val="00B02899"/>
    <w:rsid w:val="00B02F52"/>
    <w:rsid w:val="00B15DFE"/>
    <w:rsid w:val="00B168B4"/>
    <w:rsid w:val="00B20110"/>
    <w:rsid w:val="00B21407"/>
    <w:rsid w:val="00B310FE"/>
    <w:rsid w:val="00B31F50"/>
    <w:rsid w:val="00B32028"/>
    <w:rsid w:val="00B335B1"/>
    <w:rsid w:val="00B35514"/>
    <w:rsid w:val="00B36EA2"/>
    <w:rsid w:val="00B3729D"/>
    <w:rsid w:val="00B46D0B"/>
    <w:rsid w:val="00B51A48"/>
    <w:rsid w:val="00B5212F"/>
    <w:rsid w:val="00B52AF4"/>
    <w:rsid w:val="00B537AA"/>
    <w:rsid w:val="00B56FF2"/>
    <w:rsid w:val="00B8179D"/>
    <w:rsid w:val="00B84903"/>
    <w:rsid w:val="00B92025"/>
    <w:rsid w:val="00B967ED"/>
    <w:rsid w:val="00BA17CC"/>
    <w:rsid w:val="00BA6742"/>
    <w:rsid w:val="00BA7DCB"/>
    <w:rsid w:val="00BC231E"/>
    <w:rsid w:val="00BC3338"/>
    <w:rsid w:val="00BC34D8"/>
    <w:rsid w:val="00BC495B"/>
    <w:rsid w:val="00BC4FE1"/>
    <w:rsid w:val="00BC5F50"/>
    <w:rsid w:val="00BD2C47"/>
    <w:rsid w:val="00BD4D76"/>
    <w:rsid w:val="00BD4E36"/>
    <w:rsid w:val="00BD763B"/>
    <w:rsid w:val="00BE0BD0"/>
    <w:rsid w:val="00BE0C40"/>
    <w:rsid w:val="00BE4C8A"/>
    <w:rsid w:val="00BF233E"/>
    <w:rsid w:val="00BF3315"/>
    <w:rsid w:val="00BF63A3"/>
    <w:rsid w:val="00BF6944"/>
    <w:rsid w:val="00C00D16"/>
    <w:rsid w:val="00C053B5"/>
    <w:rsid w:val="00C05BD3"/>
    <w:rsid w:val="00C06780"/>
    <w:rsid w:val="00C06B71"/>
    <w:rsid w:val="00C17134"/>
    <w:rsid w:val="00C20ACB"/>
    <w:rsid w:val="00C22317"/>
    <w:rsid w:val="00C224CF"/>
    <w:rsid w:val="00C34B36"/>
    <w:rsid w:val="00C362FD"/>
    <w:rsid w:val="00C5104C"/>
    <w:rsid w:val="00C52136"/>
    <w:rsid w:val="00C53775"/>
    <w:rsid w:val="00C57033"/>
    <w:rsid w:val="00C6149A"/>
    <w:rsid w:val="00C61A4D"/>
    <w:rsid w:val="00C63FF4"/>
    <w:rsid w:val="00C650C0"/>
    <w:rsid w:val="00C72612"/>
    <w:rsid w:val="00C8377E"/>
    <w:rsid w:val="00C85CD6"/>
    <w:rsid w:val="00C92426"/>
    <w:rsid w:val="00C93EA5"/>
    <w:rsid w:val="00C94EED"/>
    <w:rsid w:val="00C9738A"/>
    <w:rsid w:val="00CA5206"/>
    <w:rsid w:val="00CA6B7F"/>
    <w:rsid w:val="00CB21CE"/>
    <w:rsid w:val="00CB450A"/>
    <w:rsid w:val="00CB5439"/>
    <w:rsid w:val="00CB689E"/>
    <w:rsid w:val="00CB694A"/>
    <w:rsid w:val="00CC0844"/>
    <w:rsid w:val="00CC0E95"/>
    <w:rsid w:val="00CC2D24"/>
    <w:rsid w:val="00CC3041"/>
    <w:rsid w:val="00CD26A8"/>
    <w:rsid w:val="00CD3EB4"/>
    <w:rsid w:val="00CD68B8"/>
    <w:rsid w:val="00CE1EC9"/>
    <w:rsid w:val="00CE68B4"/>
    <w:rsid w:val="00CE768C"/>
    <w:rsid w:val="00D01379"/>
    <w:rsid w:val="00D0569E"/>
    <w:rsid w:val="00D23560"/>
    <w:rsid w:val="00D25854"/>
    <w:rsid w:val="00D27402"/>
    <w:rsid w:val="00D30536"/>
    <w:rsid w:val="00D31E4B"/>
    <w:rsid w:val="00D325EA"/>
    <w:rsid w:val="00D3565A"/>
    <w:rsid w:val="00D411BC"/>
    <w:rsid w:val="00D41306"/>
    <w:rsid w:val="00D45F64"/>
    <w:rsid w:val="00D506F5"/>
    <w:rsid w:val="00D51A3F"/>
    <w:rsid w:val="00D54273"/>
    <w:rsid w:val="00D55ADC"/>
    <w:rsid w:val="00D62DF1"/>
    <w:rsid w:val="00D667BC"/>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4957"/>
    <w:rsid w:val="00D96F9A"/>
    <w:rsid w:val="00DA178E"/>
    <w:rsid w:val="00DA1939"/>
    <w:rsid w:val="00DA6A22"/>
    <w:rsid w:val="00DB5C9F"/>
    <w:rsid w:val="00DC0934"/>
    <w:rsid w:val="00DD10CD"/>
    <w:rsid w:val="00DE4818"/>
    <w:rsid w:val="00DF2F86"/>
    <w:rsid w:val="00DF4D97"/>
    <w:rsid w:val="00DF780E"/>
    <w:rsid w:val="00E04115"/>
    <w:rsid w:val="00E05A25"/>
    <w:rsid w:val="00E06BE5"/>
    <w:rsid w:val="00E114E0"/>
    <w:rsid w:val="00E11E91"/>
    <w:rsid w:val="00E127EE"/>
    <w:rsid w:val="00E13C48"/>
    <w:rsid w:val="00E1663B"/>
    <w:rsid w:val="00E251B3"/>
    <w:rsid w:val="00E26CB6"/>
    <w:rsid w:val="00E32C0B"/>
    <w:rsid w:val="00E33989"/>
    <w:rsid w:val="00E34F72"/>
    <w:rsid w:val="00E41A7C"/>
    <w:rsid w:val="00E42196"/>
    <w:rsid w:val="00E43AA8"/>
    <w:rsid w:val="00E44511"/>
    <w:rsid w:val="00E469B4"/>
    <w:rsid w:val="00E547C7"/>
    <w:rsid w:val="00E6011D"/>
    <w:rsid w:val="00E66313"/>
    <w:rsid w:val="00E71EEB"/>
    <w:rsid w:val="00E80D1E"/>
    <w:rsid w:val="00E81B72"/>
    <w:rsid w:val="00E90FA3"/>
    <w:rsid w:val="00E950EE"/>
    <w:rsid w:val="00E972E9"/>
    <w:rsid w:val="00EA4AF9"/>
    <w:rsid w:val="00EB019B"/>
    <w:rsid w:val="00EB1478"/>
    <w:rsid w:val="00EB17A4"/>
    <w:rsid w:val="00EB3115"/>
    <w:rsid w:val="00EB330A"/>
    <w:rsid w:val="00EB556C"/>
    <w:rsid w:val="00EB5B56"/>
    <w:rsid w:val="00EB75AB"/>
    <w:rsid w:val="00EC4AB3"/>
    <w:rsid w:val="00EC603D"/>
    <w:rsid w:val="00EC618E"/>
    <w:rsid w:val="00ED12D4"/>
    <w:rsid w:val="00ED4E89"/>
    <w:rsid w:val="00EE20B7"/>
    <w:rsid w:val="00EF77C3"/>
    <w:rsid w:val="00F00998"/>
    <w:rsid w:val="00F06D26"/>
    <w:rsid w:val="00F0784F"/>
    <w:rsid w:val="00F169DA"/>
    <w:rsid w:val="00F204B5"/>
    <w:rsid w:val="00F2464A"/>
    <w:rsid w:val="00F25E73"/>
    <w:rsid w:val="00F26088"/>
    <w:rsid w:val="00F2639D"/>
    <w:rsid w:val="00F41DAF"/>
    <w:rsid w:val="00F52936"/>
    <w:rsid w:val="00F52B8C"/>
    <w:rsid w:val="00F602DF"/>
    <w:rsid w:val="00F67C33"/>
    <w:rsid w:val="00F7008C"/>
    <w:rsid w:val="00F74506"/>
    <w:rsid w:val="00F77351"/>
    <w:rsid w:val="00F81A9D"/>
    <w:rsid w:val="00F83C5D"/>
    <w:rsid w:val="00F83DAA"/>
    <w:rsid w:val="00F854CB"/>
    <w:rsid w:val="00F92E18"/>
    <w:rsid w:val="00F95CCB"/>
    <w:rsid w:val="00F977A0"/>
    <w:rsid w:val="00FA1D2C"/>
    <w:rsid w:val="00FA1F1A"/>
    <w:rsid w:val="00FA2237"/>
    <w:rsid w:val="00FA2C5D"/>
    <w:rsid w:val="00FA5FF9"/>
    <w:rsid w:val="00FB49E3"/>
    <w:rsid w:val="00FB64AE"/>
    <w:rsid w:val="00FB7DA7"/>
    <w:rsid w:val="00FC2897"/>
    <w:rsid w:val="00FD2F77"/>
    <w:rsid w:val="00FD2F93"/>
    <w:rsid w:val="00FD71F3"/>
    <w:rsid w:val="00FE7373"/>
    <w:rsid w:val="00FF1ECD"/>
    <w:rsid w:val="00FF6AE6"/>
    <w:rsid w:val="01213A4F"/>
    <w:rsid w:val="01276CE6"/>
    <w:rsid w:val="01391AF7"/>
    <w:rsid w:val="01A56820"/>
    <w:rsid w:val="01B73196"/>
    <w:rsid w:val="01DB0F21"/>
    <w:rsid w:val="01F85948"/>
    <w:rsid w:val="024737BC"/>
    <w:rsid w:val="027D1EDC"/>
    <w:rsid w:val="0293255D"/>
    <w:rsid w:val="02AA6F17"/>
    <w:rsid w:val="02E6429D"/>
    <w:rsid w:val="032E5AB3"/>
    <w:rsid w:val="034D4E02"/>
    <w:rsid w:val="0380752A"/>
    <w:rsid w:val="03822CFE"/>
    <w:rsid w:val="03A32028"/>
    <w:rsid w:val="03C4317A"/>
    <w:rsid w:val="041E1097"/>
    <w:rsid w:val="04510922"/>
    <w:rsid w:val="04874841"/>
    <w:rsid w:val="04AF0DC0"/>
    <w:rsid w:val="04C55DCB"/>
    <w:rsid w:val="04E35F2C"/>
    <w:rsid w:val="04EB4ECE"/>
    <w:rsid w:val="053371D4"/>
    <w:rsid w:val="056F4927"/>
    <w:rsid w:val="05A9381E"/>
    <w:rsid w:val="05CA3B1B"/>
    <w:rsid w:val="05D40F8A"/>
    <w:rsid w:val="05E97CB2"/>
    <w:rsid w:val="060D6A3B"/>
    <w:rsid w:val="06193B1E"/>
    <w:rsid w:val="06383C8B"/>
    <w:rsid w:val="06AB6FF1"/>
    <w:rsid w:val="06C6067E"/>
    <w:rsid w:val="06DF18E2"/>
    <w:rsid w:val="0707497A"/>
    <w:rsid w:val="071920EC"/>
    <w:rsid w:val="07394A3D"/>
    <w:rsid w:val="07416329"/>
    <w:rsid w:val="07501B9E"/>
    <w:rsid w:val="0838785B"/>
    <w:rsid w:val="084A5DB4"/>
    <w:rsid w:val="08727C1D"/>
    <w:rsid w:val="087D0B78"/>
    <w:rsid w:val="087F0C49"/>
    <w:rsid w:val="08894DF6"/>
    <w:rsid w:val="08B51A8E"/>
    <w:rsid w:val="0920129B"/>
    <w:rsid w:val="095A240F"/>
    <w:rsid w:val="096E7880"/>
    <w:rsid w:val="09823E4D"/>
    <w:rsid w:val="098852A8"/>
    <w:rsid w:val="09A06B78"/>
    <w:rsid w:val="09EA3E64"/>
    <w:rsid w:val="09F4422A"/>
    <w:rsid w:val="0A232419"/>
    <w:rsid w:val="0A4B18CE"/>
    <w:rsid w:val="0A601059"/>
    <w:rsid w:val="0A8A4B12"/>
    <w:rsid w:val="0AB25DFE"/>
    <w:rsid w:val="0AB80DB3"/>
    <w:rsid w:val="0AC800D5"/>
    <w:rsid w:val="0AFA19A7"/>
    <w:rsid w:val="0B181252"/>
    <w:rsid w:val="0B2543AA"/>
    <w:rsid w:val="0B3C19E4"/>
    <w:rsid w:val="0B651CEF"/>
    <w:rsid w:val="0B7D3DAB"/>
    <w:rsid w:val="0C275A89"/>
    <w:rsid w:val="0C7113EC"/>
    <w:rsid w:val="0CBB5882"/>
    <w:rsid w:val="0D4E6C04"/>
    <w:rsid w:val="0D531CDF"/>
    <w:rsid w:val="0DCA3125"/>
    <w:rsid w:val="0E416A77"/>
    <w:rsid w:val="0E5C2657"/>
    <w:rsid w:val="0E5C7CE8"/>
    <w:rsid w:val="0E666D78"/>
    <w:rsid w:val="0EA34036"/>
    <w:rsid w:val="0EB049DF"/>
    <w:rsid w:val="0EB63F9D"/>
    <w:rsid w:val="0ECF16D5"/>
    <w:rsid w:val="0EFC576A"/>
    <w:rsid w:val="0F245037"/>
    <w:rsid w:val="0F54794B"/>
    <w:rsid w:val="0F6A354E"/>
    <w:rsid w:val="0F88478D"/>
    <w:rsid w:val="0FB73DA5"/>
    <w:rsid w:val="0FB87AA7"/>
    <w:rsid w:val="0FDC019A"/>
    <w:rsid w:val="0FDE2587"/>
    <w:rsid w:val="101B0BC4"/>
    <w:rsid w:val="103649EC"/>
    <w:rsid w:val="1040315F"/>
    <w:rsid w:val="10507757"/>
    <w:rsid w:val="107A1082"/>
    <w:rsid w:val="10921744"/>
    <w:rsid w:val="109E7189"/>
    <w:rsid w:val="10C72BB3"/>
    <w:rsid w:val="10CC1804"/>
    <w:rsid w:val="115206FB"/>
    <w:rsid w:val="11531DCE"/>
    <w:rsid w:val="11B40613"/>
    <w:rsid w:val="11BE2022"/>
    <w:rsid w:val="11D83EA2"/>
    <w:rsid w:val="12135660"/>
    <w:rsid w:val="122510EE"/>
    <w:rsid w:val="123757B7"/>
    <w:rsid w:val="12405481"/>
    <w:rsid w:val="12837EE6"/>
    <w:rsid w:val="128D1331"/>
    <w:rsid w:val="12C1355D"/>
    <w:rsid w:val="12EA1EE6"/>
    <w:rsid w:val="12EF7289"/>
    <w:rsid w:val="133D7CD4"/>
    <w:rsid w:val="134D5A81"/>
    <w:rsid w:val="13AC42B6"/>
    <w:rsid w:val="13BF6991"/>
    <w:rsid w:val="13F03DED"/>
    <w:rsid w:val="13F95DC4"/>
    <w:rsid w:val="142A3E2D"/>
    <w:rsid w:val="144A7973"/>
    <w:rsid w:val="14CF52C6"/>
    <w:rsid w:val="14E5758A"/>
    <w:rsid w:val="14FB7DA2"/>
    <w:rsid w:val="158710F3"/>
    <w:rsid w:val="15C772F3"/>
    <w:rsid w:val="15CE4C34"/>
    <w:rsid w:val="15F0775C"/>
    <w:rsid w:val="160A0AD0"/>
    <w:rsid w:val="16401732"/>
    <w:rsid w:val="165B6F79"/>
    <w:rsid w:val="166E5EB0"/>
    <w:rsid w:val="16C01EAE"/>
    <w:rsid w:val="16F50974"/>
    <w:rsid w:val="16F74BDF"/>
    <w:rsid w:val="16FD7459"/>
    <w:rsid w:val="177A195D"/>
    <w:rsid w:val="17E50036"/>
    <w:rsid w:val="1820060E"/>
    <w:rsid w:val="18205BA9"/>
    <w:rsid w:val="18370FAA"/>
    <w:rsid w:val="188D7D42"/>
    <w:rsid w:val="18B232E6"/>
    <w:rsid w:val="18C45643"/>
    <w:rsid w:val="19575882"/>
    <w:rsid w:val="195E155B"/>
    <w:rsid w:val="197321D5"/>
    <w:rsid w:val="1A0C41D1"/>
    <w:rsid w:val="1A2F6BB8"/>
    <w:rsid w:val="1A336BE7"/>
    <w:rsid w:val="1A612D7C"/>
    <w:rsid w:val="1A807E72"/>
    <w:rsid w:val="1A8A2A47"/>
    <w:rsid w:val="1A9B10DB"/>
    <w:rsid w:val="1B16166A"/>
    <w:rsid w:val="1BA15893"/>
    <w:rsid w:val="1BB93E83"/>
    <w:rsid w:val="1BC644B6"/>
    <w:rsid w:val="1C301CBF"/>
    <w:rsid w:val="1C613AB1"/>
    <w:rsid w:val="1C8C0466"/>
    <w:rsid w:val="1CC854C2"/>
    <w:rsid w:val="1D0121D0"/>
    <w:rsid w:val="1D5B524F"/>
    <w:rsid w:val="1D6D3522"/>
    <w:rsid w:val="1D772D50"/>
    <w:rsid w:val="1DAB5588"/>
    <w:rsid w:val="1DD72694"/>
    <w:rsid w:val="1DDE1DE9"/>
    <w:rsid w:val="1DE3615E"/>
    <w:rsid w:val="1DFA7416"/>
    <w:rsid w:val="1F107515"/>
    <w:rsid w:val="1F26355B"/>
    <w:rsid w:val="1F474868"/>
    <w:rsid w:val="1F883C9F"/>
    <w:rsid w:val="1F971592"/>
    <w:rsid w:val="1F996FAD"/>
    <w:rsid w:val="1FB94E27"/>
    <w:rsid w:val="1FE57CFE"/>
    <w:rsid w:val="1FF41576"/>
    <w:rsid w:val="200A3A73"/>
    <w:rsid w:val="20AF20C5"/>
    <w:rsid w:val="20ED7306"/>
    <w:rsid w:val="20F96916"/>
    <w:rsid w:val="211106C5"/>
    <w:rsid w:val="21431785"/>
    <w:rsid w:val="219E251A"/>
    <w:rsid w:val="21C24F4B"/>
    <w:rsid w:val="22071464"/>
    <w:rsid w:val="2232235C"/>
    <w:rsid w:val="22A60CA9"/>
    <w:rsid w:val="22E91FFA"/>
    <w:rsid w:val="23291785"/>
    <w:rsid w:val="23710488"/>
    <w:rsid w:val="2381304A"/>
    <w:rsid w:val="23BB002C"/>
    <w:rsid w:val="23C33515"/>
    <w:rsid w:val="23DC56BB"/>
    <w:rsid w:val="23F1680C"/>
    <w:rsid w:val="242E494F"/>
    <w:rsid w:val="243E15D5"/>
    <w:rsid w:val="24551238"/>
    <w:rsid w:val="248E2DBA"/>
    <w:rsid w:val="25224672"/>
    <w:rsid w:val="25250089"/>
    <w:rsid w:val="25252A8D"/>
    <w:rsid w:val="25A67057"/>
    <w:rsid w:val="25D54115"/>
    <w:rsid w:val="25F72F27"/>
    <w:rsid w:val="260F4C55"/>
    <w:rsid w:val="26291B1A"/>
    <w:rsid w:val="26763E6F"/>
    <w:rsid w:val="267C3983"/>
    <w:rsid w:val="26D82BDE"/>
    <w:rsid w:val="26EB0757"/>
    <w:rsid w:val="270101AC"/>
    <w:rsid w:val="274D71B2"/>
    <w:rsid w:val="2751147F"/>
    <w:rsid w:val="27706CF6"/>
    <w:rsid w:val="279C6957"/>
    <w:rsid w:val="27D05536"/>
    <w:rsid w:val="27D32B77"/>
    <w:rsid w:val="27DE5929"/>
    <w:rsid w:val="27E14C4C"/>
    <w:rsid w:val="282160D2"/>
    <w:rsid w:val="286C62A1"/>
    <w:rsid w:val="28793E20"/>
    <w:rsid w:val="28924B33"/>
    <w:rsid w:val="28A069B8"/>
    <w:rsid w:val="28F72971"/>
    <w:rsid w:val="290F3C6E"/>
    <w:rsid w:val="293E7A1A"/>
    <w:rsid w:val="29CF3006"/>
    <w:rsid w:val="29D07A70"/>
    <w:rsid w:val="29FB788A"/>
    <w:rsid w:val="2A3073E0"/>
    <w:rsid w:val="2AE35535"/>
    <w:rsid w:val="2AF61758"/>
    <w:rsid w:val="2B036259"/>
    <w:rsid w:val="2B496FA3"/>
    <w:rsid w:val="2B532BFE"/>
    <w:rsid w:val="2B6A469F"/>
    <w:rsid w:val="2BAC65A8"/>
    <w:rsid w:val="2BB024B4"/>
    <w:rsid w:val="2BC60F98"/>
    <w:rsid w:val="2BCB45F0"/>
    <w:rsid w:val="2C066A1A"/>
    <w:rsid w:val="2C0B4AE6"/>
    <w:rsid w:val="2C8165FA"/>
    <w:rsid w:val="2CAC7CBD"/>
    <w:rsid w:val="2CB90C8F"/>
    <w:rsid w:val="2CCC08A3"/>
    <w:rsid w:val="2D0A514C"/>
    <w:rsid w:val="2D3F44AA"/>
    <w:rsid w:val="2D872C45"/>
    <w:rsid w:val="2DB235BF"/>
    <w:rsid w:val="2E577392"/>
    <w:rsid w:val="2E60513A"/>
    <w:rsid w:val="2E70591C"/>
    <w:rsid w:val="2E830E4E"/>
    <w:rsid w:val="2E8B1B62"/>
    <w:rsid w:val="2E970AE4"/>
    <w:rsid w:val="2EB227A5"/>
    <w:rsid w:val="2EE044A0"/>
    <w:rsid w:val="2F2D14C0"/>
    <w:rsid w:val="2F822BAC"/>
    <w:rsid w:val="2F96630B"/>
    <w:rsid w:val="2F99381C"/>
    <w:rsid w:val="2FAC7913"/>
    <w:rsid w:val="30145E45"/>
    <w:rsid w:val="301F6139"/>
    <w:rsid w:val="305667F5"/>
    <w:rsid w:val="30641E74"/>
    <w:rsid w:val="30810E1D"/>
    <w:rsid w:val="308560E4"/>
    <w:rsid w:val="30F97581"/>
    <w:rsid w:val="314256C4"/>
    <w:rsid w:val="31947CF5"/>
    <w:rsid w:val="31C65637"/>
    <w:rsid w:val="32417274"/>
    <w:rsid w:val="329F04E5"/>
    <w:rsid w:val="32BB5035"/>
    <w:rsid w:val="32F9755F"/>
    <w:rsid w:val="331B2806"/>
    <w:rsid w:val="333214D1"/>
    <w:rsid w:val="3370495E"/>
    <w:rsid w:val="33AB2E09"/>
    <w:rsid w:val="33CC0FC6"/>
    <w:rsid w:val="33DD0EAC"/>
    <w:rsid w:val="34143D51"/>
    <w:rsid w:val="34302898"/>
    <w:rsid w:val="345B460B"/>
    <w:rsid w:val="347B1D25"/>
    <w:rsid w:val="348E2B4F"/>
    <w:rsid w:val="34BB4966"/>
    <w:rsid w:val="34F14D3E"/>
    <w:rsid w:val="35C97D56"/>
    <w:rsid w:val="35EE5D6B"/>
    <w:rsid w:val="3637765B"/>
    <w:rsid w:val="363A3F05"/>
    <w:rsid w:val="365311E6"/>
    <w:rsid w:val="367112A8"/>
    <w:rsid w:val="37473FEE"/>
    <w:rsid w:val="375445E4"/>
    <w:rsid w:val="3756532C"/>
    <w:rsid w:val="376964D6"/>
    <w:rsid w:val="378D71CC"/>
    <w:rsid w:val="379C3619"/>
    <w:rsid w:val="38051CFC"/>
    <w:rsid w:val="3814146F"/>
    <w:rsid w:val="384A2F51"/>
    <w:rsid w:val="387C3316"/>
    <w:rsid w:val="387C3364"/>
    <w:rsid w:val="38CC73F3"/>
    <w:rsid w:val="38D97FC3"/>
    <w:rsid w:val="38DF6EA9"/>
    <w:rsid w:val="395B66C1"/>
    <w:rsid w:val="395E3B0F"/>
    <w:rsid w:val="39930ABA"/>
    <w:rsid w:val="39AE15AC"/>
    <w:rsid w:val="39B72291"/>
    <w:rsid w:val="39E218FD"/>
    <w:rsid w:val="39E83FB4"/>
    <w:rsid w:val="3A153790"/>
    <w:rsid w:val="3A1F11A7"/>
    <w:rsid w:val="3A35689C"/>
    <w:rsid w:val="3A86575A"/>
    <w:rsid w:val="3B115AB0"/>
    <w:rsid w:val="3B341FC1"/>
    <w:rsid w:val="3B6F11E8"/>
    <w:rsid w:val="3B732683"/>
    <w:rsid w:val="3B783AC3"/>
    <w:rsid w:val="3B851216"/>
    <w:rsid w:val="3B8C3A12"/>
    <w:rsid w:val="3CCD04B8"/>
    <w:rsid w:val="3D084D63"/>
    <w:rsid w:val="3D0B4A9A"/>
    <w:rsid w:val="3D517AA3"/>
    <w:rsid w:val="3DA349DC"/>
    <w:rsid w:val="3DC660E6"/>
    <w:rsid w:val="3E0F5C92"/>
    <w:rsid w:val="3E3457B0"/>
    <w:rsid w:val="3E9753EA"/>
    <w:rsid w:val="3E9948D1"/>
    <w:rsid w:val="3EE41CB3"/>
    <w:rsid w:val="3F43088C"/>
    <w:rsid w:val="3F5E71A0"/>
    <w:rsid w:val="3F7F3F6B"/>
    <w:rsid w:val="3FAA346A"/>
    <w:rsid w:val="3FAB317E"/>
    <w:rsid w:val="3FCF2A56"/>
    <w:rsid w:val="3FE327A2"/>
    <w:rsid w:val="40521095"/>
    <w:rsid w:val="40602185"/>
    <w:rsid w:val="406D3C7A"/>
    <w:rsid w:val="408D0A8F"/>
    <w:rsid w:val="40D7128C"/>
    <w:rsid w:val="40DD4529"/>
    <w:rsid w:val="414626AC"/>
    <w:rsid w:val="414920DE"/>
    <w:rsid w:val="41550B18"/>
    <w:rsid w:val="416845DA"/>
    <w:rsid w:val="416A6333"/>
    <w:rsid w:val="41777332"/>
    <w:rsid w:val="41E371A6"/>
    <w:rsid w:val="4206324A"/>
    <w:rsid w:val="42B01A80"/>
    <w:rsid w:val="42B540C6"/>
    <w:rsid w:val="42C10446"/>
    <w:rsid w:val="43124DBF"/>
    <w:rsid w:val="43267EE9"/>
    <w:rsid w:val="43411BCB"/>
    <w:rsid w:val="435C4BA0"/>
    <w:rsid w:val="4373005F"/>
    <w:rsid w:val="442418FE"/>
    <w:rsid w:val="44781DAA"/>
    <w:rsid w:val="44C9249B"/>
    <w:rsid w:val="44CA357E"/>
    <w:rsid w:val="4587776E"/>
    <w:rsid w:val="45CF460B"/>
    <w:rsid w:val="45E27E1E"/>
    <w:rsid w:val="46142700"/>
    <w:rsid w:val="46280E8E"/>
    <w:rsid w:val="46CE7109"/>
    <w:rsid w:val="470316C4"/>
    <w:rsid w:val="470E368E"/>
    <w:rsid w:val="4719652F"/>
    <w:rsid w:val="473A22B9"/>
    <w:rsid w:val="47574ED5"/>
    <w:rsid w:val="477631E0"/>
    <w:rsid w:val="47AC7367"/>
    <w:rsid w:val="47AD6319"/>
    <w:rsid w:val="47B6609F"/>
    <w:rsid w:val="47BA5BC1"/>
    <w:rsid w:val="47C562E2"/>
    <w:rsid w:val="47C7285C"/>
    <w:rsid w:val="47F866B8"/>
    <w:rsid w:val="480C69CA"/>
    <w:rsid w:val="487519F9"/>
    <w:rsid w:val="489E5D0B"/>
    <w:rsid w:val="490B5F77"/>
    <w:rsid w:val="496D392E"/>
    <w:rsid w:val="497F756E"/>
    <w:rsid w:val="498E7313"/>
    <w:rsid w:val="499B629D"/>
    <w:rsid w:val="49B02FC2"/>
    <w:rsid w:val="49B14177"/>
    <w:rsid w:val="4A0A5885"/>
    <w:rsid w:val="4A4A7727"/>
    <w:rsid w:val="4B073A5C"/>
    <w:rsid w:val="4B387880"/>
    <w:rsid w:val="4B44760D"/>
    <w:rsid w:val="4B5931CB"/>
    <w:rsid w:val="4B5C5D27"/>
    <w:rsid w:val="4B5E326D"/>
    <w:rsid w:val="4B840ACD"/>
    <w:rsid w:val="4B8C42AD"/>
    <w:rsid w:val="4BC51F60"/>
    <w:rsid w:val="4BF72474"/>
    <w:rsid w:val="4C2E5AE5"/>
    <w:rsid w:val="4C4F0B45"/>
    <w:rsid w:val="4C9A69DF"/>
    <w:rsid w:val="4D4B7DB2"/>
    <w:rsid w:val="4D7908B5"/>
    <w:rsid w:val="4DA74A82"/>
    <w:rsid w:val="4DA969FC"/>
    <w:rsid w:val="4DB73FDD"/>
    <w:rsid w:val="4E3B70D2"/>
    <w:rsid w:val="4E5C3A58"/>
    <w:rsid w:val="4E865AFC"/>
    <w:rsid w:val="4EF474AD"/>
    <w:rsid w:val="4F066320"/>
    <w:rsid w:val="4F0C4606"/>
    <w:rsid w:val="4F4E6EBF"/>
    <w:rsid w:val="4F7D4C71"/>
    <w:rsid w:val="4FA80A1B"/>
    <w:rsid w:val="4FBA2276"/>
    <w:rsid w:val="4FC337A8"/>
    <w:rsid w:val="4FCA7073"/>
    <w:rsid w:val="4FE259E9"/>
    <w:rsid w:val="50092961"/>
    <w:rsid w:val="501D7C2E"/>
    <w:rsid w:val="505E5526"/>
    <w:rsid w:val="506577BE"/>
    <w:rsid w:val="50963550"/>
    <w:rsid w:val="512A18AC"/>
    <w:rsid w:val="512C7508"/>
    <w:rsid w:val="51385D77"/>
    <w:rsid w:val="51D84E64"/>
    <w:rsid w:val="52035047"/>
    <w:rsid w:val="52321D93"/>
    <w:rsid w:val="52420452"/>
    <w:rsid w:val="524A5FDD"/>
    <w:rsid w:val="52533FC1"/>
    <w:rsid w:val="52DC7DB4"/>
    <w:rsid w:val="530973DA"/>
    <w:rsid w:val="533802B0"/>
    <w:rsid w:val="53BB70AD"/>
    <w:rsid w:val="53C3453A"/>
    <w:rsid w:val="53DA43C4"/>
    <w:rsid w:val="53E267AB"/>
    <w:rsid w:val="54CA769E"/>
    <w:rsid w:val="54D02C4B"/>
    <w:rsid w:val="55112B45"/>
    <w:rsid w:val="551D1A51"/>
    <w:rsid w:val="55351206"/>
    <w:rsid w:val="55653C63"/>
    <w:rsid w:val="558F79BB"/>
    <w:rsid w:val="55A649AE"/>
    <w:rsid w:val="55D93627"/>
    <w:rsid w:val="565F33C2"/>
    <w:rsid w:val="56602AF8"/>
    <w:rsid w:val="569D1848"/>
    <w:rsid w:val="56B13A64"/>
    <w:rsid w:val="56BA3AA0"/>
    <w:rsid w:val="56CF6D97"/>
    <w:rsid w:val="56D66689"/>
    <w:rsid w:val="56E90F95"/>
    <w:rsid w:val="570E46A2"/>
    <w:rsid w:val="574014E1"/>
    <w:rsid w:val="57847C36"/>
    <w:rsid w:val="57C33711"/>
    <w:rsid w:val="586A742C"/>
    <w:rsid w:val="5881039C"/>
    <w:rsid w:val="58C134D7"/>
    <w:rsid w:val="58C94C3F"/>
    <w:rsid w:val="591E42EB"/>
    <w:rsid w:val="592A1676"/>
    <w:rsid w:val="59457283"/>
    <w:rsid w:val="59E71DDE"/>
    <w:rsid w:val="5A064D2E"/>
    <w:rsid w:val="5A53496E"/>
    <w:rsid w:val="5A7756D8"/>
    <w:rsid w:val="5A96078C"/>
    <w:rsid w:val="5ABB0552"/>
    <w:rsid w:val="5AC87CD6"/>
    <w:rsid w:val="5AE85A5C"/>
    <w:rsid w:val="5B18744E"/>
    <w:rsid w:val="5B215ACE"/>
    <w:rsid w:val="5B3F7D02"/>
    <w:rsid w:val="5BC63955"/>
    <w:rsid w:val="5C4A2BD7"/>
    <w:rsid w:val="5C5342E3"/>
    <w:rsid w:val="5CAF68F6"/>
    <w:rsid w:val="5CE527FE"/>
    <w:rsid w:val="5CF84E92"/>
    <w:rsid w:val="5D213D72"/>
    <w:rsid w:val="5D63632E"/>
    <w:rsid w:val="5D89138F"/>
    <w:rsid w:val="5DD63758"/>
    <w:rsid w:val="5E0E058B"/>
    <w:rsid w:val="5E2775BD"/>
    <w:rsid w:val="5E326512"/>
    <w:rsid w:val="5E4205CC"/>
    <w:rsid w:val="5E504C73"/>
    <w:rsid w:val="5E985E8A"/>
    <w:rsid w:val="5EE54D87"/>
    <w:rsid w:val="5FB455AB"/>
    <w:rsid w:val="5FD539BB"/>
    <w:rsid w:val="5FD8479E"/>
    <w:rsid w:val="5FEF4FD0"/>
    <w:rsid w:val="5FF11588"/>
    <w:rsid w:val="5FF7262C"/>
    <w:rsid w:val="60585DBB"/>
    <w:rsid w:val="606C0A32"/>
    <w:rsid w:val="606E3D0C"/>
    <w:rsid w:val="609F50E9"/>
    <w:rsid w:val="61112140"/>
    <w:rsid w:val="61394E2C"/>
    <w:rsid w:val="617F4494"/>
    <w:rsid w:val="61A46B11"/>
    <w:rsid w:val="61FE7898"/>
    <w:rsid w:val="621C7A8F"/>
    <w:rsid w:val="62DA0539"/>
    <w:rsid w:val="62F475B6"/>
    <w:rsid w:val="630C6A64"/>
    <w:rsid w:val="631F7E44"/>
    <w:rsid w:val="63376FCF"/>
    <w:rsid w:val="63696FE0"/>
    <w:rsid w:val="637C04DD"/>
    <w:rsid w:val="63964CCA"/>
    <w:rsid w:val="63B3451B"/>
    <w:rsid w:val="640E2967"/>
    <w:rsid w:val="648D18F2"/>
    <w:rsid w:val="652A2E44"/>
    <w:rsid w:val="654E4849"/>
    <w:rsid w:val="65686657"/>
    <w:rsid w:val="65BD69EB"/>
    <w:rsid w:val="660B4C4B"/>
    <w:rsid w:val="66442670"/>
    <w:rsid w:val="664977CF"/>
    <w:rsid w:val="66EC4975"/>
    <w:rsid w:val="66F117CC"/>
    <w:rsid w:val="66F92550"/>
    <w:rsid w:val="67016B09"/>
    <w:rsid w:val="671A2FAC"/>
    <w:rsid w:val="67203D95"/>
    <w:rsid w:val="673F17B5"/>
    <w:rsid w:val="67597141"/>
    <w:rsid w:val="67A94E81"/>
    <w:rsid w:val="67F83FF2"/>
    <w:rsid w:val="67FB3660"/>
    <w:rsid w:val="68164F54"/>
    <w:rsid w:val="681B27B3"/>
    <w:rsid w:val="683116BC"/>
    <w:rsid w:val="688F3871"/>
    <w:rsid w:val="689B6EBF"/>
    <w:rsid w:val="68DC76F5"/>
    <w:rsid w:val="68E74072"/>
    <w:rsid w:val="69173BDC"/>
    <w:rsid w:val="69233924"/>
    <w:rsid w:val="698D4023"/>
    <w:rsid w:val="69962E42"/>
    <w:rsid w:val="69B8402B"/>
    <w:rsid w:val="69BD4674"/>
    <w:rsid w:val="69CD5B48"/>
    <w:rsid w:val="6A036769"/>
    <w:rsid w:val="6A325674"/>
    <w:rsid w:val="6A4D2C84"/>
    <w:rsid w:val="6A52291B"/>
    <w:rsid w:val="6A7B10E5"/>
    <w:rsid w:val="6A817F02"/>
    <w:rsid w:val="6A8A48EA"/>
    <w:rsid w:val="6ABF2B74"/>
    <w:rsid w:val="6B351E6F"/>
    <w:rsid w:val="6B7A4051"/>
    <w:rsid w:val="6BE14999"/>
    <w:rsid w:val="6BFB5FD1"/>
    <w:rsid w:val="6C2076DB"/>
    <w:rsid w:val="6C2B3C2F"/>
    <w:rsid w:val="6D12175F"/>
    <w:rsid w:val="6D1F5AF0"/>
    <w:rsid w:val="6D5E22EB"/>
    <w:rsid w:val="6E1D76E4"/>
    <w:rsid w:val="6E325D09"/>
    <w:rsid w:val="6E544C48"/>
    <w:rsid w:val="6E67178A"/>
    <w:rsid w:val="6ED54165"/>
    <w:rsid w:val="6EFA2AD9"/>
    <w:rsid w:val="6F0C74B5"/>
    <w:rsid w:val="6F3657AD"/>
    <w:rsid w:val="6F3B10C9"/>
    <w:rsid w:val="6F5B091E"/>
    <w:rsid w:val="6F8A1C5E"/>
    <w:rsid w:val="6F974373"/>
    <w:rsid w:val="6FAF7C66"/>
    <w:rsid w:val="6FC71802"/>
    <w:rsid w:val="6FC74058"/>
    <w:rsid w:val="70040E87"/>
    <w:rsid w:val="704871A4"/>
    <w:rsid w:val="70592DFA"/>
    <w:rsid w:val="70694F36"/>
    <w:rsid w:val="70880C5C"/>
    <w:rsid w:val="70B523D0"/>
    <w:rsid w:val="70DD3906"/>
    <w:rsid w:val="7109479F"/>
    <w:rsid w:val="717D3AE2"/>
    <w:rsid w:val="719B076B"/>
    <w:rsid w:val="71DC2403"/>
    <w:rsid w:val="72EC7281"/>
    <w:rsid w:val="73393BC2"/>
    <w:rsid w:val="737B44DB"/>
    <w:rsid w:val="73842E33"/>
    <w:rsid w:val="740C6EC3"/>
    <w:rsid w:val="741715C3"/>
    <w:rsid w:val="74262B1B"/>
    <w:rsid w:val="747F1F65"/>
    <w:rsid w:val="74A6094A"/>
    <w:rsid w:val="74CC21DF"/>
    <w:rsid w:val="74E16F35"/>
    <w:rsid w:val="753F0BD2"/>
    <w:rsid w:val="753F3D93"/>
    <w:rsid w:val="75532D3D"/>
    <w:rsid w:val="7583021F"/>
    <w:rsid w:val="758805C2"/>
    <w:rsid w:val="7588697C"/>
    <w:rsid w:val="76171B4F"/>
    <w:rsid w:val="761F2330"/>
    <w:rsid w:val="763E630D"/>
    <w:rsid w:val="763F26D5"/>
    <w:rsid w:val="764D0528"/>
    <w:rsid w:val="76C82F19"/>
    <w:rsid w:val="77040325"/>
    <w:rsid w:val="77045A49"/>
    <w:rsid w:val="77266E5A"/>
    <w:rsid w:val="77291B31"/>
    <w:rsid w:val="775C7088"/>
    <w:rsid w:val="77701354"/>
    <w:rsid w:val="77750DFA"/>
    <w:rsid w:val="77902D8C"/>
    <w:rsid w:val="779A189F"/>
    <w:rsid w:val="781F51BA"/>
    <w:rsid w:val="78494544"/>
    <w:rsid w:val="78861462"/>
    <w:rsid w:val="78E431C4"/>
    <w:rsid w:val="78EB4A40"/>
    <w:rsid w:val="79BB696B"/>
    <w:rsid w:val="79BC4EE7"/>
    <w:rsid w:val="79F944AF"/>
    <w:rsid w:val="7A2F69EB"/>
    <w:rsid w:val="7A4413F9"/>
    <w:rsid w:val="7A5711E4"/>
    <w:rsid w:val="7A822D65"/>
    <w:rsid w:val="7A8F6158"/>
    <w:rsid w:val="7AEA0E27"/>
    <w:rsid w:val="7B271AB2"/>
    <w:rsid w:val="7BAF6112"/>
    <w:rsid w:val="7BBE1FE9"/>
    <w:rsid w:val="7C4A702F"/>
    <w:rsid w:val="7C735E4E"/>
    <w:rsid w:val="7D071AF5"/>
    <w:rsid w:val="7D394FD8"/>
    <w:rsid w:val="7D7E7646"/>
    <w:rsid w:val="7DC26738"/>
    <w:rsid w:val="7E01385A"/>
    <w:rsid w:val="7E972C19"/>
    <w:rsid w:val="7EBB2BFC"/>
    <w:rsid w:val="7ED607F9"/>
    <w:rsid w:val="7F6E4E40"/>
    <w:rsid w:val="7F7E2419"/>
    <w:rsid w:val="7F856BE9"/>
    <w:rsid w:val="7FA206D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4">
    <w:name w:val="heading 1"/>
    <w:basedOn w:val="1"/>
    <w:next w:val="1"/>
    <w:link w:val="120"/>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5">
    <w:name w:val="heading 2"/>
    <w:basedOn w:val="1"/>
    <w:next w:val="1"/>
    <w:link w:val="102"/>
    <w:qFormat/>
    <w:uiPriority w:val="99"/>
    <w:pPr>
      <w:spacing w:before="260" w:after="260" w:line="416" w:lineRule="atLeast"/>
      <w:outlineLvl w:val="1"/>
    </w:pPr>
    <w:rPr>
      <w:rFonts w:ascii="Cambria" w:hAnsi="Cambria"/>
      <w:sz w:val="32"/>
      <w:szCs w:val="32"/>
    </w:rPr>
  </w:style>
  <w:style w:type="paragraph" w:styleId="6">
    <w:name w:val="heading 3"/>
    <w:basedOn w:val="1"/>
    <w:next w:val="7"/>
    <w:link w:val="112"/>
    <w:qFormat/>
    <w:uiPriority w:val="99"/>
    <w:pPr>
      <w:tabs>
        <w:tab w:val="left" w:pos="588"/>
      </w:tabs>
      <w:spacing w:line="360" w:lineRule="auto"/>
      <w:outlineLvl w:val="2"/>
    </w:pPr>
    <w:rPr>
      <w:rFonts w:ascii="Tahoma" w:hAnsi="Tahoma"/>
    </w:rPr>
  </w:style>
  <w:style w:type="paragraph" w:styleId="8">
    <w:name w:val="heading 4"/>
    <w:basedOn w:val="1"/>
    <w:next w:val="1"/>
    <w:link w:val="139"/>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9">
    <w:name w:val="heading 5"/>
    <w:basedOn w:val="1"/>
    <w:next w:val="1"/>
    <w:link w:val="101"/>
    <w:qFormat/>
    <w:uiPriority w:val="99"/>
    <w:pPr>
      <w:keepNext/>
      <w:keepLines/>
      <w:spacing w:before="280" w:after="290" w:line="376" w:lineRule="auto"/>
      <w:ind w:left="1008" w:hanging="1008"/>
      <w:outlineLvl w:val="4"/>
    </w:pPr>
    <w:rPr>
      <w:b/>
      <w:bCs/>
      <w:sz w:val="24"/>
      <w:szCs w:val="28"/>
    </w:rPr>
  </w:style>
  <w:style w:type="paragraph" w:styleId="10">
    <w:name w:val="heading 6"/>
    <w:basedOn w:val="1"/>
    <w:next w:val="1"/>
    <w:link w:val="132"/>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11">
    <w:name w:val="heading 7"/>
    <w:basedOn w:val="1"/>
    <w:next w:val="1"/>
    <w:link w:val="122"/>
    <w:qFormat/>
    <w:uiPriority w:val="99"/>
    <w:pPr>
      <w:keepNext/>
      <w:keepLines/>
      <w:spacing w:before="240" w:after="64" w:line="320" w:lineRule="auto"/>
      <w:ind w:left="1296" w:hanging="1296"/>
      <w:outlineLvl w:val="6"/>
    </w:pPr>
    <w:rPr>
      <w:b/>
      <w:bCs/>
      <w:sz w:val="24"/>
      <w:szCs w:val="28"/>
    </w:rPr>
  </w:style>
  <w:style w:type="paragraph" w:styleId="12">
    <w:name w:val="heading 8"/>
    <w:basedOn w:val="1"/>
    <w:next w:val="1"/>
    <w:link w:val="107"/>
    <w:qFormat/>
    <w:uiPriority w:val="99"/>
    <w:pPr>
      <w:keepNext/>
      <w:keepLines/>
      <w:spacing w:before="240" w:after="64" w:line="320" w:lineRule="auto"/>
      <w:ind w:left="1440" w:hanging="1440"/>
      <w:outlineLvl w:val="7"/>
    </w:pPr>
    <w:rPr>
      <w:rFonts w:ascii="Arial" w:hAnsi="Arial" w:eastAsia="黑体"/>
      <w:sz w:val="24"/>
      <w:szCs w:val="28"/>
    </w:rPr>
  </w:style>
  <w:style w:type="paragraph" w:styleId="13">
    <w:name w:val="heading 9"/>
    <w:basedOn w:val="1"/>
    <w:next w:val="1"/>
    <w:link w:val="124"/>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30"/>
    <w:qFormat/>
    <w:uiPriority w:val="0"/>
    <w:pPr>
      <w:spacing w:after="120" w:line="240" w:lineRule="auto"/>
      <w:ind w:firstLine="100" w:firstLineChars="100"/>
    </w:pPr>
  </w:style>
  <w:style w:type="paragraph" w:styleId="3">
    <w:name w:val="Body Text"/>
    <w:basedOn w:val="1"/>
    <w:next w:val="1"/>
    <w:link w:val="133"/>
    <w:qFormat/>
    <w:uiPriority w:val="99"/>
    <w:pPr>
      <w:spacing w:line="360" w:lineRule="auto"/>
    </w:pPr>
    <w:rPr>
      <w:rFonts w:ascii="Tahoma" w:hAnsi="Tahoma"/>
    </w:rPr>
  </w:style>
  <w:style w:type="paragraph" w:styleId="7">
    <w:name w:val="Normal Indent"/>
    <w:basedOn w:val="1"/>
    <w:link w:val="135"/>
    <w:qFormat/>
    <w:uiPriority w:val="0"/>
    <w:pPr>
      <w:spacing w:line="360" w:lineRule="auto"/>
      <w:ind w:firstLine="200" w:firstLineChars="200"/>
    </w:pPr>
    <w:rPr>
      <w:sz w:val="24"/>
      <w:szCs w:val="20"/>
    </w:rPr>
  </w:style>
  <w:style w:type="paragraph" w:styleId="14">
    <w:name w:val="toc 7"/>
    <w:basedOn w:val="1"/>
    <w:next w:val="1"/>
    <w:qFormat/>
    <w:uiPriority w:val="39"/>
    <w:pPr>
      <w:spacing w:line="440" w:lineRule="exact"/>
      <w:ind w:left="1680"/>
      <w:jc w:val="left"/>
    </w:pPr>
    <w:rPr>
      <w:rFonts w:ascii="Calibri" w:hAnsi="Calibri"/>
      <w:sz w:val="18"/>
      <w:szCs w:val="18"/>
    </w:rPr>
  </w:style>
  <w:style w:type="paragraph" w:styleId="15">
    <w:name w:val="Note Heading"/>
    <w:basedOn w:val="16"/>
    <w:next w:val="16"/>
    <w:link w:val="199"/>
    <w:qFormat/>
    <w:uiPriority w:val="0"/>
    <w:rPr>
      <w:rFonts w:ascii="..ì." w:eastAsia="..ì." w:cs="Times New Roman"/>
      <w:color w:val="auto"/>
      <w:szCs w:val="20"/>
    </w:rPr>
  </w:style>
  <w:style w:type="paragraph" w:customStyle="1" w:styleId="16">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7">
    <w:name w:val="caption"/>
    <w:basedOn w:val="1"/>
    <w:next w:val="1"/>
    <w:link w:val="93"/>
    <w:qFormat/>
    <w:uiPriority w:val="0"/>
    <w:pPr>
      <w:spacing w:line="480" w:lineRule="auto"/>
    </w:pPr>
    <w:rPr>
      <w:rFonts w:ascii="华文中宋" w:eastAsia="华文中宋"/>
      <w:sz w:val="36"/>
      <w:szCs w:val="20"/>
    </w:rPr>
  </w:style>
  <w:style w:type="paragraph" w:styleId="18">
    <w:name w:val="index 5"/>
    <w:basedOn w:val="1"/>
    <w:next w:val="1"/>
    <w:qFormat/>
    <w:uiPriority w:val="99"/>
    <w:pPr>
      <w:ind w:left="800" w:leftChars="800"/>
    </w:pPr>
    <w:rPr>
      <w:rFonts w:eastAsia="宋体"/>
    </w:rPr>
  </w:style>
  <w:style w:type="paragraph" w:styleId="19">
    <w:name w:val="Document Map"/>
    <w:basedOn w:val="1"/>
    <w:link w:val="129"/>
    <w:qFormat/>
    <w:uiPriority w:val="99"/>
    <w:pPr>
      <w:spacing w:line="440" w:lineRule="exact"/>
    </w:pPr>
    <w:rPr>
      <w:rFonts w:ascii="宋体"/>
      <w:sz w:val="18"/>
      <w:szCs w:val="18"/>
    </w:rPr>
  </w:style>
  <w:style w:type="paragraph" w:styleId="20">
    <w:name w:val="toa heading"/>
    <w:basedOn w:val="1"/>
    <w:next w:val="1"/>
    <w:unhideWhenUsed/>
    <w:qFormat/>
    <w:uiPriority w:val="99"/>
    <w:pPr>
      <w:spacing w:before="120"/>
    </w:pPr>
    <w:rPr>
      <w:rFonts w:ascii="Cambria" w:hAnsi="Cambria" w:eastAsia="宋体"/>
      <w:sz w:val="24"/>
    </w:rPr>
  </w:style>
  <w:style w:type="paragraph" w:styleId="21">
    <w:name w:val="annotation text"/>
    <w:basedOn w:val="1"/>
    <w:link w:val="99"/>
    <w:qFormat/>
    <w:uiPriority w:val="0"/>
    <w:pPr>
      <w:jc w:val="left"/>
    </w:pPr>
    <w:rPr>
      <w:rFonts w:ascii="Tahoma" w:hAnsi="Tahoma"/>
    </w:rPr>
  </w:style>
  <w:style w:type="paragraph" w:styleId="22">
    <w:name w:val="Salutation"/>
    <w:basedOn w:val="16"/>
    <w:next w:val="16"/>
    <w:link w:val="198"/>
    <w:qFormat/>
    <w:uiPriority w:val="0"/>
    <w:rPr>
      <w:rFonts w:ascii="..ì." w:eastAsia="..ì." w:cs="Times New Roman"/>
      <w:color w:val="auto"/>
      <w:szCs w:val="20"/>
    </w:rPr>
  </w:style>
  <w:style w:type="paragraph" w:styleId="23">
    <w:name w:val="Body Text 3"/>
    <w:basedOn w:val="1"/>
    <w:link w:val="206"/>
    <w:qFormat/>
    <w:uiPriority w:val="99"/>
    <w:pPr>
      <w:spacing w:after="120"/>
    </w:pPr>
    <w:rPr>
      <w:rFonts w:eastAsia="宋体"/>
      <w:sz w:val="16"/>
      <w:szCs w:val="16"/>
    </w:rPr>
  </w:style>
  <w:style w:type="paragraph" w:styleId="24">
    <w:name w:val="Body Text Indent"/>
    <w:basedOn w:val="1"/>
    <w:link w:val="165"/>
    <w:qFormat/>
    <w:uiPriority w:val="99"/>
    <w:pPr>
      <w:widowControl/>
      <w:spacing w:line="360" w:lineRule="auto"/>
      <w:ind w:firstLine="709"/>
      <w:jc w:val="left"/>
    </w:pPr>
    <w:rPr>
      <w:rFonts w:ascii="Tahoma" w:hAnsi="Tahoma"/>
    </w:rPr>
  </w:style>
  <w:style w:type="paragraph" w:styleId="25">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6">
    <w:name w:val="List Bullet 2"/>
    <w:basedOn w:val="1"/>
    <w:qFormat/>
    <w:uiPriority w:val="0"/>
    <w:pPr>
      <w:numPr>
        <w:ilvl w:val="1"/>
        <w:numId w:val="1"/>
      </w:numPr>
      <w:spacing w:line="360" w:lineRule="auto"/>
    </w:pPr>
    <w:rPr>
      <w:sz w:val="24"/>
      <w:szCs w:val="28"/>
    </w:rPr>
  </w:style>
  <w:style w:type="paragraph" w:styleId="27">
    <w:name w:val="toc 5"/>
    <w:basedOn w:val="1"/>
    <w:next w:val="1"/>
    <w:qFormat/>
    <w:uiPriority w:val="39"/>
    <w:pPr>
      <w:spacing w:line="440" w:lineRule="exact"/>
      <w:ind w:left="1120"/>
      <w:jc w:val="left"/>
    </w:pPr>
    <w:rPr>
      <w:rFonts w:ascii="Calibri" w:hAnsi="Calibri"/>
      <w:sz w:val="18"/>
      <w:szCs w:val="18"/>
    </w:rPr>
  </w:style>
  <w:style w:type="paragraph" w:styleId="28">
    <w:name w:val="toc 3"/>
    <w:basedOn w:val="1"/>
    <w:next w:val="1"/>
    <w:qFormat/>
    <w:uiPriority w:val="39"/>
    <w:pPr>
      <w:tabs>
        <w:tab w:val="right" w:leader="dot" w:pos="8302"/>
      </w:tabs>
      <w:ind w:left="561"/>
      <w:jc w:val="left"/>
    </w:pPr>
    <w:rPr>
      <w:rFonts w:ascii="Calibri" w:hAnsi="Calibri"/>
      <w:iCs/>
      <w:sz w:val="20"/>
      <w:szCs w:val="20"/>
    </w:rPr>
  </w:style>
  <w:style w:type="paragraph" w:styleId="29">
    <w:name w:val="Plain Text"/>
    <w:basedOn w:val="1"/>
    <w:link w:val="220"/>
    <w:qFormat/>
    <w:uiPriority w:val="0"/>
    <w:pPr>
      <w:spacing w:line="360" w:lineRule="auto"/>
    </w:pPr>
    <w:rPr>
      <w:rFonts w:ascii="宋体" w:hAnsi="Courier New"/>
      <w:szCs w:val="21"/>
    </w:rPr>
  </w:style>
  <w:style w:type="paragraph" w:styleId="30">
    <w:name w:val="toc 8"/>
    <w:basedOn w:val="1"/>
    <w:next w:val="1"/>
    <w:qFormat/>
    <w:uiPriority w:val="39"/>
    <w:pPr>
      <w:spacing w:line="440" w:lineRule="exact"/>
      <w:ind w:left="1960"/>
      <w:jc w:val="left"/>
    </w:pPr>
    <w:rPr>
      <w:rFonts w:ascii="Calibri" w:hAnsi="Calibri"/>
      <w:sz w:val="18"/>
      <w:szCs w:val="18"/>
    </w:rPr>
  </w:style>
  <w:style w:type="paragraph" w:styleId="31">
    <w:name w:val="Date"/>
    <w:basedOn w:val="1"/>
    <w:next w:val="1"/>
    <w:link w:val="196"/>
    <w:qFormat/>
    <w:uiPriority w:val="99"/>
    <w:pPr>
      <w:spacing w:line="360" w:lineRule="auto"/>
      <w:ind w:left="2500" w:leftChars="2500"/>
    </w:pPr>
    <w:rPr>
      <w:rFonts w:ascii="Tahoma" w:hAnsi="Tahoma"/>
    </w:rPr>
  </w:style>
  <w:style w:type="paragraph" w:styleId="32">
    <w:name w:val="Body Text Indent 2"/>
    <w:basedOn w:val="1"/>
    <w:link w:val="161"/>
    <w:qFormat/>
    <w:uiPriority w:val="99"/>
    <w:pPr>
      <w:adjustRightInd w:val="0"/>
      <w:snapToGrid w:val="0"/>
      <w:spacing w:afterLines="25" w:line="420" w:lineRule="exact"/>
      <w:ind w:left="778" w:leftChars="378"/>
    </w:pPr>
    <w:rPr>
      <w:rFonts w:eastAsia="宋体"/>
      <w:sz w:val="24"/>
      <w:szCs w:val="30"/>
    </w:rPr>
  </w:style>
  <w:style w:type="paragraph" w:styleId="33">
    <w:name w:val="Balloon Text"/>
    <w:basedOn w:val="1"/>
    <w:link w:val="95"/>
    <w:qFormat/>
    <w:uiPriority w:val="0"/>
    <w:rPr>
      <w:sz w:val="18"/>
      <w:szCs w:val="18"/>
    </w:rPr>
  </w:style>
  <w:style w:type="paragraph" w:styleId="34">
    <w:name w:val="footer"/>
    <w:basedOn w:val="1"/>
    <w:link w:val="136"/>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5">
    <w:name w:val="header"/>
    <w:basedOn w:val="1"/>
    <w:link w:val="121"/>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6">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7">
    <w:name w:val="toc 4"/>
    <w:basedOn w:val="1"/>
    <w:next w:val="1"/>
    <w:qFormat/>
    <w:uiPriority w:val="39"/>
    <w:pPr>
      <w:spacing w:line="440" w:lineRule="exact"/>
      <w:ind w:left="840"/>
      <w:jc w:val="left"/>
    </w:pPr>
    <w:rPr>
      <w:rFonts w:ascii="Calibri" w:hAnsi="Calibri"/>
      <w:sz w:val="18"/>
      <w:szCs w:val="18"/>
    </w:rPr>
  </w:style>
  <w:style w:type="paragraph" w:styleId="38">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9">
    <w:name w:val="toc 6"/>
    <w:basedOn w:val="1"/>
    <w:next w:val="1"/>
    <w:qFormat/>
    <w:uiPriority w:val="39"/>
    <w:pPr>
      <w:spacing w:line="440" w:lineRule="exact"/>
      <w:ind w:left="1400"/>
      <w:jc w:val="left"/>
    </w:pPr>
    <w:rPr>
      <w:rFonts w:ascii="Calibri" w:hAnsi="Calibri"/>
      <w:sz w:val="18"/>
      <w:szCs w:val="18"/>
    </w:rPr>
  </w:style>
  <w:style w:type="paragraph" w:styleId="40">
    <w:name w:val="Body Text Indent 3"/>
    <w:basedOn w:val="1"/>
    <w:link w:val="209"/>
    <w:qFormat/>
    <w:uiPriority w:val="99"/>
    <w:pPr>
      <w:spacing w:after="120"/>
      <w:ind w:left="420" w:leftChars="200"/>
    </w:pPr>
    <w:rPr>
      <w:sz w:val="16"/>
      <w:szCs w:val="16"/>
    </w:rPr>
  </w:style>
  <w:style w:type="paragraph" w:styleId="41">
    <w:name w:val="toc 2"/>
    <w:basedOn w:val="1"/>
    <w:next w:val="1"/>
    <w:qFormat/>
    <w:uiPriority w:val="39"/>
    <w:pPr>
      <w:widowControl/>
      <w:adjustRightInd w:val="0"/>
      <w:spacing w:line="300" w:lineRule="auto"/>
      <w:jc w:val="center"/>
    </w:pPr>
    <w:rPr>
      <w:rFonts w:eastAsia="黑体"/>
      <w:smallCaps/>
      <w:kern w:val="0"/>
      <w:sz w:val="24"/>
    </w:rPr>
  </w:style>
  <w:style w:type="paragraph" w:styleId="42">
    <w:name w:val="toc 9"/>
    <w:basedOn w:val="1"/>
    <w:next w:val="1"/>
    <w:qFormat/>
    <w:uiPriority w:val="39"/>
    <w:pPr>
      <w:spacing w:line="440" w:lineRule="exact"/>
      <w:ind w:left="2240"/>
      <w:jc w:val="left"/>
    </w:pPr>
    <w:rPr>
      <w:rFonts w:ascii="Calibri" w:hAnsi="Calibri"/>
      <w:sz w:val="18"/>
      <w:szCs w:val="18"/>
    </w:rPr>
  </w:style>
  <w:style w:type="paragraph" w:styleId="43">
    <w:name w:val="Body Text 2"/>
    <w:basedOn w:val="1"/>
    <w:link w:val="167"/>
    <w:qFormat/>
    <w:uiPriority w:val="99"/>
    <w:pPr>
      <w:spacing w:line="360" w:lineRule="auto"/>
      <w:ind w:right="26"/>
    </w:pPr>
    <w:rPr>
      <w:rFonts w:ascii="宋体" w:eastAsia="宋体"/>
      <w:szCs w:val="20"/>
    </w:rPr>
  </w:style>
  <w:style w:type="paragraph" w:styleId="44">
    <w:name w:val="HTML Preformatted"/>
    <w:basedOn w:val="1"/>
    <w:link w:val="29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6">
    <w:name w:val="index 1"/>
    <w:basedOn w:val="1"/>
    <w:next w:val="1"/>
    <w:qFormat/>
    <w:uiPriority w:val="99"/>
    <w:pPr>
      <w:spacing w:line="220" w:lineRule="exact"/>
      <w:jc w:val="center"/>
    </w:pPr>
    <w:rPr>
      <w:rFonts w:ascii="仿宋_GB2312" w:eastAsia="仿宋_GB2312"/>
      <w:szCs w:val="21"/>
    </w:rPr>
  </w:style>
  <w:style w:type="paragraph" w:styleId="47">
    <w:name w:val="Title"/>
    <w:basedOn w:val="1"/>
    <w:next w:val="1"/>
    <w:link w:val="123"/>
    <w:qFormat/>
    <w:uiPriority w:val="0"/>
    <w:pPr>
      <w:spacing w:before="240" w:after="60" w:line="440" w:lineRule="exact"/>
      <w:jc w:val="center"/>
      <w:outlineLvl w:val="0"/>
    </w:pPr>
    <w:rPr>
      <w:rFonts w:ascii="Cambria" w:hAnsi="Cambria"/>
      <w:b/>
      <w:bCs/>
      <w:sz w:val="32"/>
      <w:szCs w:val="32"/>
    </w:rPr>
  </w:style>
  <w:style w:type="paragraph" w:styleId="48">
    <w:name w:val="annotation subject"/>
    <w:basedOn w:val="21"/>
    <w:next w:val="21"/>
    <w:link w:val="127"/>
    <w:unhideWhenUsed/>
    <w:qFormat/>
    <w:uiPriority w:val="99"/>
    <w:pPr>
      <w:spacing w:line="440" w:lineRule="exact"/>
    </w:pPr>
    <w:rPr>
      <w:b/>
      <w:bCs/>
      <w:sz w:val="24"/>
      <w:szCs w:val="28"/>
    </w:rPr>
  </w:style>
  <w:style w:type="paragraph" w:styleId="49">
    <w:name w:val="Body Text First Indent 2"/>
    <w:basedOn w:val="24"/>
    <w:link w:val="166"/>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basedOn w:val="52"/>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Variable"/>
    <w:unhideWhenUsed/>
    <w:qFormat/>
    <w:uiPriority w:val="0"/>
  </w:style>
  <w:style w:type="character" w:styleId="59">
    <w:name w:val="Hyperlink"/>
    <w:qFormat/>
    <w:uiPriority w:val="99"/>
    <w:rPr>
      <w:rFonts w:hint="eastAsia" w:ascii="宋体" w:hAnsi="宋体" w:eastAsia="宋体" w:cs="宋体"/>
      <w:color w:val="004A85"/>
      <w:sz w:val="12"/>
      <w:szCs w:val="12"/>
      <w:u w:val="single"/>
    </w:rPr>
  </w:style>
  <w:style w:type="character" w:styleId="60">
    <w:name w:val="HTML Code"/>
    <w:unhideWhenUsed/>
    <w:qFormat/>
    <w:uiPriority w:val="0"/>
    <w:rPr>
      <w:rFonts w:ascii="Courier New" w:hAnsi="Courier New"/>
      <w:sz w:val="20"/>
    </w:rPr>
  </w:style>
  <w:style w:type="character" w:styleId="61">
    <w:name w:val="annotation reference"/>
    <w:qFormat/>
    <w:uiPriority w:val="99"/>
    <w:rPr>
      <w:sz w:val="21"/>
      <w:szCs w:val="21"/>
    </w:rPr>
  </w:style>
  <w:style w:type="character" w:styleId="62">
    <w:name w:val="HTML Cite"/>
    <w:unhideWhenUsed/>
    <w:qFormat/>
    <w:uiPriority w:val="0"/>
  </w:style>
  <w:style w:type="paragraph" w:customStyle="1" w:styleId="63">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4">
    <w:name w:val="列出段落2"/>
    <w:basedOn w:val="1"/>
    <w:unhideWhenUsed/>
    <w:qFormat/>
    <w:uiPriority w:val="0"/>
    <w:pPr>
      <w:ind w:firstLine="420" w:firstLineChars="200"/>
    </w:pPr>
  </w:style>
  <w:style w:type="paragraph" w:customStyle="1" w:styleId="65">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6">
    <w:name w:val="_Style 67"/>
    <w:basedOn w:val="1"/>
    <w:next w:val="67"/>
    <w:qFormat/>
    <w:uiPriority w:val="99"/>
    <w:pPr>
      <w:ind w:firstLine="420" w:firstLineChars="200"/>
    </w:pPr>
    <w:rPr>
      <w:rFonts w:ascii="Calibri" w:hAnsi="Calibri"/>
      <w:szCs w:val="22"/>
    </w:rPr>
  </w:style>
  <w:style w:type="paragraph" w:styleId="67">
    <w:name w:val="List Paragraph"/>
    <w:basedOn w:val="1"/>
    <w:qFormat/>
    <w:uiPriority w:val="34"/>
    <w:pPr>
      <w:ind w:firstLine="420" w:firstLineChars="200"/>
    </w:pPr>
    <w:rPr>
      <w:rFonts w:ascii="Calibri" w:hAnsi="Calibri" w:eastAsia="宋体"/>
      <w:szCs w:val="22"/>
    </w:rPr>
  </w:style>
  <w:style w:type="paragraph" w:customStyle="1" w:styleId="68">
    <w:name w:val="_Style 2"/>
    <w:basedOn w:val="1"/>
    <w:qFormat/>
    <w:uiPriority w:val="34"/>
    <w:pPr>
      <w:ind w:firstLine="420" w:firstLineChars="200"/>
    </w:pPr>
    <w:rPr>
      <w:rFonts w:ascii="Calibri" w:hAnsi="Calibri"/>
      <w:szCs w:val="22"/>
    </w:rPr>
  </w:style>
  <w:style w:type="paragraph" w:customStyle="1" w:styleId="69">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0">
    <w:name w:val="TOC 标题1"/>
    <w:basedOn w:val="4"/>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1">
    <w:name w:val="封面落款"/>
    <w:basedOn w:val="1"/>
    <w:qFormat/>
    <w:uiPriority w:val="0"/>
    <w:pPr>
      <w:spacing w:line="360" w:lineRule="auto"/>
      <w:jc w:val="center"/>
    </w:pPr>
    <w:rPr>
      <w:rFonts w:ascii="Arial" w:hAnsi="Arial" w:eastAsia="黑体"/>
      <w:sz w:val="32"/>
      <w:szCs w:val="28"/>
    </w:rPr>
  </w:style>
  <w:style w:type="paragraph" w:customStyle="1" w:styleId="72">
    <w:name w:val="目录"/>
    <w:link w:val="104"/>
    <w:qFormat/>
    <w:uiPriority w:val="0"/>
    <w:pPr>
      <w:spacing w:before="156" w:after="156"/>
    </w:pPr>
    <w:rPr>
      <w:rFonts w:ascii="仿宋_GB2312" w:hAnsi="宋体" w:eastAsia="仿宋_GB2312" w:cs="Times New Roman"/>
      <w:sz w:val="28"/>
      <w:szCs w:val="28"/>
      <w:lang w:val="en-US" w:eastAsia="zh-CN" w:bidi="ar-SA"/>
    </w:rPr>
  </w:style>
  <w:style w:type="paragraph" w:customStyle="1" w:styleId="73">
    <w:name w:val="表格字体小四"/>
    <w:link w:val="103"/>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4">
    <w:name w:val="样式 标题 5 + 小四"/>
    <w:basedOn w:val="9"/>
    <w:qFormat/>
    <w:uiPriority w:val="0"/>
    <w:pPr>
      <w:tabs>
        <w:tab w:val="left" w:pos="567"/>
      </w:tabs>
      <w:wordWrap w:val="0"/>
      <w:spacing w:line="377" w:lineRule="auto"/>
      <w:ind w:left="567" w:hanging="567"/>
      <w:jc w:val="left"/>
    </w:pPr>
  </w:style>
  <w:style w:type="paragraph" w:customStyle="1" w:styleId="75">
    <w:name w:val="表格格式"/>
    <w:basedOn w:val="1"/>
    <w:qFormat/>
    <w:uiPriority w:val="0"/>
    <w:pPr>
      <w:adjustRightInd w:val="0"/>
      <w:snapToGrid w:val="0"/>
      <w:jc w:val="left"/>
      <w:textAlignment w:val="baseline"/>
    </w:pPr>
    <w:rPr>
      <w:rFonts w:ascii="宋体"/>
      <w:kern w:val="0"/>
      <w:szCs w:val="20"/>
    </w:rPr>
  </w:style>
  <w:style w:type="paragraph" w:customStyle="1" w:styleId="76">
    <w:name w:val="样式5"/>
    <w:basedOn w:val="7"/>
    <w:qFormat/>
    <w:uiPriority w:val="0"/>
    <w:pPr>
      <w:ind w:firstLine="420"/>
    </w:pPr>
    <w:rPr>
      <w:sz w:val="21"/>
      <w:szCs w:val="21"/>
    </w:rPr>
  </w:style>
  <w:style w:type="paragraph" w:customStyle="1" w:styleId="77">
    <w:name w:val="标题2"/>
    <w:basedOn w:val="5"/>
    <w:next w:val="1"/>
    <w:link w:val="94"/>
    <w:qFormat/>
    <w:uiPriority w:val="0"/>
    <w:pPr>
      <w:widowControl/>
      <w:spacing w:beforeLines="10" w:afterLines="10" w:line="240" w:lineRule="auto"/>
      <w:jc w:val="left"/>
    </w:pPr>
    <w:rPr>
      <w:rFonts w:ascii="Times New Roman" w:hAnsi="Times New Roman" w:eastAsia="黑体"/>
      <w:b/>
      <w:bCs/>
      <w:szCs w:val="24"/>
    </w:rPr>
  </w:style>
  <w:style w:type="paragraph" w:customStyle="1" w:styleId="78">
    <w:name w:val="三级"/>
    <w:basedOn w:val="5"/>
    <w:link w:val="105"/>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79">
    <w:name w:val="样式2"/>
    <w:basedOn w:val="1"/>
    <w:link w:val="117"/>
    <w:qFormat/>
    <w:uiPriority w:val="0"/>
    <w:pPr>
      <w:spacing w:line="300" w:lineRule="auto"/>
      <w:jc w:val="center"/>
      <w:outlineLvl w:val="0"/>
    </w:pPr>
    <w:rPr>
      <w:b/>
      <w:sz w:val="24"/>
    </w:rPr>
  </w:style>
  <w:style w:type="paragraph" w:customStyle="1" w:styleId="80">
    <w:name w:val="Char1"/>
    <w:basedOn w:val="1"/>
    <w:qFormat/>
    <w:uiPriority w:val="0"/>
    <w:pPr>
      <w:adjustRightInd w:val="0"/>
      <w:spacing w:line="360" w:lineRule="auto"/>
    </w:pPr>
    <w:rPr>
      <w:kern w:val="0"/>
      <w:sz w:val="24"/>
      <w:szCs w:val="20"/>
    </w:rPr>
  </w:style>
  <w:style w:type="paragraph" w:customStyle="1" w:styleId="81">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2">
    <w:name w:val="标题3"/>
    <w:basedOn w:val="6"/>
    <w:next w:val="1"/>
    <w:link w:val="138"/>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3">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4">
    <w:name w:val="表格标题"/>
    <w:basedOn w:val="17"/>
    <w:link w:val="131"/>
    <w:qFormat/>
    <w:uiPriority w:val="0"/>
    <w:pPr>
      <w:spacing w:before="152" w:after="160" w:line="420" w:lineRule="exact"/>
      <w:ind w:firstLine="480" w:firstLineChars="200"/>
      <w:jc w:val="center"/>
    </w:pPr>
    <w:rPr>
      <w:rFonts w:ascii="Arial" w:hAnsi="Arial" w:eastAsia="宋体"/>
      <w:sz w:val="24"/>
      <w:szCs w:val="24"/>
    </w:rPr>
  </w:style>
  <w:style w:type="paragraph" w:customStyle="1" w:styleId="85">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6">
    <w:name w:val="图片"/>
    <w:basedOn w:val="1"/>
    <w:link w:val="119"/>
    <w:qFormat/>
    <w:uiPriority w:val="0"/>
    <w:pPr>
      <w:jc w:val="center"/>
    </w:pPr>
    <w:rPr>
      <w:sz w:val="28"/>
      <w:szCs w:val="28"/>
    </w:rPr>
  </w:style>
  <w:style w:type="paragraph" w:customStyle="1" w:styleId="87">
    <w:name w:val="正文首行缩进1"/>
    <w:basedOn w:val="3"/>
    <w:qFormat/>
    <w:uiPriority w:val="0"/>
    <w:pPr>
      <w:suppressAutoHyphens/>
      <w:spacing w:line="300" w:lineRule="auto"/>
      <w:ind w:left="426"/>
    </w:pPr>
    <w:rPr>
      <w:rFonts w:ascii="宋体" w:hAnsi="宋体"/>
      <w:szCs w:val="20"/>
    </w:rPr>
  </w:style>
  <w:style w:type="paragraph" w:customStyle="1" w:styleId="88">
    <w:name w:val="纯文本1"/>
    <w:basedOn w:val="1"/>
    <w:qFormat/>
    <w:uiPriority w:val="0"/>
    <w:rPr>
      <w:rFonts w:ascii="宋体" w:hAnsi="Courier New"/>
    </w:rPr>
  </w:style>
  <w:style w:type="paragraph" w:customStyle="1" w:styleId="89">
    <w:name w:val="样式 首行不缩进"/>
    <w:basedOn w:val="1"/>
    <w:qFormat/>
    <w:uiPriority w:val="0"/>
    <w:pPr>
      <w:spacing w:before="120" w:after="120" w:line="360" w:lineRule="auto"/>
      <w:jc w:val="center"/>
    </w:pPr>
    <w:rPr>
      <w:rFonts w:cs="宋体"/>
      <w:sz w:val="24"/>
      <w:szCs w:val="20"/>
    </w:rPr>
  </w:style>
  <w:style w:type="paragraph" w:customStyle="1" w:styleId="90">
    <w:name w:val="图题"/>
    <w:link w:val="113"/>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1">
    <w:name w:val="小列表"/>
    <w:basedOn w:val="1"/>
    <w:link w:val="97"/>
    <w:qFormat/>
    <w:uiPriority w:val="0"/>
    <w:pPr>
      <w:numPr>
        <w:ilvl w:val="0"/>
        <w:numId w:val="2"/>
      </w:numPr>
      <w:autoSpaceDE w:val="0"/>
      <w:autoSpaceDN w:val="0"/>
      <w:spacing w:line="440" w:lineRule="exact"/>
      <w:ind w:firstLine="0"/>
    </w:pPr>
    <w:rPr>
      <w:sz w:val="24"/>
      <w:szCs w:val="28"/>
    </w:rPr>
  </w:style>
  <w:style w:type="paragraph" w:customStyle="1" w:styleId="92">
    <w:name w:val="表格正文"/>
    <w:basedOn w:val="1"/>
    <w:qFormat/>
    <w:uiPriority w:val="0"/>
    <w:pPr>
      <w:widowControl/>
      <w:snapToGrid w:val="0"/>
      <w:spacing w:before="60" w:after="60"/>
      <w:ind w:left="11"/>
      <w:jc w:val="center"/>
    </w:pPr>
    <w:rPr>
      <w:kern w:val="0"/>
      <w:szCs w:val="21"/>
    </w:rPr>
  </w:style>
  <w:style w:type="character" w:customStyle="1" w:styleId="93">
    <w:name w:val="题注 Char"/>
    <w:link w:val="17"/>
    <w:qFormat/>
    <w:uiPriority w:val="0"/>
    <w:rPr>
      <w:rFonts w:ascii="华文中宋" w:eastAsia="华文中宋"/>
      <w:kern w:val="2"/>
      <w:sz w:val="36"/>
    </w:rPr>
  </w:style>
  <w:style w:type="character" w:customStyle="1" w:styleId="94">
    <w:name w:val="标题2 Char Char"/>
    <w:link w:val="77"/>
    <w:qFormat/>
    <w:uiPriority w:val="0"/>
    <w:rPr>
      <w:rFonts w:eastAsia="黑体"/>
      <w:kern w:val="2"/>
      <w:sz w:val="32"/>
      <w:szCs w:val="24"/>
    </w:rPr>
  </w:style>
  <w:style w:type="character" w:customStyle="1" w:styleId="95">
    <w:name w:val="批注框文本 Char"/>
    <w:link w:val="33"/>
    <w:qFormat/>
    <w:uiPriority w:val="0"/>
    <w:rPr>
      <w:kern w:val="2"/>
      <w:sz w:val="18"/>
      <w:szCs w:val="18"/>
    </w:rPr>
  </w:style>
  <w:style w:type="character" w:customStyle="1" w:styleId="96">
    <w:name w:val="refresh"/>
    <w:basedOn w:val="52"/>
    <w:qFormat/>
    <w:uiPriority w:val="0"/>
  </w:style>
  <w:style w:type="character" w:customStyle="1" w:styleId="97">
    <w:name w:val="小列表 Char Char"/>
    <w:link w:val="91"/>
    <w:qFormat/>
    <w:uiPriority w:val="0"/>
    <w:rPr>
      <w:rFonts w:eastAsia="Arial Unicode MS"/>
      <w:kern w:val="2"/>
      <w:sz w:val="24"/>
      <w:szCs w:val="28"/>
    </w:rPr>
  </w:style>
  <w:style w:type="character" w:customStyle="1" w:styleId="98">
    <w:name w:val="del"/>
    <w:basedOn w:val="52"/>
    <w:qFormat/>
    <w:uiPriority w:val="0"/>
  </w:style>
  <w:style w:type="character" w:customStyle="1" w:styleId="99">
    <w:name w:val="批注文字 Char1"/>
    <w:link w:val="21"/>
    <w:qFormat/>
    <w:uiPriority w:val="0"/>
    <w:rPr>
      <w:rFonts w:ascii="Tahoma" w:hAnsi="Tahoma"/>
      <w:kern w:val="2"/>
      <w:sz w:val="21"/>
      <w:szCs w:val="24"/>
    </w:rPr>
  </w:style>
  <w:style w:type="character" w:customStyle="1" w:styleId="100">
    <w:name w:val="正文缩进 Char1"/>
    <w:qFormat/>
    <w:uiPriority w:val="0"/>
    <w:rPr>
      <w:rFonts w:eastAsia="宋体"/>
      <w:kern w:val="2"/>
      <w:sz w:val="21"/>
      <w:szCs w:val="24"/>
      <w:lang w:val="en-US" w:eastAsia="zh-CN" w:bidi="ar-SA"/>
    </w:rPr>
  </w:style>
  <w:style w:type="character" w:customStyle="1" w:styleId="101">
    <w:name w:val="标题 5 Char"/>
    <w:link w:val="9"/>
    <w:qFormat/>
    <w:uiPriority w:val="99"/>
    <w:rPr>
      <w:b/>
      <w:bCs/>
      <w:kern w:val="2"/>
      <w:sz w:val="24"/>
      <w:szCs w:val="28"/>
    </w:rPr>
  </w:style>
  <w:style w:type="character" w:customStyle="1" w:styleId="102">
    <w:name w:val="标题 2 Char"/>
    <w:link w:val="5"/>
    <w:qFormat/>
    <w:uiPriority w:val="99"/>
    <w:rPr>
      <w:rFonts w:ascii="Cambria" w:hAnsi="Cambria"/>
      <w:b/>
      <w:bCs/>
      <w:kern w:val="2"/>
      <w:sz w:val="32"/>
      <w:szCs w:val="32"/>
    </w:rPr>
  </w:style>
  <w:style w:type="character" w:customStyle="1" w:styleId="103">
    <w:name w:val="表格字体小四 Char Char"/>
    <w:link w:val="73"/>
    <w:qFormat/>
    <w:uiPriority w:val="0"/>
    <w:rPr>
      <w:kern w:val="2"/>
      <w:sz w:val="24"/>
      <w:szCs w:val="24"/>
      <w:lang w:val="en-US" w:eastAsia="zh-CN" w:bidi="ar-SA"/>
    </w:rPr>
  </w:style>
  <w:style w:type="character" w:customStyle="1" w:styleId="104">
    <w:name w:val="目录 Char Char"/>
    <w:link w:val="72"/>
    <w:qFormat/>
    <w:uiPriority w:val="0"/>
    <w:rPr>
      <w:rFonts w:ascii="仿宋_GB2312" w:hAnsi="宋体" w:eastAsia="仿宋_GB2312"/>
      <w:sz w:val="28"/>
      <w:szCs w:val="28"/>
      <w:lang w:val="en-US" w:eastAsia="zh-CN" w:bidi="ar-SA"/>
    </w:rPr>
  </w:style>
  <w:style w:type="character" w:customStyle="1" w:styleId="105">
    <w:name w:val="三级 Char Char"/>
    <w:link w:val="78"/>
    <w:qFormat/>
    <w:uiPriority w:val="0"/>
    <w:rPr>
      <w:rFonts w:eastAsia="黑体"/>
      <w:bCs/>
      <w:kern w:val="2"/>
      <w:sz w:val="30"/>
      <w:szCs w:val="24"/>
    </w:rPr>
  </w:style>
  <w:style w:type="character" w:customStyle="1" w:styleId="106">
    <w:name w:val="label"/>
    <w:basedOn w:val="52"/>
    <w:qFormat/>
    <w:uiPriority w:val="0"/>
  </w:style>
  <w:style w:type="character" w:customStyle="1" w:styleId="107">
    <w:name w:val="标题 8 Char"/>
    <w:link w:val="12"/>
    <w:qFormat/>
    <w:uiPriority w:val="99"/>
    <w:rPr>
      <w:rFonts w:ascii="Arial" w:hAnsi="Arial" w:eastAsia="黑体"/>
      <w:kern w:val="2"/>
      <w:sz w:val="24"/>
      <w:szCs w:val="28"/>
    </w:rPr>
  </w:style>
  <w:style w:type="character" w:customStyle="1" w:styleId="108">
    <w:name w:val="open2"/>
    <w:basedOn w:val="52"/>
    <w:qFormat/>
    <w:uiPriority w:val="0"/>
  </w:style>
  <w:style w:type="character" w:customStyle="1" w:styleId="109">
    <w:name w:val="15"/>
    <w:qFormat/>
    <w:uiPriority w:val="0"/>
    <w:rPr>
      <w:rFonts w:hint="default" w:ascii="Calibri" w:hAnsi="Calibri" w:cs="Calibri"/>
      <w:color w:val="0000FF"/>
      <w:u w:val="single"/>
    </w:rPr>
  </w:style>
  <w:style w:type="character" w:customStyle="1" w:styleId="110">
    <w:name w:val="trans"/>
    <w:basedOn w:val="52"/>
    <w:qFormat/>
    <w:uiPriority w:val="0"/>
  </w:style>
  <w:style w:type="character" w:customStyle="1" w:styleId="111">
    <w:name w:val="del2"/>
    <w:basedOn w:val="52"/>
    <w:qFormat/>
    <w:uiPriority w:val="0"/>
  </w:style>
  <w:style w:type="character" w:customStyle="1" w:styleId="112">
    <w:name w:val="标题 3 Char"/>
    <w:link w:val="6"/>
    <w:qFormat/>
    <w:uiPriority w:val="99"/>
    <w:rPr>
      <w:rFonts w:ascii="Tahoma" w:hAnsi="Tahoma"/>
      <w:b/>
      <w:bCs/>
      <w:kern w:val="2"/>
      <w:sz w:val="32"/>
      <w:szCs w:val="32"/>
    </w:rPr>
  </w:style>
  <w:style w:type="character" w:customStyle="1" w:styleId="113">
    <w:name w:val="图题 Char Char"/>
    <w:link w:val="90"/>
    <w:qFormat/>
    <w:uiPriority w:val="0"/>
    <w:rPr>
      <w:kern w:val="2"/>
      <w:sz w:val="24"/>
      <w:szCs w:val="24"/>
      <w:lang w:val="en-US" w:eastAsia="zh-CN" w:bidi="ar-SA"/>
    </w:rPr>
  </w:style>
  <w:style w:type="character" w:customStyle="1" w:styleId="114">
    <w:name w:val="pagelinks"/>
    <w:basedOn w:val="52"/>
    <w:qFormat/>
    <w:uiPriority w:val="0"/>
  </w:style>
  <w:style w:type="character" w:customStyle="1" w:styleId="115">
    <w:name w:val="morewin"/>
    <w:basedOn w:val="52"/>
    <w:qFormat/>
    <w:uiPriority w:val="0"/>
  </w:style>
  <w:style w:type="character" w:customStyle="1" w:styleId="116">
    <w:name w:val="open"/>
    <w:basedOn w:val="52"/>
    <w:qFormat/>
    <w:uiPriority w:val="0"/>
  </w:style>
  <w:style w:type="character" w:customStyle="1" w:styleId="117">
    <w:name w:val="样式2 Char Char"/>
    <w:link w:val="79"/>
    <w:qFormat/>
    <w:uiPriority w:val="0"/>
    <w:rPr>
      <w:b/>
      <w:kern w:val="2"/>
      <w:sz w:val="24"/>
      <w:szCs w:val="24"/>
    </w:rPr>
  </w:style>
  <w:style w:type="character" w:customStyle="1" w:styleId="118">
    <w:name w:val="批注文字 Char"/>
    <w:qFormat/>
    <w:uiPriority w:val="99"/>
    <w:rPr>
      <w:kern w:val="2"/>
      <w:sz w:val="24"/>
      <w:szCs w:val="28"/>
    </w:rPr>
  </w:style>
  <w:style w:type="character" w:customStyle="1" w:styleId="119">
    <w:name w:val="图片 Char Char"/>
    <w:link w:val="86"/>
    <w:qFormat/>
    <w:uiPriority w:val="0"/>
    <w:rPr>
      <w:kern w:val="2"/>
      <w:sz w:val="28"/>
      <w:szCs w:val="28"/>
    </w:rPr>
  </w:style>
  <w:style w:type="character" w:customStyle="1" w:styleId="120">
    <w:name w:val="标题 1 Char"/>
    <w:link w:val="4"/>
    <w:qFormat/>
    <w:uiPriority w:val="99"/>
    <w:rPr>
      <w:rFonts w:ascii="Tahoma" w:hAnsi="Tahoma"/>
      <w:b/>
      <w:bCs/>
      <w:kern w:val="44"/>
      <w:sz w:val="24"/>
      <w:szCs w:val="44"/>
    </w:rPr>
  </w:style>
  <w:style w:type="character" w:customStyle="1" w:styleId="121">
    <w:name w:val="页眉 Char"/>
    <w:link w:val="35"/>
    <w:qFormat/>
    <w:uiPriority w:val="99"/>
    <w:rPr>
      <w:rFonts w:ascii="Tahoma" w:hAnsi="Tahoma"/>
      <w:kern w:val="2"/>
      <w:sz w:val="18"/>
      <w:szCs w:val="18"/>
    </w:rPr>
  </w:style>
  <w:style w:type="character" w:customStyle="1" w:styleId="122">
    <w:name w:val="标题 7 Char"/>
    <w:link w:val="11"/>
    <w:qFormat/>
    <w:uiPriority w:val="99"/>
    <w:rPr>
      <w:b/>
      <w:bCs/>
      <w:kern w:val="2"/>
      <w:sz w:val="24"/>
      <w:szCs w:val="28"/>
    </w:rPr>
  </w:style>
  <w:style w:type="character" w:customStyle="1" w:styleId="123">
    <w:name w:val="标题 Char"/>
    <w:link w:val="47"/>
    <w:qFormat/>
    <w:uiPriority w:val="0"/>
    <w:rPr>
      <w:rFonts w:ascii="Cambria" w:hAnsi="Cambria"/>
      <w:b/>
      <w:bCs/>
      <w:kern w:val="2"/>
      <w:sz w:val="32"/>
      <w:szCs w:val="32"/>
    </w:rPr>
  </w:style>
  <w:style w:type="character" w:customStyle="1" w:styleId="124">
    <w:name w:val="标题 9 Char"/>
    <w:link w:val="13"/>
    <w:qFormat/>
    <w:uiPriority w:val="99"/>
    <w:rPr>
      <w:rFonts w:ascii="Arial" w:hAnsi="Arial" w:eastAsia="黑体"/>
      <w:kern w:val="2"/>
      <w:sz w:val="24"/>
      <w:szCs w:val="21"/>
    </w:rPr>
  </w:style>
  <w:style w:type="character" w:customStyle="1" w:styleId="125">
    <w:name w:val="error"/>
    <w:qFormat/>
    <w:uiPriority w:val="0"/>
    <w:rPr>
      <w:color w:val="CC0000"/>
    </w:rPr>
  </w:style>
  <w:style w:type="character" w:customStyle="1" w:styleId="126">
    <w:name w:val="add"/>
    <w:basedOn w:val="52"/>
    <w:qFormat/>
    <w:uiPriority w:val="0"/>
  </w:style>
  <w:style w:type="character" w:customStyle="1" w:styleId="127">
    <w:name w:val="批注主题 Char"/>
    <w:link w:val="48"/>
    <w:qFormat/>
    <w:uiPriority w:val="99"/>
    <w:rPr>
      <w:rFonts w:ascii="Tahoma" w:hAnsi="Tahoma"/>
      <w:b/>
      <w:bCs/>
      <w:kern w:val="2"/>
      <w:sz w:val="24"/>
      <w:szCs w:val="28"/>
    </w:rPr>
  </w:style>
  <w:style w:type="character" w:customStyle="1" w:styleId="128">
    <w:name w:val="pagebanner"/>
    <w:basedOn w:val="52"/>
    <w:qFormat/>
    <w:uiPriority w:val="0"/>
  </w:style>
  <w:style w:type="character" w:customStyle="1" w:styleId="129">
    <w:name w:val="文档结构图 Char"/>
    <w:link w:val="19"/>
    <w:qFormat/>
    <w:uiPriority w:val="99"/>
    <w:rPr>
      <w:rFonts w:ascii="宋体"/>
      <w:kern w:val="2"/>
      <w:sz w:val="18"/>
      <w:szCs w:val="18"/>
    </w:rPr>
  </w:style>
  <w:style w:type="character" w:customStyle="1" w:styleId="130">
    <w:name w:val="正文首行缩进 Char"/>
    <w:link w:val="2"/>
    <w:qFormat/>
    <w:uiPriority w:val="0"/>
    <w:rPr>
      <w:rFonts w:ascii="Tahoma" w:hAnsi="Tahoma"/>
      <w:kern w:val="2"/>
      <w:sz w:val="21"/>
      <w:szCs w:val="24"/>
    </w:rPr>
  </w:style>
  <w:style w:type="character" w:customStyle="1" w:styleId="131">
    <w:name w:val="表格标题 Char Char"/>
    <w:link w:val="84"/>
    <w:qFormat/>
    <w:uiPriority w:val="0"/>
    <w:rPr>
      <w:rFonts w:ascii="Arial" w:hAnsi="Arial" w:cs="Arial"/>
      <w:kern w:val="2"/>
      <w:sz w:val="24"/>
      <w:szCs w:val="24"/>
    </w:rPr>
  </w:style>
  <w:style w:type="character" w:customStyle="1" w:styleId="132">
    <w:name w:val="标题 6 Char"/>
    <w:link w:val="10"/>
    <w:qFormat/>
    <w:uiPriority w:val="99"/>
    <w:rPr>
      <w:rFonts w:ascii="Arial" w:hAnsi="Arial" w:eastAsia="黑体"/>
      <w:b/>
      <w:bCs/>
      <w:kern w:val="2"/>
      <w:sz w:val="24"/>
      <w:szCs w:val="28"/>
    </w:rPr>
  </w:style>
  <w:style w:type="character" w:customStyle="1" w:styleId="133">
    <w:name w:val="正文文本 Char"/>
    <w:link w:val="3"/>
    <w:qFormat/>
    <w:uiPriority w:val="99"/>
    <w:rPr>
      <w:rFonts w:ascii="Tahoma" w:hAnsi="Tahoma"/>
      <w:kern w:val="2"/>
      <w:sz w:val="21"/>
      <w:szCs w:val="24"/>
    </w:rPr>
  </w:style>
  <w:style w:type="character" w:customStyle="1" w:styleId="134">
    <w:name w:val="10"/>
    <w:qFormat/>
    <w:uiPriority w:val="0"/>
    <w:rPr>
      <w:rFonts w:hint="default" w:ascii="Calibri" w:hAnsi="Calibri" w:cs="Calibri"/>
    </w:rPr>
  </w:style>
  <w:style w:type="character" w:customStyle="1" w:styleId="135">
    <w:name w:val="正文缩进 Char"/>
    <w:link w:val="7"/>
    <w:qFormat/>
    <w:uiPriority w:val="0"/>
    <w:rPr>
      <w:kern w:val="2"/>
      <w:sz w:val="24"/>
    </w:rPr>
  </w:style>
  <w:style w:type="character" w:customStyle="1" w:styleId="136">
    <w:name w:val="页脚 Char"/>
    <w:link w:val="34"/>
    <w:qFormat/>
    <w:uiPriority w:val="99"/>
    <w:rPr>
      <w:rFonts w:ascii="Tahoma" w:hAnsi="Tahoma"/>
      <w:kern w:val="2"/>
      <w:sz w:val="18"/>
      <w:szCs w:val="18"/>
    </w:rPr>
  </w:style>
  <w:style w:type="character" w:customStyle="1" w:styleId="137">
    <w:name w:val="mod"/>
    <w:basedOn w:val="52"/>
    <w:qFormat/>
    <w:uiPriority w:val="0"/>
  </w:style>
  <w:style w:type="character" w:customStyle="1" w:styleId="138">
    <w:name w:val="标题3 Char Char"/>
    <w:link w:val="82"/>
    <w:qFormat/>
    <w:uiPriority w:val="0"/>
    <w:rPr>
      <w:rFonts w:eastAsia="黑体"/>
      <w:kern w:val="2"/>
      <w:sz w:val="28"/>
      <w:szCs w:val="32"/>
    </w:rPr>
  </w:style>
  <w:style w:type="character" w:customStyle="1" w:styleId="139">
    <w:name w:val="标题 4 Char"/>
    <w:link w:val="8"/>
    <w:qFormat/>
    <w:uiPriority w:val="99"/>
    <w:rPr>
      <w:b/>
      <w:sz w:val="24"/>
      <w:szCs w:val="24"/>
    </w:rPr>
  </w:style>
  <w:style w:type="paragraph" w:customStyle="1" w:styleId="140">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1">
    <w:name w:val="redfilefwwh"/>
    <w:basedOn w:val="52"/>
    <w:qFormat/>
    <w:uiPriority w:val="0"/>
    <w:rPr>
      <w:color w:val="BA2636"/>
      <w:sz w:val="12"/>
      <w:szCs w:val="12"/>
    </w:rPr>
  </w:style>
  <w:style w:type="character" w:customStyle="1" w:styleId="142">
    <w:name w:val="gjfg"/>
    <w:basedOn w:val="52"/>
    <w:qFormat/>
    <w:uiPriority w:val="0"/>
  </w:style>
  <w:style w:type="character" w:customStyle="1" w:styleId="143">
    <w:name w:val="redfilenumber"/>
    <w:basedOn w:val="52"/>
    <w:qFormat/>
    <w:uiPriority w:val="0"/>
    <w:rPr>
      <w:color w:val="BA2636"/>
      <w:sz w:val="12"/>
      <w:szCs w:val="12"/>
    </w:rPr>
  </w:style>
  <w:style w:type="character" w:customStyle="1" w:styleId="144">
    <w:name w:val="qxdate"/>
    <w:basedOn w:val="52"/>
    <w:qFormat/>
    <w:uiPriority w:val="0"/>
    <w:rPr>
      <w:color w:val="333333"/>
      <w:sz w:val="12"/>
      <w:szCs w:val="12"/>
    </w:rPr>
  </w:style>
  <w:style w:type="character" w:customStyle="1" w:styleId="145">
    <w:name w:val="prev"/>
    <w:basedOn w:val="52"/>
    <w:qFormat/>
    <w:uiPriority w:val="0"/>
    <w:rPr>
      <w:rFonts w:ascii="微软雅黑" w:hAnsi="微软雅黑" w:eastAsia="微软雅黑" w:cs="微软雅黑"/>
      <w:sz w:val="14"/>
      <w:szCs w:val="14"/>
    </w:rPr>
  </w:style>
  <w:style w:type="character" w:customStyle="1" w:styleId="146">
    <w:name w:val="cfdate"/>
    <w:basedOn w:val="52"/>
    <w:qFormat/>
    <w:uiPriority w:val="0"/>
    <w:rPr>
      <w:color w:val="333333"/>
      <w:sz w:val="12"/>
      <w:szCs w:val="12"/>
    </w:rPr>
  </w:style>
  <w:style w:type="character" w:customStyle="1" w:styleId="147">
    <w:name w:val="displayarti"/>
    <w:basedOn w:val="52"/>
    <w:qFormat/>
    <w:uiPriority w:val="0"/>
    <w:rPr>
      <w:color w:val="FFFFFF"/>
      <w:shd w:val="clear" w:color="auto" w:fill="A00000"/>
    </w:rPr>
  </w:style>
  <w:style w:type="character" w:customStyle="1" w:styleId="148">
    <w:name w:val="next2"/>
    <w:basedOn w:val="52"/>
    <w:qFormat/>
    <w:uiPriority w:val="0"/>
    <w:rPr>
      <w:rFonts w:hint="eastAsia" w:ascii="微软雅黑" w:hAnsi="微软雅黑" w:eastAsia="微软雅黑" w:cs="微软雅黑"/>
      <w:sz w:val="14"/>
      <w:szCs w:val="14"/>
    </w:rPr>
  </w:style>
  <w:style w:type="character" w:customStyle="1" w:styleId="149">
    <w:name w:val="next3"/>
    <w:basedOn w:val="52"/>
    <w:qFormat/>
    <w:uiPriority w:val="0"/>
    <w:rPr>
      <w:color w:val="888888"/>
    </w:rPr>
  </w:style>
  <w:style w:type="character" w:customStyle="1" w:styleId="150">
    <w:name w:val="next"/>
    <w:basedOn w:val="52"/>
    <w:qFormat/>
    <w:uiPriority w:val="0"/>
    <w:rPr>
      <w:rFonts w:ascii="微软雅黑" w:hAnsi="微软雅黑" w:eastAsia="微软雅黑" w:cs="微软雅黑"/>
      <w:sz w:val="14"/>
      <w:szCs w:val="14"/>
    </w:rPr>
  </w:style>
  <w:style w:type="character" w:customStyle="1" w:styleId="151">
    <w:name w:val="prev1"/>
    <w:basedOn w:val="52"/>
    <w:qFormat/>
    <w:uiPriority w:val="0"/>
    <w:rPr>
      <w:color w:val="888888"/>
    </w:rPr>
  </w:style>
  <w:style w:type="paragraph" w:customStyle="1" w:styleId="152">
    <w:name w:val="Body text|21"/>
    <w:basedOn w:val="1"/>
    <w:link w:val="154"/>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3">
    <w:name w:val="Body text|2 + Spacing 0 pt"/>
    <w:basedOn w:val="154"/>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4">
    <w:name w:val="Body text|2_"/>
    <w:basedOn w:val="52"/>
    <w:link w:val="152"/>
    <w:qFormat/>
    <w:uiPriority w:val="0"/>
    <w:rPr>
      <w:rFonts w:ascii="PMingLiU" w:hAnsi="PMingLiU" w:eastAsia="PMingLiU" w:cs="PMingLiU"/>
      <w:spacing w:val="30"/>
    </w:rPr>
  </w:style>
  <w:style w:type="character" w:customStyle="1" w:styleId="155">
    <w:name w:val="Body text|2 + Spacing 3 pt"/>
    <w:basedOn w:val="154"/>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6">
    <w:name w:val="图文"/>
    <w:basedOn w:val="1"/>
    <w:qFormat/>
    <w:uiPriority w:val="0"/>
    <w:pPr>
      <w:adjustRightInd w:val="0"/>
      <w:snapToGrid w:val="0"/>
      <w:spacing w:after="50" w:line="360" w:lineRule="auto"/>
    </w:pPr>
    <w:rPr>
      <w:sz w:val="24"/>
    </w:rPr>
  </w:style>
  <w:style w:type="paragraph" w:customStyle="1" w:styleId="157">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58">
    <w:name w:val="Char"/>
    <w:basedOn w:val="1"/>
    <w:qFormat/>
    <w:uiPriority w:val="0"/>
    <w:rPr>
      <w:rFonts w:ascii="仿宋_GB2312" w:eastAsia="仿宋_GB2312"/>
      <w:b/>
      <w:sz w:val="32"/>
      <w:szCs w:val="32"/>
    </w:rPr>
  </w:style>
  <w:style w:type="paragraph" w:customStyle="1" w:styleId="159">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0">
    <w:name w:val="1"/>
    <w:basedOn w:val="1"/>
    <w:next w:val="24"/>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1">
    <w:name w:val="正文文本缩进 2 Char"/>
    <w:basedOn w:val="52"/>
    <w:link w:val="32"/>
    <w:qFormat/>
    <w:uiPriority w:val="99"/>
    <w:rPr>
      <w:rFonts w:ascii="Times New Roman" w:hAnsi="Times New Roman" w:eastAsia="宋体" w:cs="Times New Roman"/>
      <w:kern w:val="2"/>
      <w:sz w:val="24"/>
      <w:szCs w:val="30"/>
    </w:rPr>
  </w:style>
  <w:style w:type="paragraph" w:customStyle="1" w:styleId="16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3">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4">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5">
    <w:name w:val="正文文本缩进 Char"/>
    <w:basedOn w:val="52"/>
    <w:link w:val="24"/>
    <w:qFormat/>
    <w:uiPriority w:val="99"/>
    <w:rPr>
      <w:rFonts w:ascii="Tahoma" w:hAnsi="Tahoma" w:eastAsia="Arial Unicode MS" w:cs="Times New Roman"/>
      <w:kern w:val="2"/>
      <w:sz w:val="21"/>
      <w:szCs w:val="24"/>
    </w:rPr>
  </w:style>
  <w:style w:type="character" w:customStyle="1" w:styleId="166">
    <w:name w:val="正文首行缩进 2 Char"/>
    <w:basedOn w:val="165"/>
    <w:link w:val="49"/>
    <w:qFormat/>
    <w:uiPriority w:val="0"/>
    <w:rPr>
      <w:rFonts w:ascii="Times New Roman" w:hAnsi="Times New Roman" w:eastAsia="宋体" w:cs="Times New Roman"/>
      <w:kern w:val="2"/>
      <w:sz w:val="21"/>
      <w:szCs w:val="24"/>
    </w:rPr>
  </w:style>
  <w:style w:type="character" w:customStyle="1" w:styleId="167">
    <w:name w:val="正文文本 2 Char"/>
    <w:basedOn w:val="52"/>
    <w:link w:val="43"/>
    <w:qFormat/>
    <w:uiPriority w:val="99"/>
    <w:rPr>
      <w:rFonts w:ascii="宋体" w:hAnsi="Times New Roman" w:eastAsia="宋体" w:cs="Times New Roman"/>
      <w:kern w:val="2"/>
      <w:sz w:val="21"/>
    </w:rPr>
  </w:style>
  <w:style w:type="paragraph" w:customStyle="1" w:styleId="168">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69">
    <w:name w:val="样式 标题 2 + (符号) 宋体 小四"/>
    <w:basedOn w:val="5"/>
    <w:qFormat/>
    <w:uiPriority w:val="0"/>
    <w:pPr>
      <w:keepNext/>
      <w:keepLines/>
      <w:spacing w:line="416" w:lineRule="auto"/>
    </w:pPr>
    <w:rPr>
      <w:rFonts w:ascii="Arial" w:hAnsi="Arial" w:eastAsia="宋体"/>
      <w:bCs/>
      <w:sz w:val="24"/>
    </w:rPr>
  </w:style>
  <w:style w:type="character" w:customStyle="1" w:styleId="170">
    <w:name w:val="Char2"/>
    <w:qFormat/>
    <w:uiPriority w:val="0"/>
    <w:rPr>
      <w:rFonts w:ascii="Arial" w:hAnsi="Arial" w:eastAsia="黑体"/>
      <w:b/>
      <w:bCs/>
      <w:kern w:val="2"/>
      <w:sz w:val="32"/>
      <w:szCs w:val="32"/>
      <w:lang w:val="en-US" w:eastAsia="zh-CN" w:bidi="ar-SA"/>
    </w:rPr>
  </w:style>
  <w:style w:type="character" w:customStyle="1" w:styleId="171">
    <w:name w:val="样式 标题 2 + (符号) 宋体 小四 Char"/>
    <w:qFormat/>
    <w:uiPriority w:val="0"/>
    <w:rPr>
      <w:rFonts w:ascii="Arial" w:hAnsi="Arial" w:eastAsia="宋体"/>
      <w:b/>
      <w:bCs/>
      <w:kern w:val="2"/>
      <w:sz w:val="24"/>
      <w:szCs w:val="32"/>
      <w:lang w:val="en-US" w:eastAsia="zh-CN" w:bidi="ar-SA"/>
    </w:rPr>
  </w:style>
  <w:style w:type="paragraph" w:customStyle="1" w:styleId="172">
    <w:name w:val="样式1"/>
    <w:basedOn w:val="1"/>
    <w:next w:val="6"/>
    <w:qFormat/>
    <w:uiPriority w:val="99"/>
    <w:rPr>
      <w:rFonts w:eastAsia="宋体"/>
      <w:sz w:val="24"/>
      <w:szCs w:val="20"/>
    </w:rPr>
  </w:style>
  <w:style w:type="paragraph" w:customStyle="1" w:styleId="173">
    <w:name w:val="默认段落字体 Para Char Char Char Char Char Char Char Char Char Char"/>
    <w:basedOn w:val="19"/>
    <w:qFormat/>
    <w:uiPriority w:val="0"/>
    <w:pPr>
      <w:shd w:val="clear" w:color="auto" w:fill="000080"/>
      <w:spacing w:line="240" w:lineRule="auto"/>
    </w:pPr>
    <w:rPr>
      <w:rFonts w:ascii="Tahoma" w:hAnsi="Tahoma" w:eastAsia="宋体"/>
      <w:sz w:val="24"/>
      <w:szCs w:val="24"/>
    </w:rPr>
  </w:style>
  <w:style w:type="paragraph" w:customStyle="1" w:styleId="174">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5">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7">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7">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8">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9">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1">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2">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5">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6">
    <w:name w:val="日期 Char"/>
    <w:link w:val="31"/>
    <w:qFormat/>
    <w:uiPriority w:val="99"/>
    <w:rPr>
      <w:rFonts w:ascii="Tahoma" w:hAnsi="Tahoma" w:eastAsia="Arial Unicode MS" w:cs="Times New Roman"/>
      <w:kern w:val="2"/>
      <w:sz w:val="21"/>
      <w:szCs w:val="24"/>
    </w:rPr>
  </w:style>
  <w:style w:type="character" w:customStyle="1" w:styleId="197">
    <w:name w:val="Char Char"/>
    <w:qFormat/>
    <w:uiPriority w:val="0"/>
    <w:rPr>
      <w:rFonts w:eastAsia="宋体"/>
      <w:kern w:val="2"/>
      <w:sz w:val="24"/>
      <w:lang w:val="en-US" w:eastAsia="zh-CN" w:bidi="ar-SA"/>
    </w:rPr>
  </w:style>
  <w:style w:type="character" w:customStyle="1" w:styleId="198">
    <w:name w:val="称呼 Char"/>
    <w:basedOn w:val="52"/>
    <w:link w:val="22"/>
    <w:qFormat/>
    <w:uiPriority w:val="0"/>
    <w:rPr>
      <w:rFonts w:ascii="..ì." w:hAnsi="Times New Roman" w:eastAsia="..ì." w:cs="Times New Roman"/>
      <w:sz w:val="24"/>
    </w:rPr>
  </w:style>
  <w:style w:type="character" w:customStyle="1" w:styleId="199">
    <w:name w:val="注释标题 Char"/>
    <w:basedOn w:val="52"/>
    <w:link w:val="15"/>
    <w:qFormat/>
    <w:uiPriority w:val="0"/>
    <w:rPr>
      <w:rFonts w:ascii="..ì." w:hAnsi="Times New Roman" w:eastAsia="..ì." w:cs="Times New Roman"/>
      <w:sz w:val="24"/>
    </w:rPr>
  </w:style>
  <w:style w:type="paragraph" w:customStyle="1" w:styleId="200">
    <w:name w:val="1 Char Char Char Char"/>
    <w:basedOn w:val="1"/>
    <w:qFormat/>
    <w:uiPriority w:val="0"/>
    <w:rPr>
      <w:rFonts w:ascii="Tahoma" w:hAnsi="Tahoma" w:eastAsia="宋体"/>
      <w:sz w:val="24"/>
      <w:szCs w:val="20"/>
    </w:rPr>
  </w:style>
  <w:style w:type="paragraph" w:customStyle="1" w:styleId="20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2">
    <w:name w:val="TOC 标题2"/>
    <w:basedOn w:val="4"/>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3">
    <w:name w:val="标题 1 Char1"/>
    <w:qFormat/>
    <w:uiPriority w:val="99"/>
    <w:rPr>
      <w:rFonts w:ascii="黑体" w:eastAsia="黑体"/>
      <w:sz w:val="52"/>
      <w:lang w:bidi="ar-SA"/>
    </w:rPr>
  </w:style>
  <w:style w:type="paragraph" w:customStyle="1" w:styleId="204">
    <w:name w:val="样式 标题 2 + Times New Roman 四号 非加粗 段前: 5 磅 段后: 0 磅 行距: 固定值 20..."/>
    <w:basedOn w:val="5"/>
    <w:qFormat/>
    <w:uiPriority w:val="99"/>
    <w:pPr>
      <w:keepNext/>
      <w:keepLines/>
      <w:spacing w:before="100" w:after="0" w:line="400" w:lineRule="exact"/>
    </w:pPr>
    <w:rPr>
      <w:rFonts w:ascii="Times New Roman" w:hAnsi="Times New Roman" w:eastAsia="黑体" w:cs="宋体"/>
      <w:sz w:val="28"/>
      <w:szCs w:val="20"/>
    </w:rPr>
  </w:style>
  <w:style w:type="paragraph" w:customStyle="1" w:styleId="205">
    <w:name w:val="3"/>
    <w:basedOn w:val="1"/>
    <w:next w:val="23"/>
    <w:qFormat/>
    <w:uiPriority w:val="99"/>
    <w:rPr>
      <w:rFonts w:ascii="宋体" w:eastAsia="宋体"/>
      <w:sz w:val="24"/>
      <w:szCs w:val="20"/>
    </w:rPr>
  </w:style>
  <w:style w:type="character" w:customStyle="1" w:styleId="206">
    <w:name w:val="正文文本 3 Char"/>
    <w:basedOn w:val="52"/>
    <w:link w:val="23"/>
    <w:qFormat/>
    <w:uiPriority w:val="99"/>
    <w:rPr>
      <w:rFonts w:ascii="Times New Roman" w:hAnsi="Times New Roman" w:eastAsia="宋体" w:cs="Times New Roman"/>
      <w:kern w:val="2"/>
      <w:sz w:val="16"/>
      <w:szCs w:val="16"/>
    </w:rPr>
  </w:style>
  <w:style w:type="paragraph" w:customStyle="1" w:styleId="207">
    <w:name w:val="样式 标题 3 + (中文) 黑体 小四 非加粗 段前: 7.8 磅 段后: 0 磅 行距: 固定值 20 磅"/>
    <w:basedOn w:val="6"/>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08">
    <w:name w:val="2"/>
    <w:basedOn w:val="1"/>
    <w:next w:val="24"/>
    <w:qFormat/>
    <w:uiPriority w:val="99"/>
    <w:pPr>
      <w:ind w:left="432"/>
    </w:pPr>
    <w:rPr>
      <w:rFonts w:eastAsia="宋体"/>
      <w:szCs w:val="20"/>
    </w:rPr>
  </w:style>
  <w:style w:type="character" w:customStyle="1" w:styleId="209">
    <w:name w:val="正文文本缩进 3 Char"/>
    <w:link w:val="40"/>
    <w:qFormat/>
    <w:uiPriority w:val="99"/>
    <w:rPr>
      <w:rFonts w:ascii="Times New Roman" w:hAnsi="Times New Roman" w:eastAsia="Arial Unicode MS" w:cs="Times New Roman"/>
      <w:kern w:val="2"/>
      <w:sz w:val="16"/>
      <w:szCs w:val="16"/>
    </w:rPr>
  </w:style>
  <w:style w:type="paragraph" w:customStyle="1" w:styleId="210">
    <w:name w:val="样式 标题 1 + 黑体 三号 非加粗 居中 段前: 6 磅 段后: 6 磅 行距: 固定值 20 磅"/>
    <w:basedOn w:val="4"/>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1">
    <w:name w:val="Char1111"/>
    <w:basedOn w:val="1"/>
    <w:qFormat/>
    <w:uiPriority w:val="0"/>
    <w:rPr>
      <w:rFonts w:ascii="Tahoma" w:hAnsi="Tahoma" w:eastAsia="宋体"/>
      <w:sz w:val="24"/>
      <w:szCs w:val="20"/>
    </w:rPr>
  </w:style>
  <w:style w:type="character" w:customStyle="1" w:styleId="212">
    <w:name w:val="font161"/>
    <w:qFormat/>
    <w:uiPriority w:val="99"/>
    <w:rPr>
      <w:b/>
      <w:bCs/>
      <w:sz w:val="32"/>
      <w:szCs w:val="32"/>
    </w:rPr>
  </w:style>
  <w:style w:type="paragraph" w:customStyle="1" w:styleId="213">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4">
    <w:name w:val="表格"/>
    <w:basedOn w:val="1"/>
    <w:qFormat/>
    <w:uiPriority w:val="99"/>
    <w:pPr>
      <w:jc w:val="center"/>
      <w:textAlignment w:val="center"/>
    </w:pPr>
    <w:rPr>
      <w:rFonts w:ascii="华文细黑" w:hAnsi="华文细黑" w:eastAsia="宋体"/>
      <w:kern w:val="0"/>
      <w:szCs w:val="20"/>
    </w:rPr>
  </w:style>
  <w:style w:type="paragraph" w:customStyle="1" w:styleId="215">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6">
    <w:name w:val="XW正文"/>
    <w:basedOn w:val="24"/>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7">
    <w:name w:val="金安桥正文"/>
    <w:basedOn w:val="24"/>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18">
    <w:name w:val="样式 粉红"/>
    <w:qFormat/>
    <w:uiPriority w:val="99"/>
    <w:rPr>
      <w:color w:val="auto"/>
      <w:u w:val="none"/>
    </w:rPr>
  </w:style>
  <w:style w:type="character" w:customStyle="1" w:styleId="219">
    <w:name w:val="Char Char1"/>
    <w:qFormat/>
    <w:uiPriority w:val="0"/>
    <w:rPr>
      <w:rFonts w:eastAsia="宋体"/>
      <w:kern w:val="2"/>
      <w:sz w:val="24"/>
      <w:lang w:val="en-US" w:eastAsia="zh-CN" w:bidi="ar-SA"/>
    </w:rPr>
  </w:style>
  <w:style w:type="character" w:customStyle="1" w:styleId="220">
    <w:name w:val="纯文本 Char"/>
    <w:link w:val="29"/>
    <w:qFormat/>
    <w:uiPriority w:val="0"/>
    <w:rPr>
      <w:rFonts w:ascii="宋体" w:hAnsi="Courier New" w:eastAsia="Arial Unicode MS" w:cs="Times New Roman"/>
      <w:kern w:val="2"/>
      <w:sz w:val="21"/>
      <w:szCs w:val="21"/>
    </w:rPr>
  </w:style>
  <w:style w:type="paragraph" w:customStyle="1" w:styleId="221">
    <w:name w:val="Char Char Char Char"/>
    <w:basedOn w:val="1"/>
    <w:qFormat/>
    <w:uiPriority w:val="0"/>
    <w:pPr>
      <w:widowControl/>
      <w:spacing w:after="160" w:line="240" w:lineRule="exact"/>
      <w:jc w:val="left"/>
    </w:pPr>
    <w:rPr>
      <w:rFonts w:eastAsia="宋体"/>
      <w:szCs w:val="20"/>
    </w:rPr>
  </w:style>
  <w:style w:type="paragraph" w:customStyle="1" w:styleId="222">
    <w:name w:val="p17"/>
    <w:basedOn w:val="1"/>
    <w:qFormat/>
    <w:uiPriority w:val="99"/>
    <w:pPr>
      <w:widowControl/>
    </w:pPr>
    <w:rPr>
      <w:rFonts w:eastAsia="宋体"/>
      <w:kern w:val="0"/>
      <w:szCs w:val="21"/>
    </w:rPr>
  </w:style>
  <w:style w:type="character" w:customStyle="1" w:styleId="223">
    <w:name w:val="H4 Char"/>
    <w:qFormat/>
    <w:uiPriority w:val="0"/>
    <w:rPr>
      <w:b/>
      <w:sz w:val="28"/>
    </w:rPr>
  </w:style>
  <w:style w:type="character" w:customStyle="1" w:styleId="224">
    <w:name w:val="Char Char2"/>
    <w:qFormat/>
    <w:uiPriority w:val="0"/>
    <w:rPr>
      <w:rFonts w:eastAsia="宋体"/>
      <w:kern w:val="2"/>
      <w:sz w:val="24"/>
      <w:lang w:val="en-US" w:eastAsia="zh-CN" w:bidi="ar-SA"/>
    </w:rPr>
  </w:style>
  <w:style w:type="character" w:customStyle="1" w:styleId="225">
    <w:name w:val="Char Char111"/>
    <w:qFormat/>
    <w:uiPriority w:val="99"/>
    <w:rPr>
      <w:rFonts w:eastAsia="宋体"/>
      <w:kern w:val="2"/>
      <w:sz w:val="24"/>
      <w:lang w:val="en-US" w:eastAsia="zh-CN" w:bidi="ar-SA"/>
    </w:rPr>
  </w:style>
  <w:style w:type="paragraph" w:customStyle="1" w:styleId="226">
    <w:name w:val="Char Char Char Char111"/>
    <w:basedOn w:val="1"/>
    <w:qFormat/>
    <w:uiPriority w:val="0"/>
    <w:pPr>
      <w:widowControl/>
      <w:spacing w:after="160" w:line="240" w:lineRule="exact"/>
      <w:jc w:val="left"/>
    </w:pPr>
    <w:rPr>
      <w:rFonts w:eastAsia="宋体"/>
      <w:szCs w:val="20"/>
    </w:rPr>
  </w:style>
  <w:style w:type="paragraph" w:customStyle="1" w:styleId="227">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8">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9">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0">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3">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4">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7">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38">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9">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0">
    <w:name w:val="章标题"/>
    <w:next w:val="1"/>
    <w:link w:val="247"/>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1">
    <w:name w:val="一级条标题"/>
    <w:basedOn w:val="240"/>
    <w:next w:val="1"/>
    <w:link w:val="248"/>
    <w:qFormat/>
    <w:uiPriority w:val="0"/>
    <w:pPr>
      <w:numPr>
        <w:ilvl w:val="2"/>
      </w:numPr>
      <w:tabs>
        <w:tab w:val="left" w:pos="360"/>
      </w:tabs>
      <w:spacing w:beforeLines="0" w:afterLines="0"/>
      <w:ind w:left="315"/>
      <w:outlineLvl w:val="2"/>
    </w:pPr>
  </w:style>
  <w:style w:type="paragraph" w:customStyle="1" w:styleId="242">
    <w:name w:val="二级条标题"/>
    <w:basedOn w:val="241"/>
    <w:next w:val="1"/>
    <w:link w:val="249"/>
    <w:qFormat/>
    <w:uiPriority w:val="0"/>
    <w:pPr>
      <w:numPr>
        <w:ilvl w:val="3"/>
      </w:numPr>
      <w:ind w:left="315"/>
      <w:outlineLvl w:val="3"/>
    </w:pPr>
  </w:style>
  <w:style w:type="paragraph" w:customStyle="1" w:styleId="243">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4">
    <w:name w:val="三级条标题"/>
    <w:basedOn w:val="242"/>
    <w:next w:val="1"/>
    <w:qFormat/>
    <w:uiPriority w:val="0"/>
    <w:pPr>
      <w:numPr>
        <w:ilvl w:val="4"/>
      </w:numPr>
      <w:tabs>
        <w:tab w:val="left" w:pos="1680"/>
        <w:tab w:val="left" w:pos="2100"/>
      </w:tabs>
      <w:ind w:left="2100" w:hanging="420"/>
      <w:outlineLvl w:val="4"/>
    </w:pPr>
  </w:style>
  <w:style w:type="paragraph" w:customStyle="1" w:styleId="245">
    <w:name w:val="四级条标题"/>
    <w:basedOn w:val="244"/>
    <w:next w:val="1"/>
    <w:qFormat/>
    <w:uiPriority w:val="0"/>
    <w:pPr>
      <w:numPr>
        <w:ilvl w:val="5"/>
      </w:numPr>
      <w:tabs>
        <w:tab w:val="left" w:pos="2520"/>
      </w:tabs>
      <w:ind w:left="2520" w:hanging="420"/>
      <w:outlineLvl w:val="5"/>
    </w:pPr>
  </w:style>
  <w:style w:type="paragraph" w:customStyle="1" w:styleId="246">
    <w:name w:val="五级条标题"/>
    <w:basedOn w:val="245"/>
    <w:next w:val="1"/>
    <w:qFormat/>
    <w:uiPriority w:val="0"/>
    <w:pPr>
      <w:numPr>
        <w:ilvl w:val="6"/>
      </w:numPr>
      <w:tabs>
        <w:tab w:val="left" w:pos="2940"/>
      </w:tabs>
      <w:ind w:left="2940" w:hanging="420"/>
      <w:outlineLvl w:val="6"/>
    </w:pPr>
  </w:style>
  <w:style w:type="character" w:customStyle="1" w:styleId="247">
    <w:name w:val="章标题 Char"/>
    <w:link w:val="240"/>
    <w:qFormat/>
    <w:uiPriority w:val="0"/>
    <w:rPr>
      <w:rFonts w:ascii="黑体" w:eastAsia="黑体"/>
      <w:sz w:val="21"/>
    </w:rPr>
  </w:style>
  <w:style w:type="character" w:customStyle="1" w:styleId="248">
    <w:name w:val="一级条标题 Char"/>
    <w:link w:val="241"/>
    <w:qFormat/>
    <w:uiPriority w:val="0"/>
    <w:rPr>
      <w:rFonts w:ascii="黑体" w:eastAsia="黑体"/>
      <w:sz w:val="21"/>
    </w:rPr>
  </w:style>
  <w:style w:type="character" w:customStyle="1" w:styleId="249">
    <w:name w:val="二级条标题 Char"/>
    <w:link w:val="242"/>
    <w:qFormat/>
    <w:uiPriority w:val="0"/>
    <w:rPr>
      <w:rFonts w:ascii="黑体" w:eastAsia="黑体"/>
      <w:sz w:val="21"/>
    </w:rPr>
  </w:style>
  <w:style w:type="character" w:customStyle="1" w:styleId="250">
    <w:name w:val="Heading 1 Char"/>
    <w:qFormat/>
    <w:locked/>
    <w:uiPriority w:val="0"/>
    <w:rPr>
      <w:rFonts w:ascii="黑体" w:hAnsi="Times New Roman" w:eastAsia="黑体" w:cs="Times New Roman"/>
      <w:kern w:val="0"/>
      <w:sz w:val="20"/>
      <w:szCs w:val="20"/>
    </w:rPr>
  </w:style>
  <w:style w:type="character" w:customStyle="1" w:styleId="251">
    <w:name w:val="Heading 2 Char"/>
    <w:qFormat/>
    <w:locked/>
    <w:uiPriority w:val="0"/>
    <w:rPr>
      <w:rFonts w:ascii="Times New Roman" w:hAnsi="Times New Roman" w:eastAsia="宋体" w:cs="Times New Roman"/>
      <w:b/>
      <w:kern w:val="0"/>
      <w:sz w:val="32"/>
      <w:szCs w:val="32"/>
    </w:rPr>
  </w:style>
  <w:style w:type="character" w:customStyle="1" w:styleId="252">
    <w:name w:val="标题 3 Char1"/>
    <w:qFormat/>
    <w:locked/>
    <w:uiPriority w:val="99"/>
    <w:rPr>
      <w:rFonts w:eastAsia="宋体"/>
      <w:b/>
      <w:sz w:val="32"/>
      <w:lang w:val="en-US" w:eastAsia="zh-CN" w:bidi="ar-SA"/>
    </w:rPr>
  </w:style>
  <w:style w:type="character" w:customStyle="1" w:styleId="253">
    <w:name w:val="Heading 4 Char"/>
    <w:qFormat/>
    <w:locked/>
    <w:uiPriority w:val="0"/>
    <w:rPr>
      <w:rFonts w:ascii="Times New Roman" w:hAnsi="Times New Roman" w:eastAsia="宋体" w:cs="Times New Roman"/>
      <w:b/>
      <w:kern w:val="0"/>
      <w:sz w:val="20"/>
      <w:szCs w:val="20"/>
    </w:rPr>
  </w:style>
  <w:style w:type="character" w:customStyle="1" w:styleId="254">
    <w:name w:val="Heading 5 Char"/>
    <w:qFormat/>
    <w:locked/>
    <w:uiPriority w:val="0"/>
    <w:rPr>
      <w:rFonts w:ascii="Times New Roman" w:hAnsi="Times New Roman" w:eastAsia="宋体" w:cs="Times New Roman"/>
      <w:b/>
      <w:bCs/>
      <w:sz w:val="28"/>
      <w:szCs w:val="28"/>
    </w:rPr>
  </w:style>
  <w:style w:type="character" w:customStyle="1" w:styleId="255">
    <w:name w:val="Heading 6 Char"/>
    <w:qFormat/>
    <w:locked/>
    <w:uiPriority w:val="0"/>
    <w:rPr>
      <w:rFonts w:ascii="Arial" w:hAnsi="Arial" w:eastAsia="黑体" w:cs="Times New Roman"/>
      <w:b/>
      <w:bCs/>
      <w:kern w:val="0"/>
      <w:sz w:val="24"/>
      <w:szCs w:val="24"/>
    </w:rPr>
  </w:style>
  <w:style w:type="character" w:customStyle="1" w:styleId="256">
    <w:name w:val="Heading 7 Char"/>
    <w:qFormat/>
    <w:locked/>
    <w:uiPriority w:val="0"/>
    <w:rPr>
      <w:rFonts w:ascii="Times New Roman" w:hAnsi="Times New Roman" w:eastAsia="宋体" w:cs="Times New Roman"/>
      <w:b/>
      <w:bCs/>
      <w:kern w:val="0"/>
      <w:sz w:val="24"/>
      <w:szCs w:val="24"/>
    </w:rPr>
  </w:style>
  <w:style w:type="character" w:customStyle="1" w:styleId="257">
    <w:name w:val="Heading 8 Char"/>
    <w:qFormat/>
    <w:locked/>
    <w:uiPriority w:val="0"/>
    <w:rPr>
      <w:rFonts w:ascii="Arial" w:hAnsi="Arial" w:eastAsia="黑体" w:cs="Times New Roman"/>
      <w:kern w:val="0"/>
      <w:sz w:val="24"/>
      <w:szCs w:val="24"/>
    </w:rPr>
  </w:style>
  <w:style w:type="character" w:customStyle="1" w:styleId="258">
    <w:name w:val="Heading 9 Char"/>
    <w:qFormat/>
    <w:locked/>
    <w:uiPriority w:val="0"/>
    <w:rPr>
      <w:rFonts w:ascii="Arial" w:hAnsi="Arial" w:eastAsia="黑体" w:cs="Times New Roman"/>
      <w:kern w:val="0"/>
      <w:sz w:val="21"/>
      <w:szCs w:val="21"/>
    </w:rPr>
  </w:style>
  <w:style w:type="character" w:customStyle="1" w:styleId="259">
    <w:name w:val="Document Map Char"/>
    <w:qFormat/>
    <w:locked/>
    <w:uiPriority w:val="0"/>
    <w:rPr>
      <w:rFonts w:ascii="Times New Roman" w:hAnsi="Times New Roman" w:eastAsia="宋体" w:cs="Times New Roman"/>
      <w:sz w:val="24"/>
      <w:szCs w:val="24"/>
      <w:shd w:val="clear" w:color="auto" w:fill="000080"/>
    </w:rPr>
  </w:style>
  <w:style w:type="character" w:customStyle="1" w:styleId="260">
    <w:name w:val="Date Char"/>
    <w:qFormat/>
    <w:locked/>
    <w:uiPriority w:val="0"/>
    <w:rPr>
      <w:rFonts w:ascii="Times New Roman" w:hAnsi="Times New Roman" w:eastAsia="宋体" w:cs="Times New Roman"/>
      <w:sz w:val="20"/>
      <w:szCs w:val="20"/>
    </w:rPr>
  </w:style>
  <w:style w:type="character" w:customStyle="1" w:styleId="261">
    <w:name w:val="Header Char"/>
    <w:qFormat/>
    <w:locked/>
    <w:uiPriority w:val="0"/>
    <w:rPr>
      <w:rFonts w:ascii="Times New Roman" w:hAnsi="Times New Roman" w:eastAsia="宋体" w:cs="Times New Roman"/>
      <w:kern w:val="0"/>
      <w:sz w:val="20"/>
      <w:szCs w:val="20"/>
    </w:rPr>
  </w:style>
  <w:style w:type="character" w:customStyle="1" w:styleId="262">
    <w:name w:val="Footer Char"/>
    <w:qFormat/>
    <w:locked/>
    <w:uiPriority w:val="0"/>
    <w:rPr>
      <w:rFonts w:ascii="Times New Roman" w:hAnsi="Times New Roman" w:eastAsia="宋体" w:cs="Times New Roman"/>
      <w:kern w:val="0"/>
      <w:sz w:val="20"/>
      <w:szCs w:val="20"/>
    </w:rPr>
  </w:style>
  <w:style w:type="character" w:customStyle="1" w:styleId="263">
    <w:name w:val="Plain Text Char"/>
    <w:qFormat/>
    <w:locked/>
    <w:uiPriority w:val="0"/>
    <w:rPr>
      <w:rFonts w:ascii="宋体" w:hAnsi="Courier New" w:eastAsia="宋体" w:cs="Times New Roman"/>
      <w:sz w:val="20"/>
      <w:szCs w:val="20"/>
    </w:rPr>
  </w:style>
  <w:style w:type="character" w:customStyle="1" w:styleId="264">
    <w:name w:val="Body Text Indent 2 Char"/>
    <w:qFormat/>
    <w:locked/>
    <w:uiPriority w:val="0"/>
    <w:rPr>
      <w:rFonts w:ascii="Times New Roman" w:hAnsi="Times New Roman" w:eastAsia="宋体" w:cs="Times New Roman"/>
      <w:sz w:val="30"/>
      <w:szCs w:val="30"/>
    </w:rPr>
  </w:style>
  <w:style w:type="character" w:customStyle="1" w:styleId="265">
    <w:name w:val="Body Text Indent 3 Char"/>
    <w:qFormat/>
    <w:locked/>
    <w:uiPriority w:val="0"/>
    <w:rPr>
      <w:rFonts w:ascii="Times New Roman" w:hAnsi="Times New Roman" w:eastAsia="宋体" w:cs="Times New Roman"/>
      <w:sz w:val="30"/>
      <w:szCs w:val="30"/>
    </w:rPr>
  </w:style>
  <w:style w:type="character" w:customStyle="1" w:styleId="266">
    <w:name w:val="Body Text First Indent 2 Char"/>
    <w:qFormat/>
    <w:locked/>
    <w:uiPriority w:val="0"/>
    <w:rPr>
      <w:rFonts w:ascii="Times New Roman" w:hAnsi="Times New Roman" w:eastAsia="宋体" w:cs="Times New Roman"/>
      <w:kern w:val="2"/>
      <w:sz w:val="24"/>
      <w:szCs w:val="24"/>
    </w:rPr>
  </w:style>
  <w:style w:type="character" w:customStyle="1" w:styleId="267">
    <w:name w:val="Body Text 2 Char"/>
    <w:qFormat/>
    <w:locked/>
    <w:uiPriority w:val="0"/>
    <w:rPr>
      <w:rFonts w:ascii="宋体" w:hAnsi="Times New Roman" w:eastAsia="宋体" w:cs="Times New Roman"/>
      <w:sz w:val="20"/>
      <w:szCs w:val="20"/>
    </w:rPr>
  </w:style>
  <w:style w:type="character" w:customStyle="1" w:styleId="268">
    <w:name w:val="Balloon Text Char"/>
    <w:qFormat/>
    <w:locked/>
    <w:uiPriority w:val="0"/>
    <w:rPr>
      <w:rFonts w:ascii="Times New Roman" w:hAnsi="Times New Roman" w:eastAsia="宋体" w:cs="Times New Roman"/>
      <w:sz w:val="18"/>
      <w:szCs w:val="18"/>
    </w:rPr>
  </w:style>
  <w:style w:type="character" w:customStyle="1" w:styleId="269">
    <w:name w:val="Salutation Char"/>
    <w:qFormat/>
    <w:locked/>
    <w:uiPriority w:val="0"/>
    <w:rPr>
      <w:rFonts w:ascii="..ì." w:hAnsi="Times New Roman" w:eastAsia="..ì." w:cs="Times New Roman"/>
      <w:kern w:val="0"/>
      <w:sz w:val="20"/>
      <w:szCs w:val="20"/>
    </w:rPr>
  </w:style>
  <w:style w:type="character" w:customStyle="1" w:styleId="270">
    <w:name w:val="Note Heading Char"/>
    <w:qFormat/>
    <w:locked/>
    <w:uiPriority w:val="0"/>
    <w:rPr>
      <w:rFonts w:ascii="..ì." w:hAnsi="Times New Roman" w:eastAsia="..ì." w:cs="Times New Roman"/>
      <w:kern w:val="0"/>
      <w:sz w:val="20"/>
      <w:szCs w:val="20"/>
    </w:rPr>
  </w:style>
  <w:style w:type="paragraph" w:customStyle="1" w:styleId="271">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2">
    <w:name w:val="TOC Heading1"/>
    <w:basedOn w:val="4"/>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3">
    <w:name w:val="Body Text 3 Char"/>
    <w:qFormat/>
    <w:locked/>
    <w:uiPriority w:val="0"/>
    <w:rPr>
      <w:rFonts w:ascii="Times New Roman" w:hAnsi="Times New Roman" w:eastAsia="宋体" w:cs="Times New Roman"/>
      <w:sz w:val="16"/>
      <w:szCs w:val="16"/>
    </w:rPr>
  </w:style>
  <w:style w:type="character" w:customStyle="1" w:styleId="274">
    <w:name w:val="Title Char"/>
    <w:qFormat/>
    <w:locked/>
    <w:uiPriority w:val="0"/>
    <w:rPr>
      <w:rFonts w:ascii="Arial" w:hAnsi="Arial" w:eastAsia="宋体" w:cs="Times New Roman"/>
      <w:b/>
      <w:kern w:val="0"/>
      <w:sz w:val="20"/>
      <w:szCs w:val="20"/>
    </w:rPr>
  </w:style>
  <w:style w:type="character" w:customStyle="1" w:styleId="275">
    <w:name w:val="Comment Subject Char"/>
    <w:qFormat/>
    <w:locked/>
    <w:uiPriority w:val="0"/>
    <w:rPr>
      <w:rFonts w:ascii="Times New Roman" w:hAnsi="Times New Roman" w:eastAsia="宋体" w:cs="Times New Roman"/>
      <w:b/>
      <w:bCs/>
      <w:sz w:val="24"/>
      <w:szCs w:val="24"/>
    </w:rPr>
  </w:style>
  <w:style w:type="character" w:customStyle="1" w:styleId="276">
    <w:name w:val="Comment Text Char"/>
    <w:qFormat/>
    <w:locked/>
    <w:uiPriority w:val="0"/>
    <w:rPr>
      <w:rFonts w:ascii="Times New Roman" w:hAnsi="Times New Roman" w:eastAsia="宋体"/>
      <w:sz w:val="24"/>
    </w:rPr>
  </w:style>
  <w:style w:type="paragraph" w:customStyle="1" w:styleId="277">
    <w:name w:val="List Paragraph1"/>
    <w:basedOn w:val="1"/>
    <w:qFormat/>
    <w:uiPriority w:val="0"/>
    <w:pPr>
      <w:ind w:firstLine="420" w:firstLineChars="200"/>
    </w:pPr>
    <w:rPr>
      <w:rFonts w:eastAsia="宋体"/>
    </w:rPr>
  </w:style>
  <w:style w:type="paragraph" w:customStyle="1" w:styleId="278">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79">
    <w:name w:val="未处理的提及"/>
    <w:unhideWhenUsed/>
    <w:qFormat/>
    <w:uiPriority w:val="99"/>
    <w:rPr>
      <w:color w:val="605E5C"/>
      <w:shd w:val="clear" w:color="auto" w:fill="E1DFDD"/>
    </w:rPr>
  </w:style>
  <w:style w:type="character" w:customStyle="1" w:styleId="280">
    <w:name w:val="Char Char11"/>
    <w:qFormat/>
    <w:uiPriority w:val="99"/>
    <w:rPr>
      <w:rFonts w:eastAsia="宋体"/>
      <w:kern w:val="2"/>
      <w:sz w:val="24"/>
      <w:lang w:val="en-US" w:eastAsia="zh-CN"/>
    </w:rPr>
  </w:style>
  <w:style w:type="character" w:customStyle="1" w:styleId="281">
    <w:name w:val="正文文本 Char1"/>
    <w:semiHidden/>
    <w:qFormat/>
    <w:uiPriority w:val="0"/>
    <w:rPr>
      <w:rFonts w:ascii="Times New Roman" w:hAnsi="Times New Roman" w:eastAsia="宋体" w:cs="Times New Roman"/>
      <w:szCs w:val="24"/>
    </w:rPr>
  </w:style>
  <w:style w:type="paragraph" w:customStyle="1" w:styleId="282">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3">
    <w:name w:val="Char11"/>
    <w:basedOn w:val="1"/>
    <w:qFormat/>
    <w:uiPriority w:val="99"/>
    <w:rPr>
      <w:rFonts w:ascii="Tahoma" w:hAnsi="Tahoma" w:eastAsia="宋体"/>
      <w:sz w:val="24"/>
      <w:szCs w:val="20"/>
    </w:rPr>
  </w:style>
  <w:style w:type="paragraph" w:customStyle="1" w:styleId="284">
    <w:name w:val="Char Char Char Char1"/>
    <w:basedOn w:val="1"/>
    <w:qFormat/>
    <w:uiPriority w:val="99"/>
    <w:pPr>
      <w:widowControl/>
      <w:spacing w:after="160" w:line="240" w:lineRule="exact"/>
      <w:jc w:val="left"/>
    </w:pPr>
    <w:rPr>
      <w:rFonts w:eastAsia="宋体"/>
      <w:szCs w:val="20"/>
    </w:rPr>
  </w:style>
  <w:style w:type="paragraph" w:customStyle="1" w:styleId="285">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6">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Char Char Char Char11"/>
    <w:basedOn w:val="1"/>
    <w:qFormat/>
    <w:uiPriority w:val="99"/>
    <w:pPr>
      <w:widowControl/>
      <w:spacing w:after="160" w:line="240" w:lineRule="exact"/>
      <w:jc w:val="left"/>
    </w:pPr>
    <w:rPr>
      <w:rFonts w:eastAsia="宋体"/>
      <w:szCs w:val="20"/>
    </w:rPr>
  </w:style>
  <w:style w:type="paragraph" w:customStyle="1" w:styleId="288">
    <w:name w:val="Char12"/>
    <w:basedOn w:val="1"/>
    <w:qFormat/>
    <w:uiPriority w:val="99"/>
    <w:rPr>
      <w:rFonts w:ascii="Tahoma" w:hAnsi="Tahoma" w:eastAsia="宋体"/>
      <w:sz w:val="24"/>
      <w:szCs w:val="20"/>
    </w:rPr>
  </w:style>
  <w:style w:type="paragraph" w:customStyle="1" w:styleId="289">
    <w:name w:val="Char111"/>
    <w:basedOn w:val="1"/>
    <w:qFormat/>
    <w:uiPriority w:val="99"/>
    <w:rPr>
      <w:rFonts w:ascii="Tahoma" w:hAnsi="Tahoma" w:eastAsia="宋体"/>
      <w:sz w:val="24"/>
      <w:szCs w:val="20"/>
    </w:rPr>
  </w:style>
  <w:style w:type="paragraph" w:customStyle="1" w:styleId="290">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Char Char Char Char2"/>
    <w:basedOn w:val="1"/>
    <w:qFormat/>
    <w:uiPriority w:val="99"/>
    <w:pPr>
      <w:widowControl/>
      <w:spacing w:after="160" w:line="240" w:lineRule="exact"/>
      <w:jc w:val="left"/>
    </w:pPr>
    <w:rPr>
      <w:rFonts w:eastAsia="宋体"/>
      <w:szCs w:val="20"/>
    </w:rPr>
  </w:style>
  <w:style w:type="character" w:customStyle="1" w:styleId="292">
    <w:name w:val="正文文本 字符"/>
    <w:qFormat/>
    <w:uiPriority w:val="0"/>
    <w:rPr>
      <w:b/>
      <w:i/>
      <w:szCs w:val="24"/>
    </w:rPr>
  </w:style>
  <w:style w:type="paragraph" w:customStyle="1" w:styleId="293">
    <w:name w:val="纯文本2"/>
    <w:basedOn w:val="1"/>
    <w:qFormat/>
    <w:uiPriority w:val="0"/>
    <w:rPr>
      <w:rFonts w:ascii="宋体" w:hAnsi="Courier New" w:cs="Courier New"/>
      <w:szCs w:val="21"/>
    </w:rPr>
  </w:style>
  <w:style w:type="paragraph" w:customStyle="1" w:styleId="294">
    <w:name w:val="TOC 标题3"/>
    <w:basedOn w:val="4"/>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5">
    <w:name w:val="HTML 预设格式 Char"/>
    <w:basedOn w:val="52"/>
    <w:link w:val="44"/>
    <w:qFormat/>
    <w:uiPriority w:val="0"/>
    <w:rPr>
      <w:rFonts w:ascii="黑体" w:hAnsi="Courier New" w:eastAsia="黑体"/>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229A67-8742-479E-886C-D6313CDAF4E8}">
  <ds:schemaRefs/>
</ds:datastoreItem>
</file>

<file path=docProps/app.xml><?xml version="1.0" encoding="utf-8"?>
<Properties xmlns="http://schemas.openxmlformats.org/officeDocument/2006/extended-properties" xmlns:vt="http://schemas.openxmlformats.org/officeDocument/2006/docPropsVTypes">
  <Template>Normal</Template>
  <Company>MS</Company>
  <Pages>79</Pages>
  <Words>32068</Words>
  <Characters>36083</Characters>
  <Lines>214</Lines>
  <Paragraphs>60</Paragraphs>
  <TotalTime>19</TotalTime>
  <ScaleCrop>false</ScaleCrop>
  <LinksUpToDate>false</LinksUpToDate>
  <CharactersWithSpaces>38977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2021-03-12T07:18:00Z</dcterms:created>
  <dc:creator>Lv Ji_BM</dc:creator>
  <cp:lastModifiedBy>honey</cp:lastModifiedBy>
  <cp:lastPrinted>2022-07-11T01:14:00Z</cp:lastPrinted>
  <dcterms:modified xsi:type="dcterms:W3CDTF">2022-09-07T07:02:28Z</dcterms:modified>
  <dc:title>_x0001_</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F0BEFEA1655F4A4793D5401BA51B975B</vt:lpwstr>
  </property>
</Properties>
</file>