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多场自分离式霍普金森杆（拉压一体、包含直径 25 与 50mm 的杆系；包含低温、高温、三维 围压等多场测试环境），1 套</w:t>
      </w:r>
    </w:p>
    <w:tbl>
      <w:tblPr>
        <w:tblStyle w:val="4"/>
        <w:tblW w:w="4998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178"/>
        <w:gridCol w:w="3967"/>
        <w:gridCol w:w="1902"/>
        <w:gridCol w:w="7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6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84" w:lineRule="atLeast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序号</w:t>
            </w:r>
          </w:p>
        </w:tc>
        <w:tc>
          <w:tcPr>
            <w:tcW w:w="697" w:type="pct"/>
            <w:tcBorders>
              <w:top w:val="single" w:color="333333" w:sz="4" w:space="0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84" w:lineRule="atLeast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名称</w:t>
            </w:r>
          </w:p>
        </w:tc>
        <w:tc>
          <w:tcPr>
            <w:tcW w:w="2348" w:type="pct"/>
            <w:tcBorders>
              <w:top w:val="single" w:color="333333" w:sz="4" w:space="0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84" w:lineRule="atLeast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技术参数</w:t>
            </w:r>
          </w:p>
        </w:tc>
        <w:tc>
          <w:tcPr>
            <w:tcW w:w="1126" w:type="pct"/>
            <w:tcBorders>
              <w:top w:val="single" w:color="333333" w:sz="4" w:space="0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84" w:lineRule="atLeast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配置要求</w:t>
            </w:r>
          </w:p>
        </w:tc>
        <w:tc>
          <w:tcPr>
            <w:tcW w:w="443" w:type="pct"/>
            <w:tcBorders>
              <w:top w:val="single" w:color="333333" w:sz="4" w:space="0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84" w:lineRule="atLeast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6" w:type="pct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84" w:lineRule="atLeast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</w:t>
            </w:r>
          </w:p>
        </w:tc>
        <w:tc>
          <w:tcPr>
            <w:tcW w:w="697" w:type="pct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84" w:lineRule="atLeast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高压气体发射系统（拉压一体）</w:t>
            </w:r>
          </w:p>
        </w:tc>
        <w:tc>
          <w:tcPr>
            <w:tcW w:w="2348" w:type="pct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84" w:lineRule="atLeast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★压力范围 0.1-4MPa； 子弹（即撞击杆，下同）速度范围0-50</w:t>
            </w:r>
            <w:r>
              <w:rPr>
                <w:rFonts w:ascii="宋体" w:hAnsi="宋体" w:eastAsia="宋体" w:cs="宋体"/>
                <w:color w:val="auto"/>
                <w:highlight w:val="none"/>
              </w:rPr>
              <w:t>m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/s；</w:t>
            </w:r>
          </w:p>
          <w:p>
            <w:pPr>
              <w:pStyle w:val="3"/>
              <w:widowControl/>
              <w:wordWrap w:val="0"/>
              <w:spacing w:beforeAutospacing="0" w:afterAutospacing="0" w:line="384" w:lineRule="atLeast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★配有精密电控进气和发射系统，高压气仓的压力控制精度优于或等于±0.1MPa；</w:t>
            </w:r>
          </w:p>
          <w:p>
            <w:pPr>
              <w:pStyle w:val="3"/>
              <w:widowControl/>
              <w:wordWrap w:val="0"/>
              <w:spacing w:beforeAutospacing="0" w:afterAutospacing="0" w:line="384" w:lineRule="atLeast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★激光测速系统，测速范围0-100</w:t>
            </w:r>
            <w:r>
              <w:rPr>
                <w:rFonts w:ascii="宋体" w:hAnsi="宋体" w:eastAsia="宋体" w:cs="宋体"/>
                <w:color w:val="auto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m/s，测量精度优于或等于0</w:t>
            </w:r>
            <w:r>
              <w:rPr>
                <w:rFonts w:ascii="宋体" w:hAnsi="宋体" w:eastAsia="宋体" w:cs="宋体"/>
                <w:color w:val="auto"/>
                <w:highlight w:val="none"/>
              </w:rPr>
              <w:t>.01 m/s</w:t>
            </w:r>
          </w:p>
        </w:tc>
        <w:tc>
          <w:tcPr>
            <w:tcW w:w="1126" w:type="pct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84" w:lineRule="atLeast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★发射管内径Φ50mm，长度 2000mm。</w:t>
            </w:r>
          </w:p>
          <w:p>
            <w:pPr>
              <w:pStyle w:val="3"/>
              <w:widowControl/>
              <w:wordWrap w:val="0"/>
              <w:spacing w:beforeAutospacing="0" w:afterAutospacing="0" w:line="384" w:lineRule="atLeast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★材质：合金钢，屈服强度不低于</w:t>
            </w:r>
            <w:r>
              <w:rPr>
                <w:rFonts w:ascii="宋体" w:hAnsi="宋体" w:eastAsia="宋体" w:cs="宋体"/>
                <w:color w:val="auto"/>
                <w:highlight w:val="none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00MPa、直线度优于0.06</w:t>
            </w:r>
            <w:r>
              <w:rPr>
                <w:rFonts w:ascii="宋体" w:hAnsi="宋体" w:eastAsia="宋体" w:cs="宋体"/>
                <w:color w:val="auto"/>
                <w:highlight w:val="none"/>
              </w:rPr>
              <w:t>mm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/m、内壁光洁度优于0.8μm。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84" w:lineRule="atLeast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6" w:type="pct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84" w:lineRule="atLeast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</w:t>
            </w:r>
          </w:p>
        </w:tc>
        <w:tc>
          <w:tcPr>
            <w:tcW w:w="697" w:type="pct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84" w:lineRule="atLeast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杆系</w:t>
            </w:r>
          </w:p>
        </w:tc>
        <w:tc>
          <w:tcPr>
            <w:tcW w:w="2348" w:type="pct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84" w:lineRule="atLeast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★Φ25压杆杆系，包括：</w:t>
            </w:r>
          </w:p>
          <w:p>
            <w:pPr>
              <w:pStyle w:val="3"/>
              <w:widowControl/>
              <w:wordWrap w:val="0"/>
              <w:spacing w:beforeAutospacing="0" w:afterAutospacing="0" w:line="384" w:lineRule="atLeast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(</w:t>
            </w:r>
            <w:r>
              <w:rPr>
                <w:rFonts w:ascii="宋体" w:hAnsi="宋体" w:eastAsia="宋体" w:cs="宋体"/>
                <w:color w:val="auto"/>
                <w:highlight w:val="none"/>
              </w:rPr>
              <w:t>1)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入射杆：Φ25</w:t>
            </w:r>
            <w:r>
              <w:rPr>
                <w:rFonts w:ascii="宋体" w:hAnsi="宋体" w:eastAsia="宋体" w:cs="宋体"/>
                <w:color w:val="auto"/>
                <w:highlight w:val="none"/>
              </w:rPr>
              <w:t xml:space="preserve"> mm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×2500</w:t>
            </w:r>
            <w:r>
              <w:rPr>
                <w:rFonts w:ascii="宋体" w:hAnsi="宋体" w:eastAsia="宋体" w:cs="宋体"/>
                <w:color w:val="auto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mm，一根；</w:t>
            </w:r>
          </w:p>
          <w:p>
            <w:pPr>
              <w:pStyle w:val="3"/>
              <w:widowControl/>
              <w:wordWrap w:val="0"/>
              <w:spacing w:beforeAutospacing="0" w:afterAutospacing="0" w:line="384" w:lineRule="atLeast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highlight w:val="none"/>
              </w:rPr>
              <w:t>(2)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透射杆：Φ25</w:t>
            </w:r>
            <w:r>
              <w:rPr>
                <w:rFonts w:ascii="宋体" w:hAnsi="宋体" w:eastAsia="宋体" w:cs="宋体"/>
                <w:color w:val="auto"/>
                <w:highlight w:val="none"/>
              </w:rPr>
              <w:t xml:space="preserve"> mm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×2000</w:t>
            </w:r>
            <w:r>
              <w:rPr>
                <w:rFonts w:ascii="宋体" w:hAnsi="宋体" w:eastAsia="宋体" w:cs="宋体"/>
                <w:color w:val="auto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mm，一根；</w:t>
            </w:r>
          </w:p>
          <w:p>
            <w:pPr>
              <w:pStyle w:val="3"/>
              <w:widowControl/>
              <w:wordWrap w:val="0"/>
              <w:spacing w:beforeAutospacing="0" w:afterAutospacing="0" w:line="384" w:lineRule="atLeast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highlight w:val="none"/>
              </w:rPr>
              <w:t>(3)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吸收杆：Φ25</w:t>
            </w:r>
            <w:r>
              <w:rPr>
                <w:rFonts w:ascii="宋体" w:hAnsi="宋体" w:eastAsia="宋体" w:cs="宋体"/>
                <w:color w:val="auto"/>
                <w:highlight w:val="none"/>
              </w:rPr>
              <w:t xml:space="preserve"> mm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×1000</w:t>
            </w:r>
            <w:r>
              <w:rPr>
                <w:rFonts w:ascii="宋体" w:hAnsi="宋体" w:eastAsia="宋体" w:cs="宋体"/>
                <w:color w:val="auto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mm,一根；</w:t>
            </w:r>
          </w:p>
          <w:p>
            <w:pPr>
              <w:pStyle w:val="3"/>
              <w:widowControl/>
              <w:wordWrap w:val="0"/>
              <w:spacing w:beforeAutospacing="0" w:afterAutospacing="0" w:line="384" w:lineRule="atLeast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highlight w:val="none"/>
              </w:rPr>
              <w:t>(4)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子弹：Φ25</w:t>
            </w:r>
            <w:r>
              <w:rPr>
                <w:rFonts w:ascii="宋体" w:hAnsi="宋体" w:eastAsia="宋体" w:cs="宋体"/>
                <w:color w:val="auto"/>
                <w:highlight w:val="none"/>
              </w:rPr>
              <w:t xml:space="preserve"> mm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×200</w:t>
            </w:r>
            <w:r>
              <w:rPr>
                <w:rFonts w:ascii="宋体" w:hAnsi="宋体" w:eastAsia="宋体" w:cs="宋体"/>
                <w:color w:val="auto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mm、 Φ25</w:t>
            </w:r>
            <w:r>
              <w:rPr>
                <w:rFonts w:ascii="宋体" w:hAnsi="宋体" w:eastAsia="宋体" w:cs="宋体"/>
                <w:color w:val="auto"/>
                <w:highlight w:val="none"/>
              </w:rPr>
              <w:t xml:space="preserve"> mm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×300</w:t>
            </w:r>
            <w:r>
              <w:rPr>
                <w:rFonts w:ascii="宋体" w:hAnsi="宋体" w:eastAsia="宋体" w:cs="宋体"/>
                <w:color w:val="auto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mm、 Φ25</w:t>
            </w:r>
            <w:r>
              <w:rPr>
                <w:rFonts w:ascii="宋体" w:hAnsi="宋体" w:eastAsia="宋体" w:cs="宋体"/>
                <w:color w:val="auto"/>
                <w:highlight w:val="none"/>
              </w:rPr>
              <w:t>mm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×400mm，Φ25</w:t>
            </w:r>
            <w:r>
              <w:rPr>
                <w:rFonts w:ascii="宋体" w:hAnsi="宋体" w:eastAsia="宋体" w:cs="宋体"/>
                <w:color w:val="auto"/>
                <w:highlight w:val="none"/>
              </w:rPr>
              <w:t>mm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×</w:t>
            </w:r>
            <w:r>
              <w:rPr>
                <w:rFonts w:ascii="宋体" w:hAnsi="宋体" w:eastAsia="宋体" w:cs="宋体"/>
                <w:color w:val="auto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00mm各一根；</w:t>
            </w:r>
          </w:p>
          <w:p>
            <w:pPr>
              <w:pStyle w:val="3"/>
              <w:widowControl/>
              <w:wordWrap w:val="0"/>
              <w:spacing w:beforeAutospacing="0" w:afterAutospacing="0" w:line="384" w:lineRule="atLeast"/>
              <w:rPr>
                <w:rFonts w:ascii="宋体" w:hAnsi="宋体" w:eastAsia="宋体" w:cs="宋体"/>
                <w:color w:val="auto"/>
                <w:highlight w:val="none"/>
              </w:rPr>
            </w:pPr>
          </w:p>
          <w:p>
            <w:pPr>
              <w:pStyle w:val="3"/>
              <w:widowControl/>
              <w:wordWrap w:val="0"/>
              <w:spacing w:beforeAutospacing="0" w:afterAutospacing="0" w:line="384" w:lineRule="atLeast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★Φ25拉杆杆系，包括：</w:t>
            </w:r>
          </w:p>
          <w:p>
            <w:pPr>
              <w:pStyle w:val="3"/>
              <w:widowControl/>
              <w:wordWrap w:val="0"/>
              <w:spacing w:beforeAutospacing="0" w:afterAutospacing="0" w:line="384" w:lineRule="atLeast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(</w:t>
            </w:r>
            <w:r>
              <w:rPr>
                <w:rFonts w:ascii="宋体" w:hAnsi="宋体" w:eastAsia="宋体" w:cs="宋体"/>
                <w:color w:val="auto"/>
                <w:highlight w:val="none"/>
              </w:rPr>
              <w:t>1)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入射杆：Φ25</w:t>
            </w:r>
            <w:r>
              <w:rPr>
                <w:rFonts w:ascii="宋体" w:hAnsi="宋体" w:eastAsia="宋体" w:cs="宋体"/>
                <w:color w:val="auto"/>
                <w:highlight w:val="none"/>
              </w:rPr>
              <w:t xml:space="preserve"> mm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×4000</w:t>
            </w:r>
            <w:r>
              <w:rPr>
                <w:rFonts w:ascii="宋体" w:hAnsi="宋体" w:eastAsia="宋体" w:cs="宋体"/>
                <w:color w:val="auto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mm，一根；</w:t>
            </w:r>
          </w:p>
          <w:p>
            <w:pPr>
              <w:pStyle w:val="3"/>
              <w:widowControl/>
              <w:wordWrap w:val="0"/>
              <w:spacing w:beforeAutospacing="0" w:afterAutospacing="0" w:line="384" w:lineRule="atLeast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highlight w:val="none"/>
              </w:rPr>
              <w:t>(2)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透射杆：Φ25</w:t>
            </w:r>
            <w:r>
              <w:rPr>
                <w:rFonts w:ascii="宋体" w:hAnsi="宋体" w:eastAsia="宋体" w:cs="宋体"/>
                <w:color w:val="auto"/>
                <w:highlight w:val="none"/>
              </w:rPr>
              <w:t xml:space="preserve"> mm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×2000</w:t>
            </w:r>
            <w:r>
              <w:rPr>
                <w:rFonts w:ascii="宋体" w:hAnsi="宋体" w:eastAsia="宋体" w:cs="宋体"/>
                <w:color w:val="auto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mm，一根；</w:t>
            </w:r>
          </w:p>
          <w:p>
            <w:pPr>
              <w:pStyle w:val="3"/>
              <w:widowControl/>
              <w:wordWrap w:val="0"/>
              <w:spacing w:beforeAutospacing="0" w:afterAutospacing="0" w:line="384" w:lineRule="atLeast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highlight w:val="none"/>
              </w:rPr>
              <w:t>(3)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吸收杆：Φ25</w:t>
            </w:r>
            <w:r>
              <w:rPr>
                <w:rFonts w:ascii="宋体" w:hAnsi="宋体" w:eastAsia="宋体" w:cs="宋体"/>
                <w:color w:val="auto"/>
                <w:highlight w:val="none"/>
              </w:rPr>
              <w:t xml:space="preserve"> mm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×1000</w:t>
            </w:r>
            <w:r>
              <w:rPr>
                <w:rFonts w:ascii="宋体" w:hAnsi="宋体" w:eastAsia="宋体" w:cs="宋体"/>
                <w:color w:val="auto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mm，一根；</w:t>
            </w:r>
          </w:p>
          <w:p>
            <w:pPr>
              <w:pStyle w:val="3"/>
              <w:widowControl/>
              <w:wordWrap w:val="0"/>
              <w:spacing w:beforeAutospacing="0" w:afterAutospacing="0" w:line="384" w:lineRule="atLeast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(</w:t>
            </w:r>
            <w:r>
              <w:rPr>
                <w:rFonts w:ascii="宋体" w:hAnsi="宋体" w:eastAsia="宋体" w:cs="宋体"/>
                <w:color w:val="auto"/>
                <w:highlight w:val="none"/>
              </w:rPr>
              <w:t>4)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子弹：Φ50</w:t>
            </w:r>
            <w:r>
              <w:rPr>
                <w:rFonts w:ascii="宋体" w:hAnsi="宋体" w:eastAsia="宋体" w:cs="宋体"/>
                <w:color w:val="auto"/>
                <w:highlight w:val="none"/>
              </w:rPr>
              <w:t xml:space="preserve"> mm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×200</w:t>
            </w:r>
            <w:r>
              <w:rPr>
                <w:rFonts w:ascii="宋体" w:hAnsi="宋体" w:eastAsia="宋体" w:cs="宋体"/>
                <w:color w:val="auto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mm、Φ50</w:t>
            </w:r>
            <w:r>
              <w:rPr>
                <w:rFonts w:ascii="宋体" w:hAnsi="宋体" w:eastAsia="宋体" w:cs="宋体"/>
                <w:color w:val="auto"/>
                <w:highlight w:val="none"/>
              </w:rPr>
              <w:t xml:space="preserve"> mm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×300</w:t>
            </w:r>
            <w:r>
              <w:rPr>
                <w:rFonts w:ascii="宋体" w:hAnsi="宋体" w:eastAsia="宋体" w:cs="宋体"/>
                <w:color w:val="auto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mm、Φ50</w:t>
            </w:r>
            <w:r>
              <w:rPr>
                <w:rFonts w:ascii="宋体" w:hAnsi="宋体" w:eastAsia="宋体" w:cs="宋体"/>
                <w:color w:val="auto"/>
                <w:highlight w:val="none"/>
              </w:rPr>
              <w:t xml:space="preserve"> mm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×400</w:t>
            </w:r>
            <w:r>
              <w:rPr>
                <w:rFonts w:ascii="宋体" w:hAnsi="宋体" w:eastAsia="宋体" w:cs="宋体"/>
                <w:color w:val="auto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mm，Φ50</w:t>
            </w:r>
            <w:r>
              <w:rPr>
                <w:rFonts w:ascii="宋体" w:hAnsi="宋体" w:eastAsia="宋体" w:cs="宋体"/>
                <w:color w:val="auto"/>
                <w:highlight w:val="none"/>
              </w:rPr>
              <w:t xml:space="preserve"> mm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×</w:t>
            </w:r>
            <w:r>
              <w:rPr>
                <w:rFonts w:ascii="宋体" w:hAnsi="宋体" w:eastAsia="宋体" w:cs="宋体"/>
                <w:color w:val="auto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00</w:t>
            </w:r>
            <w:r>
              <w:rPr>
                <w:rFonts w:ascii="宋体" w:hAnsi="宋体" w:eastAsia="宋体" w:cs="宋体"/>
                <w:color w:val="auto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mm，各一根</w:t>
            </w:r>
          </w:p>
          <w:p>
            <w:pPr>
              <w:pStyle w:val="3"/>
              <w:widowControl/>
              <w:wordWrap w:val="0"/>
              <w:spacing w:beforeAutospacing="0" w:afterAutospacing="0" w:line="384" w:lineRule="atLeast"/>
              <w:rPr>
                <w:rFonts w:ascii="宋体" w:hAnsi="宋体" w:eastAsia="宋体" w:cs="宋体"/>
                <w:color w:val="auto"/>
                <w:highlight w:val="none"/>
              </w:rPr>
            </w:pPr>
          </w:p>
          <w:p>
            <w:pPr>
              <w:pStyle w:val="3"/>
              <w:widowControl/>
              <w:wordWrap w:val="0"/>
              <w:spacing w:beforeAutospacing="0" w:afterAutospacing="0" w:line="384" w:lineRule="atLeast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★Φ50压杆杆系，包括：</w:t>
            </w:r>
          </w:p>
          <w:p>
            <w:pPr>
              <w:pStyle w:val="3"/>
              <w:widowControl/>
              <w:wordWrap w:val="0"/>
              <w:spacing w:beforeAutospacing="0" w:afterAutospacing="0" w:line="384" w:lineRule="atLeast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(</w:t>
            </w:r>
            <w:r>
              <w:rPr>
                <w:rFonts w:ascii="宋体" w:hAnsi="宋体" w:eastAsia="宋体" w:cs="宋体"/>
                <w:color w:val="auto"/>
                <w:highlight w:val="none"/>
              </w:rPr>
              <w:t>1)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入射杆：Φ50</w:t>
            </w:r>
            <w:r>
              <w:rPr>
                <w:rFonts w:ascii="宋体" w:hAnsi="宋体" w:eastAsia="宋体" w:cs="宋体"/>
                <w:color w:val="auto"/>
                <w:highlight w:val="none"/>
              </w:rPr>
              <w:t xml:space="preserve"> mm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×2500mm，一根；</w:t>
            </w:r>
          </w:p>
          <w:p>
            <w:pPr>
              <w:pStyle w:val="3"/>
              <w:widowControl/>
              <w:wordWrap w:val="0"/>
              <w:spacing w:beforeAutospacing="0" w:afterAutospacing="0" w:line="384" w:lineRule="atLeast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highlight w:val="none"/>
              </w:rPr>
              <w:t>(2)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透射杆：Φ50</w:t>
            </w:r>
            <w:r>
              <w:rPr>
                <w:rFonts w:ascii="宋体" w:hAnsi="宋体" w:eastAsia="宋体" w:cs="宋体"/>
                <w:color w:val="auto"/>
                <w:highlight w:val="none"/>
              </w:rPr>
              <w:t xml:space="preserve"> mm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×2000mm，一根；</w:t>
            </w:r>
          </w:p>
          <w:p>
            <w:pPr>
              <w:pStyle w:val="3"/>
              <w:widowControl/>
              <w:wordWrap w:val="0"/>
              <w:spacing w:beforeAutospacing="0" w:afterAutospacing="0" w:line="384" w:lineRule="atLeast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highlight w:val="none"/>
              </w:rPr>
              <w:t>(3)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吸收杆：Φ50</w:t>
            </w:r>
            <w:r>
              <w:rPr>
                <w:rFonts w:ascii="宋体" w:hAnsi="宋体" w:eastAsia="宋体" w:cs="宋体"/>
                <w:color w:val="auto"/>
                <w:highlight w:val="none"/>
              </w:rPr>
              <w:t xml:space="preserve"> mm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×1000mm，一根；</w:t>
            </w:r>
          </w:p>
          <w:p>
            <w:pPr>
              <w:pStyle w:val="3"/>
              <w:widowControl/>
              <w:wordWrap w:val="0"/>
              <w:spacing w:beforeAutospacing="0" w:afterAutospacing="0" w:line="384" w:lineRule="atLeast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(</w:t>
            </w:r>
            <w:r>
              <w:rPr>
                <w:rFonts w:ascii="宋体" w:hAnsi="宋体" w:eastAsia="宋体" w:cs="宋体"/>
                <w:color w:val="auto"/>
                <w:highlight w:val="none"/>
              </w:rPr>
              <w:t>4)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子弹：Φ50</w:t>
            </w:r>
            <w:r>
              <w:rPr>
                <w:rFonts w:ascii="宋体" w:hAnsi="宋体" w:eastAsia="宋体" w:cs="宋体"/>
                <w:color w:val="auto"/>
                <w:highlight w:val="none"/>
              </w:rPr>
              <w:t xml:space="preserve"> mm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×200</w:t>
            </w:r>
            <w:r>
              <w:rPr>
                <w:rFonts w:ascii="宋体" w:hAnsi="宋体" w:eastAsia="宋体" w:cs="宋体"/>
                <w:color w:val="auto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mm、Φ50</w:t>
            </w:r>
            <w:r>
              <w:rPr>
                <w:rFonts w:ascii="宋体" w:hAnsi="宋体" w:eastAsia="宋体" w:cs="宋体"/>
                <w:color w:val="auto"/>
                <w:highlight w:val="none"/>
              </w:rPr>
              <w:t xml:space="preserve"> mm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×300</w:t>
            </w:r>
            <w:r>
              <w:rPr>
                <w:rFonts w:ascii="宋体" w:hAnsi="宋体" w:eastAsia="宋体" w:cs="宋体"/>
                <w:color w:val="auto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mm、 Φ50×400mm，Φ50×</w:t>
            </w:r>
            <w:r>
              <w:rPr>
                <w:rFonts w:ascii="宋体" w:hAnsi="宋体" w:eastAsia="宋体" w:cs="宋体"/>
                <w:color w:val="auto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00mm，各一根；</w:t>
            </w:r>
          </w:p>
          <w:p>
            <w:pPr>
              <w:pStyle w:val="3"/>
              <w:widowControl/>
              <w:wordWrap w:val="0"/>
              <w:spacing w:beforeAutospacing="0" w:afterAutospacing="0" w:line="384" w:lineRule="atLeast"/>
              <w:rPr>
                <w:rFonts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84" w:lineRule="atLeast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★配备的杆系均应符合以下技术参数：</w:t>
            </w:r>
          </w:p>
          <w:p>
            <w:pPr>
              <w:pStyle w:val="3"/>
              <w:widowControl/>
              <w:wordWrap w:val="0"/>
              <w:spacing w:beforeAutospacing="0" w:afterAutospacing="0" w:line="384" w:lineRule="atLeast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(</w:t>
            </w:r>
            <w:r>
              <w:rPr>
                <w:rFonts w:ascii="宋体" w:hAnsi="宋体" w:eastAsia="宋体" w:cs="宋体"/>
                <w:color w:val="auto"/>
                <w:highlight w:val="none"/>
              </w:rPr>
              <w:t>1)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Φ25压杆杆系与Φ25拉杆杆系，采用超硬铝：屈服强度</w:t>
            </w:r>
            <w:r>
              <w:rPr>
                <w:rFonts w:hint="eastAsia"/>
                <w:color w:val="auto"/>
                <w:highlight w:val="none"/>
              </w:rPr>
              <w:t>≥</w:t>
            </w:r>
            <w:r>
              <w:rPr>
                <w:rFonts w:ascii="宋体" w:hAnsi="宋体" w:eastAsia="宋体" w:cs="宋体"/>
                <w:color w:val="auto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00MPa，直线度≤0.05mm</w:t>
            </w:r>
            <w:r>
              <w:rPr>
                <w:rFonts w:ascii="宋体" w:hAnsi="宋体" w:eastAsia="宋体" w:cs="宋体"/>
                <w:color w:val="auto"/>
                <w:highlight w:val="none"/>
              </w:rPr>
              <w:t>/m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， 端面垂直度 ≤0.04</w:t>
            </w:r>
            <w:r>
              <w:rPr>
                <w:rFonts w:ascii="宋体" w:hAnsi="宋体" w:eastAsia="宋体" w:cs="宋体"/>
                <w:color w:val="auto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mm，粗糙度≤0.8μm。</w:t>
            </w:r>
          </w:p>
          <w:p>
            <w:pPr>
              <w:pStyle w:val="3"/>
              <w:widowControl/>
              <w:wordWrap w:val="0"/>
              <w:spacing w:beforeAutospacing="0" w:afterAutospacing="0" w:line="384" w:lineRule="atLeast"/>
              <w:rPr>
                <w:rFonts w:ascii="宋体" w:hAnsi="宋体" w:eastAsia="宋体" w:cs="宋体"/>
                <w:color w:val="auto"/>
                <w:highlight w:val="none"/>
              </w:rPr>
            </w:pPr>
          </w:p>
          <w:p>
            <w:pPr>
              <w:pStyle w:val="3"/>
              <w:widowControl/>
              <w:wordWrap w:val="0"/>
              <w:spacing w:beforeAutospacing="0" w:afterAutospacing="0" w:line="384" w:lineRule="atLeast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(</w:t>
            </w:r>
            <w:r>
              <w:rPr>
                <w:rFonts w:ascii="宋体" w:hAnsi="宋体" w:eastAsia="宋体" w:cs="宋体"/>
                <w:color w:val="auto"/>
                <w:highlight w:val="none"/>
              </w:rPr>
              <w:t>2)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 xml:space="preserve"> Φ50压杆杆系采用</w:t>
            </w:r>
          </w:p>
          <w:p>
            <w:pPr>
              <w:pStyle w:val="3"/>
              <w:widowControl/>
              <w:wordWrap w:val="0"/>
              <w:spacing w:beforeAutospacing="0" w:afterAutospacing="0" w:line="384" w:lineRule="atLeast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高强钢，屈服强度</w:t>
            </w:r>
            <w:r>
              <w:rPr>
                <w:rFonts w:hint="eastAsia"/>
                <w:color w:val="auto"/>
                <w:highlight w:val="none"/>
              </w:rPr>
              <w:t>≥</w:t>
            </w:r>
            <w:r>
              <w:rPr>
                <w:rFonts w:ascii="宋体" w:hAnsi="宋体" w:eastAsia="宋体" w:cs="宋体"/>
                <w:color w:val="auto"/>
                <w:highlight w:val="none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00MPa，直线度≤0.05mm</w:t>
            </w:r>
            <w:r>
              <w:rPr>
                <w:rFonts w:ascii="宋体" w:hAnsi="宋体" w:eastAsia="宋体" w:cs="宋体"/>
                <w:color w:val="auto"/>
                <w:highlight w:val="none"/>
              </w:rPr>
              <w:t>/m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， 端面垂直度 ≤0.04</w:t>
            </w:r>
            <w:r>
              <w:rPr>
                <w:rFonts w:ascii="宋体" w:hAnsi="宋体" w:eastAsia="宋体" w:cs="宋体"/>
                <w:color w:val="auto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mm，粗糙度≤0.8μm。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84" w:lineRule="atLeast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6" w:type="pct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84" w:lineRule="atLeast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3</w:t>
            </w:r>
          </w:p>
        </w:tc>
        <w:tc>
          <w:tcPr>
            <w:tcW w:w="697" w:type="pct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84" w:lineRule="atLeast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底座及</w:t>
            </w:r>
          </w:p>
          <w:p>
            <w:pPr>
              <w:pStyle w:val="3"/>
              <w:widowControl/>
              <w:wordWrap w:val="0"/>
              <w:spacing w:beforeAutospacing="0" w:afterAutospacing="0" w:line="384" w:lineRule="atLeast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基准导轨</w:t>
            </w:r>
          </w:p>
        </w:tc>
        <w:tc>
          <w:tcPr>
            <w:tcW w:w="2348" w:type="pct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pStyle w:val="3"/>
              <w:widowControl/>
              <w:wordWrap w:val="0"/>
              <w:spacing w:line="384" w:lineRule="atLeast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底座：采用结构钢式底座。每节不超过2米，方便设备搬迁和重新安装。总长度10米左右。</w:t>
            </w:r>
          </w:p>
          <w:p>
            <w:pPr>
              <w:pStyle w:val="3"/>
              <w:widowControl/>
              <w:wordWrap w:val="0"/>
              <w:spacing w:line="384" w:lineRule="atLeast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基准导轨：高精度直线导轨，每节不超过2米。总长度10米左右。</w:t>
            </w:r>
          </w:p>
        </w:tc>
        <w:tc>
          <w:tcPr>
            <w:tcW w:w="1126" w:type="pct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84" w:lineRule="atLeast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采用减震垫铁，减少设备震动。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84" w:lineRule="atLeast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6" w:type="pct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84" w:lineRule="atLeast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4</w:t>
            </w:r>
          </w:p>
        </w:tc>
        <w:tc>
          <w:tcPr>
            <w:tcW w:w="697" w:type="pct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84" w:lineRule="atLeast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杆件支撑</w:t>
            </w:r>
          </w:p>
          <w:p>
            <w:pPr>
              <w:pStyle w:val="3"/>
              <w:widowControl/>
              <w:wordWrap w:val="0"/>
              <w:spacing w:beforeAutospacing="0" w:afterAutospacing="0" w:line="384" w:lineRule="atLeast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系统</w:t>
            </w:r>
          </w:p>
        </w:tc>
        <w:tc>
          <w:tcPr>
            <w:tcW w:w="2348" w:type="pct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84" w:lineRule="atLeast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三向移动调整机构，调整范围不低于±5mm。</w:t>
            </w:r>
          </w:p>
        </w:tc>
        <w:tc>
          <w:tcPr>
            <w:tcW w:w="1126" w:type="pct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84" w:lineRule="atLeast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保证对心精度，杆件滑动轻快。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84" w:lineRule="atLeast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7套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6" w:type="pct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84" w:lineRule="atLeast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5</w:t>
            </w:r>
          </w:p>
        </w:tc>
        <w:tc>
          <w:tcPr>
            <w:tcW w:w="697" w:type="pct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84" w:lineRule="atLeast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缓冲</w:t>
            </w:r>
          </w:p>
          <w:p>
            <w:pPr>
              <w:pStyle w:val="3"/>
              <w:widowControl/>
              <w:wordWrap w:val="0"/>
              <w:spacing w:beforeAutospacing="0" w:afterAutospacing="0" w:line="384" w:lineRule="atLeast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吸能装置</w:t>
            </w:r>
          </w:p>
        </w:tc>
        <w:tc>
          <w:tcPr>
            <w:tcW w:w="2348" w:type="pct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84" w:lineRule="atLeast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三级缓冲设计</w:t>
            </w:r>
          </w:p>
        </w:tc>
        <w:tc>
          <w:tcPr>
            <w:tcW w:w="1126" w:type="pct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84" w:lineRule="atLeast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能够充分缓冲，减少冲击震动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84" w:lineRule="atLeast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6" w:type="pct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84" w:lineRule="atLeast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6</w:t>
            </w:r>
          </w:p>
        </w:tc>
        <w:tc>
          <w:tcPr>
            <w:tcW w:w="697" w:type="pct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84" w:lineRule="atLeast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高温装置</w:t>
            </w:r>
          </w:p>
        </w:tc>
        <w:tc>
          <w:tcPr>
            <w:tcW w:w="2348" w:type="pct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84" w:lineRule="atLeast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★温度范围：至少涵盖室温～8</w:t>
            </w:r>
            <w:r>
              <w:rPr>
                <w:rFonts w:ascii="宋体" w:hAnsi="宋体" w:eastAsia="宋体" w:cs="宋体"/>
                <w:color w:val="auto"/>
                <w:highlight w:val="none"/>
              </w:rPr>
              <w:t>00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度的温度范围。</w:t>
            </w:r>
          </w:p>
        </w:tc>
        <w:tc>
          <w:tcPr>
            <w:tcW w:w="1126" w:type="pct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pStyle w:val="3"/>
              <w:widowControl/>
              <w:wordWrap w:val="0"/>
              <w:spacing w:line="384" w:lineRule="atLeast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★带自动拨杆。</w:t>
            </w:r>
          </w:p>
          <w:p>
            <w:pPr>
              <w:pStyle w:val="3"/>
              <w:widowControl/>
              <w:wordWrap w:val="0"/>
              <w:spacing w:beforeAutospacing="0" w:afterAutospacing="0" w:line="384" w:lineRule="atLeast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★PID温度控制仪，超温报警，过载保护。含散热口、报警指示灯。温度可根据需要设定。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84" w:lineRule="atLeast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6" w:type="pct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84" w:lineRule="atLeast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7</w:t>
            </w:r>
          </w:p>
        </w:tc>
        <w:tc>
          <w:tcPr>
            <w:tcW w:w="697" w:type="pct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84" w:lineRule="atLeast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低温装置</w:t>
            </w:r>
          </w:p>
        </w:tc>
        <w:tc>
          <w:tcPr>
            <w:tcW w:w="2348" w:type="pct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84" w:lineRule="atLeast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温度范围：至少涵盖室温～-</w:t>
            </w:r>
            <w:r>
              <w:rPr>
                <w:rFonts w:ascii="宋体" w:hAnsi="宋体" w:eastAsia="宋体" w:cs="宋体"/>
                <w:color w:val="auto"/>
                <w:highlight w:val="none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0度的温度范围</w:t>
            </w:r>
          </w:p>
        </w:tc>
        <w:tc>
          <w:tcPr>
            <w:tcW w:w="1126" w:type="pct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pStyle w:val="3"/>
              <w:widowControl/>
              <w:wordWrap w:val="0"/>
              <w:spacing w:line="384" w:lineRule="atLeast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带自动拨杆。</w:t>
            </w:r>
          </w:p>
          <w:p>
            <w:pPr>
              <w:pStyle w:val="3"/>
              <w:widowControl/>
              <w:wordWrap w:val="0"/>
              <w:spacing w:line="384" w:lineRule="atLeast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highlight w:val="none"/>
              </w:rPr>
              <w:t>PID温度控制仪，超温报警，过载保护。含散热口、报警指示灯。温度可根据需要设定。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84" w:lineRule="atLeast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6" w:type="pct"/>
            <w:tcBorders>
              <w:top w:val="nil"/>
              <w:left w:val="single" w:color="333333" w:sz="4" w:space="0"/>
              <w:bottom w:val="single" w:color="auto" w:sz="4" w:space="0"/>
              <w:right w:val="single" w:color="333333" w:sz="4" w:space="0"/>
            </w:tcBorders>
            <w:shd w:val="clear" w:color="auto" w:fill="auto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84" w:lineRule="atLeast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8</w:t>
            </w:r>
          </w:p>
        </w:tc>
        <w:tc>
          <w:tcPr>
            <w:tcW w:w="697" w:type="pct"/>
            <w:tcBorders>
              <w:top w:val="nil"/>
              <w:left w:val="nil"/>
              <w:bottom w:val="single" w:color="auto" w:sz="4" w:space="0"/>
              <w:right w:val="single" w:color="333333" w:sz="4" w:space="0"/>
            </w:tcBorders>
            <w:shd w:val="clear" w:color="auto" w:fill="auto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84" w:lineRule="atLeast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三维</w:t>
            </w:r>
          </w:p>
          <w:p>
            <w:pPr>
              <w:pStyle w:val="3"/>
              <w:widowControl/>
              <w:wordWrap w:val="0"/>
              <w:spacing w:beforeAutospacing="0" w:afterAutospacing="0" w:line="384" w:lineRule="atLeast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围压装置</w:t>
            </w:r>
          </w:p>
        </w:tc>
        <w:tc>
          <w:tcPr>
            <w:tcW w:w="2348" w:type="pct"/>
            <w:tcBorders>
              <w:top w:val="nil"/>
              <w:left w:val="nil"/>
              <w:bottom w:val="single" w:color="auto" w:sz="4" w:space="0"/>
              <w:right w:val="single" w:color="333333" w:sz="4" w:space="0"/>
            </w:tcBorders>
            <w:shd w:val="clear" w:color="auto" w:fill="auto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84" w:lineRule="atLeast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轴向围压：包含手动高压泵，并提供油压（输出压力范围0-63MPa）。轴向围压压力范围0-40MPa。</w:t>
            </w:r>
          </w:p>
          <w:p>
            <w:pPr>
              <w:pStyle w:val="3"/>
              <w:widowControl/>
              <w:wordWrap w:val="0"/>
              <w:spacing w:beforeAutospacing="0" w:afterAutospacing="0" w:line="384" w:lineRule="atLeast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环向围压：压力容积</w:t>
            </w:r>
            <w:r>
              <w:rPr>
                <w:rFonts w:hint="eastAsia"/>
                <w:color w:val="auto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2.5L，环向围压压力范围0-40MPa。</w:t>
            </w:r>
          </w:p>
        </w:tc>
        <w:tc>
          <w:tcPr>
            <w:tcW w:w="1126" w:type="pct"/>
            <w:tcBorders>
              <w:top w:val="nil"/>
              <w:left w:val="nil"/>
              <w:bottom w:val="single" w:color="auto" w:sz="4" w:space="0"/>
              <w:right w:val="single" w:color="333333" w:sz="4" w:space="0"/>
            </w:tcBorders>
            <w:shd w:val="clear" w:color="auto" w:fill="auto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84" w:lineRule="atLeast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包含手动泵、环向围压体、轴向加载和加载反力结构。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333333" w:sz="4" w:space="0"/>
            </w:tcBorders>
            <w:shd w:val="clear" w:color="auto" w:fill="auto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84" w:lineRule="atLeast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84" w:lineRule="atLeast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9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84" w:lineRule="atLeast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数据采集系统</w:t>
            </w:r>
          </w:p>
        </w:tc>
        <w:tc>
          <w:tcPr>
            <w:tcW w:w="2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84" w:lineRule="atLeast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★4通道应变仪，集成数据采集卡，包含基础软件，可直连电脑使用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84" w:lineRule="atLeast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应变信号输入频响不小于2.5MHz,每通道的采样频率不低于20MHz， 所有通道同步采集。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84" w:lineRule="atLeast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84" w:lineRule="atLeast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</w:t>
            </w:r>
            <w:r>
              <w:rPr>
                <w:rFonts w:ascii="宋体" w:hAnsi="宋体" w:eastAsia="宋体" w:cs="宋体"/>
                <w:color w:val="auto"/>
                <w:highlight w:val="none"/>
              </w:rPr>
              <w:t>0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84" w:lineRule="atLeast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笔记本电脑</w:t>
            </w:r>
          </w:p>
        </w:tc>
        <w:tc>
          <w:tcPr>
            <w:tcW w:w="2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84" w:lineRule="atLeast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用于数据处理、分析与结果可视化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84" w:lineRule="atLeast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——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84" w:lineRule="atLeast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1台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MzBkMTIxNWNlYjk0MTYyODhhMTEwNWY5ODE1NzcifQ=="/>
  </w:docVars>
  <w:rsids>
    <w:rsidRoot w:val="0CCA26EA"/>
    <w:rsid w:val="0CCA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2023-10-30T11:56:00Z</dcterms:created>
  <dc:creator>常博皓</dc:creator>
  <cp:lastModifiedBy>常博皓</cp:lastModifiedBy>
  <dcterms:modified xsi:type="dcterms:W3CDTF">2023-10-30T11:56:57Z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454619AB821E474BB464535BC14C9948_11</vt:lpwstr>
  </property>
</Properties>
</file>