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b/>
          <w:szCs w:val="21"/>
        </w:rPr>
      </w:pPr>
      <w:r>
        <w:rPr>
          <w:rFonts w:ascii="宋体" w:hAnsi="宋体"/>
          <w:bCs/>
          <w:sz w:val="28"/>
          <w:szCs w:val="28"/>
        </w:rPr>
        <w:drawing>
          <wp:inline distT="0" distB="0" distL="0" distR="0">
            <wp:extent cx="882650" cy="854710"/>
            <wp:effectExtent l="0" t="0" r="12700" b="254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7" cstate="print"/>
                    <a:srcRect/>
                    <a:stretch>
                      <a:fillRect/>
                    </a:stretch>
                  </pic:blipFill>
                  <pic:spPr>
                    <a:xfrm>
                      <a:off x="0" y="0"/>
                      <a:ext cx="882650" cy="854710"/>
                    </a:xfrm>
                    <a:prstGeom prst="rect">
                      <a:avLst/>
                    </a:prstGeom>
                    <a:ln>
                      <a:noFill/>
                    </a:ln>
                  </pic:spPr>
                </pic:pic>
              </a:graphicData>
            </a:graphic>
          </wp:inline>
        </w:drawing>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tabs>
          <w:tab w:val="left" w:pos="420"/>
          <w:tab w:val="center" w:pos="4933"/>
          <w:tab w:val="left" w:pos="6660"/>
          <w:tab w:val="left" w:pos="7829"/>
        </w:tabs>
        <w:spacing w:line="360" w:lineRule="auto"/>
        <w:jc w:val="left"/>
        <w:rPr>
          <w:rFonts w:ascii="宋体" w:hAnsi="宋体"/>
          <w:b/>
          <w:sz w:val="52"/>
          <w:szCs w:val="52"/>
        </w:rPr>
      </w:pPr>
      <w:r>
        <w:rPr>
          <w:rFonts w:hint="eastAsia" w:ascii="宋体" w:hAnsi="宋体"/>
          <w:b/>
          <w:sz w:val="52"/>
          <w:szCs w:val="52"/>
        </w:rPr>
        <w:tab/>
      </w:r>
      <w:r>
        <w:rPr>
          <w:rFonts w:hint="eastAsia" w:ascii="宋体" w:hAnsi="宋体"/>
          <w:b/>
          <w:sz w:val="52"/>
          <w:szCs w:val="52"/>
        </w:rPr>
        <w:tab/>
      </w:r>
      <w:r>
        <w:rPr>
          <w:rFonts w:hint="eastAsia" w:ascii="宋体" w:hAnsi="宋体"/>
          <w:b/>
          <w:sz w:val="52"/>
          <w:szCs w:val="52"/>
        </w:rPr>
        <w:t>竞争性磋商文件</w:t>
      </w:r>
      <w:r>
        <w:rPr>
          <w:rFonts w:hint="eastAsia" w:ascii="宋体" w:hAnsi="宋体"/>
          <w:b/>
          <w:sz w:val="52"/>
          <w:szCs w:val="52"/>
        </w:rPr>
        <w:tab/>
      </w:r>
    </w:p>
    <w:p>
      <w:pPr>
        <w:spacing w:line="360" w:lineRule="auto"/>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
          <w:bCs/>
          <w:sz w:val="28"/>
          <w:szCs w:val="28"/>
        </w:rPr>
      </w:pPr>
      <w:r>
        <w:rPr>
          <w:rFonts w:hint="eastAsia" w:ascii="宋体" w:hAnsi="宋体"/>
          <w:b/>
          <w:bCs/>
          <w:sz w:val="28"/>
          <w:szCs w:val="28"/>
        </w:rPr>
        <w:t>采购项目编号：</w:t>
      </w:r>
      <w:r>
        <w:rPr>
          <w:rFonts w:hint="eastAsia" w:ascii="宋体" w:hAnsi="宋体"/>
          <w:b/>
          <w:bCs/>
          <w:sz w:val="28"/>
          <w:szCs w:val="28"/>
          <w:u w:val="single"/>
        </w:rPr>
        <w:t>DQ-2022042-CS</w:t>
      </w:r>
      <w:r>
        <w:rPr>
          <w:rFonts w:hint="eastAsia" w:ascii="宋体" w:hAnsi="宋体"/>
          <w:b/>
          <w:bCs/>
          <w:sz w:val="28"/>
          <w:szCs w:val="28"/>
        </w:rPr>
        <w:fldChar w:fldCharType="begin"/>
      </w:r>
      <w:r>
        <w:rPr>
          <w:rFonts w:hint="eastAsia" w:ascii="宋体" w:hAnsi="宋体"/>
          <w:b/>
          <w:bCs/>
          <w:sz w:val="28"/>
          <w:szCs w:val="28"/>
        </w:rPr>
        <w:instrText xml:space="preserve"> DOCVARIABLE  采购编号  \* MERGEFORMAT </w:instrText>
      </w:r>
      <w:r>
        <w:rPr>
          <w:rFonts w:hint="eastAsia" w:ascii="宋体" w:hAnsi="宋体"/>
          <w:b/>
          <w:bCs/>
          <w:sz w:val="28"/>
          <w:szCs w:val="28"/>
        </w:rPr>
        <w:fldChar w:fldCharType="end"/>
      </w:r>
    </w:p>
    <w:p>
      <w:pPr>
        <w:spacing w:line="360" w:lineRule="auto"/>
        <w:jc w:val="center"/>
        <w:rPr>
          <w:rFonts w:ascii="宋体" w:hAnsi="宋体"/>
          <w:b/>
          <w:sz w:val="30"/>
          <w:szCs w:val="30"/>
          <w:u w:val="single"/>
        </w:rPr>
      </w:pPr>
      <w:r>
        <w:rPr>
          <w:rFonts w:hint="eastAsia" w:ascii="宋体" w:hAnsi="宋体"/>
          <w:b/>
          <w:bCs/>
          <w:sz w:val="28"/>
          <w:szCs w:val="28"/>
        </w:rPr>
        <w:t>采购项目名称：</w:t>
      </w:r>
      <w:r>
        <w:rPr>
          <w:rFonts w:hint="eastAsia" w:ascii="宋体" w:hAnsi="宋体"/>
          <w:b/>
          <w:bCs/>
          <w:sz w:val="28"/>
          <w:szCs w:val="28"/>
          <w:u w:val="single"/>
        </w:rPr>
        <w:t>陕西省驾驶员培训监管服务平台维护项目</w:t>
      </w:r>
      <w:r>
        <w:rPr>
          <w:rFonts w:hint="eastAsia" w:ascii="宋体" w:hAnsi="宋体"/>
          <w:b/>
          <w:bCs/>
          <w:sz w:val="30"/>
          <w:szCs w:val="30"/>
        </w:rPr>
        <w:fldChar w:fldCharType="begin"/>
      </w:r>
      <w:r>
        <w:rPr>
          <w:rFonts w:hint="eastAsia" w:ascii="宋体" w:hAnsi="宋体"/>
          <w:b/>
          <w:bCs/>
          <w:sz w:val="30"/>
          <w:szCs w:val="30"/>
        </w:rPr>
        <w:instrText xml:space="preserve"> DOCVARIABLE  项目名称  \* MERGEFORMAT </w:instrText>
      </w:r>
      <w:r>
        <w:rPr>
          <w:rFonts w:hint="eastAsia" w:ascii="宋体" w:hAnsi="宋体"/>
          <w:b/>
          <w:bCs/>
          <w:sz w:val="30"/>
          <w:szCs w:val="30"/>
        </w:rPr>
        <w:fldChar w:fldCharType="end"/>
      </w: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 w:val="30"/>
          <w:szCs w:val="30"/>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Cs w:val="21"/>
        </w:rPr>
      </w:pPr>
    </w:p>
    <w:p>
      <w:pPr>
        <w:spacing w:line="360" w:lineRule="auto"/>
        <w:jc w:val="center"/>
        <w:rPr>
          <w:rFonts w:ascii="宋体" w:hAnsi="宋体"/>
          <w:b/>
          <w:bCs/>
          <w:sz w:val="24"/>
        </w:rPr>
      </w:pPr>
      <w:r>
        <w:rPr>
          <w:rFonts w:hint="eastAsia" w:ascii="宋体" w:hAnsi="宋体"/>
          <w:b/>
          <w:bCs/>
          <w:sz w:val="24"/>
        </w:rPr>
        <w:t>陕西德勤招标有限公司编制</w:t>
      </w:r>
    </w:p>
    <w:p>
      <w:pPr>
        <w:spacing w:line="360" w:lineRule="auto"/>
        <w:jc w:val="center"/>
        <w:rPr>
          <w:rFonts w:ascii="宋体" w:hAnsi="宋体"/>
          <w:b/>
          <w:bCs/>
          <w:sz w:val="24"/>
        </w:rPr>
      </w:pPr>
      <w:r>
        <w:rPr>
          <w:rFonts w:hint="eastAsia" w:ascii="宋体" w:hAnsi="宋体"/>
          <w:b/>
          <w:bCs/>
          <w:sz w:val="24"/>
        </w:rPr>
        <w:t>发布日期：2022年</w:t>
      </w:r>
      <w:r>
        <w:rPr>
          <w:rFonts w:hint="eastAsia" w:ascii="宋体" w:hAnsi="宋体"/>
          <w:b/>
          <w:bCs/>
          <w:sz w:val="24"/>
          <w:lang w:val="en-US" w:eastAsia="zh-CN"/>
        </w:rPr>
        <w:t>8</w:t>
      </w:r>
      <w:r>
        <w:rPr>
          <w:rFonts w:hint="eastAsia" w:ascii="宋体" w:hAnsi="宋体"/>
          <w:b/>
          <w:bCs/>
          <w:sz w:val="24"/>
        </w:rPr>
        <w:t>月</w:t>
      </w:r>
      <w:r>
        <w:rPr>
          <w:rFonts w:hint="eastAsia" w:ascii="宋体" w:hAnsi="宋体"/>
          <w:b/>
          <w:bCs/>
          <w:sz w:val="24"/>
          <w:lang w:val="en-US" w:eastAsia="zh-CN"/>
        </w:rPr>
        <w:t>15</w:t>
      </w:r>
      <w:r>
        <w:rPr>
          <w:rFonts w:hint="eastAsia" w:ascii="宋体" w:hAnsi="宋体"/>
          <w:b/>
          <w:bCs/>
          <w:sz w:val="24"/>
        </w:rPr>
        <w:t>日</w:t>
      </w:r>
    </w:p>
    <w:p>
      <w:pPr>
        <w:spacing w:line="360" w:lineRule="auto"/>
        <w:jc w:val="center"/>
        <w:rPr>
          <w:rFonts w:ascii="宋体" w:hAnsi="宋体"/>
          <w:b/>
          <w:bCs/>
          <w:sz w:val="24"/>
        </w:rPr>
      </w:pPr>
      <w:r>
        <w:rPr>
          <w:rFonts w:hint="eastAsia" w:ascii="宋体" w:hAnsi="宋体"/>
          <w:b/>
          <w:bCs/>
          <w:sz w:val="24"/>
        </w:rPr>
        <w:br w:type="page"/>
      </w:r>
    </w:p>
    <w:p>
      <w:pPr>
        <w:spacing w:line="360" w:lineRule="auto"/>
        <w:jc w:val="center"/>
        <w:rPr>
          <w:rFonts w:ascii="黑体" w:hAnsi="黑体" w:eastAsia="黑体" w:cs="黑体"/>
          <w:b/>
          <w:bCs/>
          <w:sz w:val="32"/>
          <w:szCs w:val="32"/>
        </w:rPr>
      </w:pPr>
      <w:bookmarkStart w:id="0" w:name="_Toc14384"/>
      <w:bookmarkStart w:id="1" w:name="_Toc28776"/>
      <w:r>
        <w:rPr>
          <w:rFonts w:hint="eastAsia" w:ascii="黑体" w:hAnsi="黑体" w:eastAsia="黑体" w:cs="黑体"/>
          <w:b/>
          <w:bCs/>
          <w:sz w:val="32"/>
          <w:szCs w:val="32"/>
        </w:rPr>
        <w:t>温馨提示</w:t>
      </w:r>
    </w:p>
    <w:p>
      <w:pPr>
        <w:spacing w:line="360" w:lineRule="auto"/>
        <w:jc w:val="center"/>
        <w:rPr>
          <w:rFonts w:ascii="宋体" w:hAnsi="宋体"/>
          <w:kern w:val="0"/>
          <w:sz w:val="24"/>
        </w:rPr>
      </w:pPr>
      <w:r>
        <w:rPr>
          <w:rFonts w:hint="eastAsia" w:ascii="宋体" w:hAnsi="宋体"/>
          <w:kern w:val="0"/>
          <w:sz w:val="24"/>
        </w:rPr>
        <w:t>（本提示内容非采购文件的组成部分，仅为善意提醒。如有不一致，以采购文件为准）。</w:t>
      </w:r>
    </w:p>
    <w:p>
      <w:pPr>
        <w:widowControl/>
        <w:spacing w:line="360" w:lineRule="auto"/>
        <w:ind w:firstLine="480" w:firstLineChars="200"/>
        <w:jc w:val="left"/>
        <w:rPr>
          <w:rFonts w:ascii="宋体" w:hAnsi="宋体"/>
          <w:kern w:val="0"/>
          <w:sz w:val="24"/>
        </w:rPr>
      </w:pPr>
      <w:r>
        <w:rPr>
          <w:rFonts w:hint="eastAsia" w:ascii="宋体" w:hAnsi="宋体"/>
          <w:kern w:val="0"/>
          <w:sz w:val="24"/>
        </w:rPr>
        <w:t>一、如无另行说明，投标/响应文件递交时间为投标/响应文件递交截止时间之前60分钟内。</w:t>
      </w:r>
    </w:p>
    <w:p>
      <w:pPr>
        <w:widowControl/>
        <w:spacing w:line="360" w:lineRule="auto"/>
        <w:ind w:firstLine="480" w:firstLineChars="200"/>
        <w:jc w:val="left"/>
        <w:rPr>
          <w:rFonts w:ascii="宋体" w:hAnsi="宋体"/>
          <w:kern w:val="0"/>
          <w:sz w:val="24"/>
        </w:rPr>
      </w:pPr>
      <w:r>
        <w:rPr>
          <w:rFonts w:hint="eastAsia" w:ascii="宋体" w:hAnsi="宋体"/>
          <w:kern w:val="0"/>
          <w:sz w:val="24"/>
        </w:rPr>
        <w:t>二、每个供应商每个项目的保证金缴纳账户是唯一的，本公司将根据唯一保证金缴纳账户的缴纳情况，确认供应商是否已按规定缴纳项目保证金。所以请各供应商缴纳保证金前务必核对正确的缴纳账户，错缴误缴导致未按项目缴纳保证金的情况将由供应商自行负责。</w:t>
      </w:r>
    </w:p>
    <w:p>
      <w:pPr>
        <w:widowControl/>
        <w:spacing w:line="360" w:lineRule="auto"/>
        <w:ind w:firstLine="480" w:firstLineChars="200"/>
        <w:jc w:val="left"/>
        <w:rPr>
          <w:rFonts w:ascii="宋体" w:hAnsi="宋体"/>
          <w:kern w:val="0"/>
          <w:sz w:val="24"/>
        </w:rPr>
      </w:pPr>
      <w:r>
        <w:rPr>
          <w:rFonts w:hint="eastAsia" w:ascii="宋体" w:hAnsi="宋体"/>
          <w:kern w:val="0"/>
          <w:sz w:val="24"/>
        </w:rPr>
        <w:t>三、为了提高政府采购效率，节约社会交易成本与时间，本公司希望购买了采购文件而决定不参加本次投标/响应的供应商，在投标/响应文件递交截止时间的3日前，按《投标/磋商邀请函》中的联系方式，以电话或电子邮件形式告知本公司。对您的支持与配合，谨此致谢。</w:t>
      </w:r>
    </w:p>
    <w:p>
      <w:pPr>
        <w:widowControl/>
        <w:spacing w:line="360" w:lineRule="auto"/>
        <w:ind w:firstLine="480" w:firstLineChars="200"/>
        <w:jc w:val="left"/>
        <w:rPr>
          <w:rFonts w:ascii="宋体" w:hAnsi="宋体"/>
          <w:kern w:val="0"/>
          <w:sz w:val="24"/>
        </w:rPr>
      </w:pPr>
      <w:r>
        <w:rPr>
          <w:rFonts w:hint="eastAsia" w:ascii="宋体" w:hAnsi="宋体"/>
          <w:kern w:val="0"/>
          <w:sz w:val="24"/>
        </w:rPr>
        <w:t>四</w:t>
      </w:r>
      <w:r>
        <w:rPr>
          <w:rFonts w:ascii="宋体" w:hAnsi="宋体"/>
          <w:kern w:val="0"/>
          <w:sz w:val="24"/>
        </w:rPr>
        <w:t>、</w:t>
      </w:r>
      <w:r>
        <w:rPr>
          <w:rFonts w:hint="eastAsia" w:ascii="宋体" w:hAnsi="宋体"/>
          <w:kern w:val="0"/>
          <w:sz w:val="24"/>
        </w:rPr>
        <w:t>供应商如需对项目提出询问或质疑，应按采购文件中要求的询问函和质疑函的格式提交。</w:t>
      </w:r>
    </w:p>
    <w:p>
      <w:pPr>
        <w:widowControl/>
        <w:spacing w:line="360" w:lineRule="auto"/>
        <w:ind w:firstLine="480" w:firstLineChars="200"/>
        <w:jc w:val="left"/>
        <w:rPr>
          <w:rFonts w:ascii="宋体" w:hAnsi="宋体"/>
          <w:kern w:val="0"/>
          <w:sz w:val="24"/>
        </w:rPr>
      </w:pPr>
      <w:r>
        <w:rPr>
          <w:rFonts w:hint="eastAsia" w:ascii="宋体" w:hAnsi="宋体"/>
          <w:kern w:val="0"/>
          <w:sz w:val="24"/>
        </w:rPr>
        <w:t>五、</w:t>
      </w:r>
      <w:r>
        <w:rPr>
          <w:rStyle w:val="25"/>
          <w:rFonts w:hint="eastAsia" w:ascii="宋体" w:hAnsi="宋体"/>
          <w:color w:val="auto"/>
          <w:kern w:val="0"/>
          <w:sz w:val="24"/>
          <w:lang w:bidi="ar"/>
        </w:rPr>
        <w:t>若遇高峰期停车困难，可至公司周边停车场停车，如绿地SOHO同盟、旺都、绿地领海、绿地蓝海及其他对外营业的停车场等。</w:t>
      </w:r>
    </w:p>
    <w:p>
      <w:pPr>
        <w:pStyle w:val="17"/>
        <w:tabs>
          <w:tab w:val="right" w:leader="dot" w:pos="9747"/>
        </w:tabs>
        <w:spacing w:before="120" w:after="120" w:line="360" w:lineRule="auto"/>
        <w:jc w:val="center"/>
        <w:rPr>
          <w:rFonts w:ascii="宋体" w:hAnsi="宋体"/>
          <w:b/>
          <w:bCs/>
          <w:szCs w:val="30"/>
        </w:rPr>
      </w:pPr>
      <w:r>
        <w:rPr>
          <w:rStyle w:val="37"/>
          <w:rFonts w:hint="eastAsia" w:ascii="黑体" w:hAnsi="黑体" w:eastAsia="黑体" w:cs="黑体"/>
          <w:sz w:val="32"/>
          <w:szCs w:val="32"/>
        </w:rPr>
        <w:br w:type="page"/>
      </w:r>
      <w:r>
        <w:rPr>
          <w:rFonts w:hint="eastAsia" w:ascii="黑体" w:hAnsi="黑体" w:eastAsia="黑体" w:cs="黑体"/>
          <w:b/>
          <w:bCs/>
          <w:sz w:val="32"/>
          <w:szCs w:val="32"/>
        </w:rPr>
        <w:t>目  录</w:t>
      </w:r>
      <w:bookmarkEnd w:id="0"/>
      <w:bookmarkEnd w:id="1"/>
      <w:r>
        <w:rPr>
          <w:rFonts w:hint="eastAsia" w:ascii="宋体" w:hAnsi="宋体"/>
          <w:b/>
          <w:bCs/>
          <w:szCs w:val="30"/>
        </w:rPr>
        <w:fldChar w:fldCharType="begin"/>
      </w:r>
      <w:r>
        <w:rPr>
          <w:rFonts w:hint="eastAsia" w:ascii="宋体" w:hAnsi="宋体"/>
          <w:b/>
          <w:bCs/>
          <w:szCs w:val="30"/>
        </w:rPr>
        <w:instrText xml:space="preserve">TOC \o "1-3" \h \u </w:instrText>
      </w:r>
      <w:r>
        <w:rPr>
          <w:rFonts w:hint="eastAsia" w:ascii="宋体" w:hAnsi="宋体"/>
          <w:b/>
          <w:bCs/>
          <w:szCs w:val="30"/>
        </w:rPr>
        <w:fldChar w:fldCharType="separate"/>
      </w:r>
    </w:p>
    <w:p>
      <w:pPr>
        <w:pStyle w:val="17"/>
        <w:tabs>
          <w:tab w:val="right" w:leader="dot" w:pos="9747"/>
        </w:tabs>
        <w:rPr>
          <w:b/>
        </w:rPr>
      </w:pPr>
      <w:r>
        <w:fldChar w:fldCharType="begin"/>
      </w:r>
      <w:r>
        <w:instrText xml:space="preserve"> HYPERLINK \l "_Toc17948" </w:instrText>
      </w:r>
      <w:r>
        <w:fldChar w:fldCharType="separate"/>
      </w:r>
      <w:r>
        <w:rPr>
          <w:rFonts w:hint="eastAsia" w:ascii="黑体" w:hAnsi="黑体" w:eastAsia="黑体" w:cs="黑体"/>
          <w:b/>
          <w:szCs w:val="32"/>
        </w:rPr>
        <w:t>第一部分 磋商邀请函</w:t>
      </w:r>
      <w:r>
        <w:rPr>
          <w:b/>
        </w:rPr>
        <w:tab/>
      </w:r>
      <w:r>
        <w:rPr>
          <w:b/>
        </w:rPr>
        <w:fldChar w:fldCharType="begin"/>
      </w:r>
      <w:r>
        <w:rPr>
          <w:b/>
        </w:rPr>
        <w:instrText xml:space="preserve"> PAGEREF _Toc17948 \h </w:instrText>
      </w:r>
      <w:r>
        <w:rPr>
          <w:b/>
        </w:rPr>
        <w:fldChar w:fldCharType="separate"/>
      </w:r>
      <w:r>
        <w:rPr>
          <w:b/>
        </w:rPr>
        <w:t>4</w:t>
      </w:r>
      <w:r>
        <w:rPr>
          <w:b/>
        </w:rPr>
        <w:fldChar w:fldCharType="end"/>
      </w:r>
      <w:r>
        <w:rPr>
          <w:b/>
        </w:rPr>
        <w:fldChar w:fldCharType="end"/>
      </w:r>
    </w:p>
    <w:p>
      <w:pPr>
        <w:pStyle w:val="17"/>
        <w:tabs>
          <w:tab w:val="right" w:leader="dot" w:pos="9747"/>
        </w:tabs>
        <w:rPr>
          <w:b/>
        </w:rPr>
      </w:pPr>
      <w:r>
        <w:fldChar w:fldCharType="begin"/>
      </w:r>
      <w:r>
        <w:instrText xml:space="preserve"> HYPERLINK \l "_Toc6236" </w:instrText>
      </w:r>
      <w:r>
        <w:fldChar w:fldCharType="separate"/>
      </w:r>
      <w:r>
        <w:rPr>
          <w:rFonts w:hint="eastAsia" w:ascii="黑体" w:hAnsi="黑体" w:eastAsia="黑体" w:cs="黑体"/>
          <w:b/>
          <w:szCs w:val="32"/>
        </w:rPr>
        <w:t>第二部分 用户需求书</w:t>
      </w:r>
      <w:r>
        <w:rPr>
          <w:b/>
        </w:rPr>
        <w:tab/>
      </w:r>
      <w:r>
        <w:rPr>
          <w:b/>
        </w:rPr>
        <w:fldChar w:fldCharType="begin"/>
      </w:r>
      <w:r>
        <w:rPr>
          <w:b/>
        </w:rPr>
        <w:instrText xml:space="preserve"> PAGEREF _Toc6236 \h </w:instrText>
      </w:r>
      <w:r>
        <w:rPr>
          <w:b/>
        </w:rPr>
        <w:fldChar w:fldCharType="separate"/>
      </w:r>
      <w:r>
        <w:rPr>
          <w:b/>
        </w:rPr>
        <w:t>7</w:t>
      </w:r>
      <w:r>
        <w:rPr>
          <w:b/>
        </w:rPr>
        <w:fldChar w:fldCharType="end"/>
      </w:r>
      <w:r>
        <w:rPr>
          <w:b/>
        </w:rPr>
        <w:fldChar w:fldCharType="end"/>
      </w:r>
    </w:p>
    <w:p>
      <w:pPr>
        <w:pStyle w:val="17"/>
        <w:tabs>
          <w:tab w:val="right" w:leader="dot" w:pos="9747"/>
        </w:tabs>
        <w:rPr>
          <w:b/>
        </w:rPr>
      </w:pPr>
      <w:r>
        <w:fldChar w:fldCharType="begin"/>
      </w:r>
      <w:r>
        <w:instrText xml:space="preserve"> HYPERLINK \l "_Toc25235" </w:instrText>
      </w:r>
      <w:r>
        <w:fldChar w:fldCharType="separate"/>
      </w:r>
      <w:r>
        <w:rPr>
          <w:rFonts w:hint="eastAsia" w:ascii="黑体" w:hAnsi="黑体" w:eastAsia="黑体" w:cs="黑体"/>
          <w:b/>
          <w:szCs w:val="32"/>
        </w:rPr>
        <w:t>第三部分 供应商须知</w:t>
      </w:r>
      <w:r>
        <w:rPr>
          <w:b/>
        </w:rPr>
        <w:tab/>
      </w:r>
      <w:r>
        <w:rPr>
          <w:b/>
        </w:rPr>
        <w:fldChar w:fldCharType="begin"/>
      </w:r>
      <w:r>
        <w:rPr>
          <w:b/>
        </w:rPr>
        <w:instrText xml:space="preserve"> PAGEREF _Toc25235 \h </w:instrText>
      </w:r>
      <w:r>
        <w:rPr>
          <w:b/>
        </w:rPr>
        <w:fldChar w:fldCharType="separate"/>
      </w:r>
      <w:r>
        <w:rPr>
          <w:b/>
        </w:rPr>
        <w:t>11</w:t>
      </w:r>
      <w:r>
        <w:rPr>
          <w:b/>
        </w:rPr>
        <w:fldChar w:fldCharType="end"/>
      </w:r>
      <w:r>
        <w:rPr>
          <w:b/>
        </w:rPr>
        <w:fldChar w:fldCharType="end"/>
      </w:r>
    </w:p>
    <w:p>
      <w:pPr>
        <w:pStyle w:val="20"/>
        <w:tabs>
          <w:tab w:val="right" w:leader="dot" w:pos="9747"/>
          <w:tab w:val="clear" w:pos="8302"/>
        </w:tabs>
        <w:rPr>
          <w:b w:val="0"/>
          <w:bCs/>
        </w:rPr>
      </w:pPr>
      <w:r>
        <w:fldChar w:fldCharType="begin"/>
      </w:r>
      <w:r>
        <w:instrText xml:space="preserve"> HYPERLINK \l "_Toc14458" </w:instrText>
      </w:r>
      <w:r>
        <w:fldChar w:fldCharType="separate"/>
      </w:r>
      <w:r>
        <w:rPr>
          <w:rFonts w:hint="eastAsia" w:ascii="黑体" w:hAnsi="黑体" w:eastAsia="黑体" w:cs="黑体"/>
          <w:b w:val="0"/>
          <w:bCs/>
        </w:rPr>
        <w:t>一、总则</w:t>
      </w:r>
      <w:r>
        <w:rPr>
          <w:b w:val="0"/>
          <w:bCs/>
        </w:rPr>
        <w:tab/>
      </w:r>
      <w:r>
        <w:rPr>
          <w:b w:val="0"/>
          <w:bCs/>
        </w:rPr>
        <w:fldChar w:fldCharType="begin"/>
      </w:r>
      <w:r>
        <w:rPr>
          <w:b w:val="0"/>
          <w:bCs/>
        </w:rPr>
        <w:instrText xml:space="preserve"> PAGEREF _Toc14458 \h </w:instrText>
      </w:r>
      <w:r>
        <w:rPr>
          <w:b w:val="0"/>
          <w:bCs/>
        </w:rPr>
        <w:fldChar w:fldCharType="separate"/>
      </w:r>
      <w:r>
        <w:rPr>
          <w:b w:val="0"/>
          <w:bCs/>
        </w:rPr>
        <w:t>14</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"_Toc29396" </w:instrText>
      </w:r>
      <w:r>
        <w:fldChar w:fldCharType="separate"/>
      </w:r>
      <w:r>
        <w:rPr>
          <w:rFonts w:hint="eastAsia" w:ascii="黑体" w:hAnsi="黑体" w:eastAsia="黑体" w:cs="黑体"/>
          <w:b w:val="0"/>
          <w:bCs/>
        </w:rPr>
        <w:t>二、磋商文件</w:t>
      </w:r>
      <w:r>
        <w:rPr>
          <w:b w:val="0"/>
          <w:bCs/>
        </w:rPr>
        <w:tab/>
      </w:r>
      <w:r>
        <w:rPr>
          <w:b w:val="0"/>
          <w:bCs/>
        </w:rPr>
        <w:fldChar w:fldCharType="begin"/>
      </w:r>
      <w:r>
        <w:rPr>
          <w:b w:val="0"/>
          <w:bCs/>
        </w:rPr>
        <w:instrText xml:space="preserve"> PAGEREF _Toc29396 \h </w:instrText>
      </w:r>
      <w:r>
        <w:rPr>
          <w:b w:val="0"/>
          <w:bCs/>
        </w:rPr>
        <w:fldChar w:fldCharType="separate"/>
      </w:r>
      <w:r>
        <w:rPr>
          <w:b w:val="0"/>
          <w:bCs/>
        </w:rPr>
        <w:t>18</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"_Toc17031" </w:instrText>
      </w:r>
      <w:r>
        <w:fldChar w:fldCharType="separate"/>
      </w:r>
      <w:r>
        <w:rPr>
          <w:rFonts w:hint="eastAsia" w:ascii="黑体" w:hAnsi="黑体" w:eastAsia="黑体" w:cs="黑体"/>
          <w:b w:val="0"/>
          <w:bCs/>
        </w:rPr>
        <w:t>三、响应文件的编制</w:t>
      </w:r>
      <w:r>
        <w:rPr>
          <w:b w:val="0"/>
          <w:bCs/>
        </w:rPr>
        <w:tab/>
      </w:r>
      <w:r>
        <w:rPr>
          <w:b w:val="0"/>
          <w:bCs/>
        </w:rPr>
        <w:fldChar w:fldCharType="begin"/>
      </w:r>
      <w:r>
        <w:rPr>
          <w:b w:val="0"/>
          <w:bCs/>
        </w:rPr>
        <w:instrText xml:space="preserve"> PAGEREF _Toc17031 \h </w:instrText>
      </w:r>
      <w:r>
        <w:rPr>
          <w:b w:val="0"/>
          <w:bCs/>
        </w:rPr>
        <w:fldChar w:fldCharType="separate"/>
      </w:r>
      <w:r>
        <w:rPr>
          <w:b w:val="0"/>
          <w:bCs/>
        </w:rPr>
        <w:t>19</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"_Toc32350" </w:instrText>
      </w:r>
      <w:r>
        <w:fldChar w:fldCharType="separate"/>
      </w:r>
      <w:r>
        <w:rPr>
          <w:rFonts w:hint="eastAsia" w:ascii="黑体" w:hAnsi="黑体" w:eastAsia="黑体" w:cs="黑体"/>
          <w:b w:val="0"/>
          <w:bCs/>
        </w:rPr>
        <w:t>四、响应文件密封、递交</w:t>
      </w:r>
      <w:r>
        <w:rPr>
          <w:b w:val="0"/>
          <w:bCs/>
        </w:rPr>
        <w:tab/>
      </w:r>
      <w:r>
        <w:rPr>
          <w:b w:val="0"/>
          <w:bCs/>
        </w:rPr>
        <w:fldChar w:fldCharType="begin"/>
      </w:r>
      <w:r>
        <w:rPr>
          <w:b w:val="0"/>
          <w:bCs/>
        </w:rPr>
        <w:instrText xml:space="preserve"> PAGEREF _Toc32350 \h </w:instrText>
      </w:r>
      <w:r>
        <w:rPr>
          <w:b w:val="0"/>
          <w:bCs/>
        </w:rPr>
        <w:fldChar w:fldCharType="separate"/>
      </w:r>
      <w:r>
        <w:rPr>
          <w:b w:val="0"/>
          <w:bCs/>
        </w:rPr>
        <w:t>22</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"_Toc5241" </w:instrText>
      </w:r>
      <w:r>
        <w:fldChar w:fldCharType="separate"/>
      </w:r>
      <w:r>
        <w:rPr>
          <w:rFonts w:hint="eastAsia" w:ascii="黑体" w:hAnsi="黑体" w:eastAsia="黑体" w:cs="黑体"/>
          <w:b w:val="0"/>
          <w:bCs/>
        </w:rPr>
        <w:t>五、磋商、评审、成交</w:t>
      </w:r>
      <w:r>
        <w:rPr>
          <w:b w:val="0"/>
          <w:bCs/>
        </w:rPr>
        <w:tab/>
      </w:r>
      <w:r>
        <w:rPr>
          <w:b w:val="0"/>
          <w:bCs/>
        </w:rPr>
        <w:fldChar w:fldCharType="begin"/>
      </w:r>
      <w:r>
        <w:rPr>
          <w:b w:val="0"/>
          <w:bCs/>
        </w:rPr>
        <w:instrText xml:space="preserve"> PAGEREF _Toc5241 \h </w:instrText>
      </w:r>
      <w:r>
        <w:rPr>
          <w:b w:val="0"/>
          <w:bCs/>
        </w:rPr>
        <w:fldChar w:fldCharType="separate"/>
      </w:r>
      <w:r>
        <w:rPr>
          <w:b w:val="0"/>
          <w:bCs/>
        </w:rPr>
        <w:t>24</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"_Toc22007" </w:instrText>
      </w:r>
      <w:r>
        <w:fldChar w:fldCharType="separate"/>
      </w:r>
      <w:r>
        <w:rPr>
          <w:rFonts w:hint="eastAsia" w:ascii="黑体" w:hAnsi="黑体" w:eastAsia="黑体" w:cs="黑体"/>
          <w:b w:val="0"/>
          <w:bCs/>
        </w:rPr>
        <w:t>六、响应纪律要求</w:t>
      </w:r>
      <w:r>
        <w:rPr>
          <w:b w:val="0"/>
          <w:bCs/>
        </w:rPr>
        <w:tab/>
      </w:r>
      <w:r>
        <w:rPr>
          <w:b w:val="0"/>
          <w:bCs/>
        </w:rPr>
        <w:fldChar w:fldCharType="begin"/>
      </w:r>
      <w:r>
        <w:rPr>
          <w:b w:val="0"/>
          <w:bCs/>
        </w:rPr>
        <w:instrText xml:space="preserve"> PAGEREF _Toc22007 \h </w:instrText>
      </w:r>
      <w:r>
        <w:rPr>
          <w:b w:val="0"/>
          <w:bCs/>
        </w:rPr>
        <w:fldChar w:fldCharType="separate"/>
      </w:r>
      <w:r>
        <w:rPr>
          <w:b w:val="0"/>
          <w:bCs/>
        </w:rPr>
        <w:t>24</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"_Toc9216" </w:instrText>
      </w:r>
      <w:r>
        <w:fldChar w:fldCharType="separate"/>
      </w:r>
      <w:r>
        <w:rPr>
          <w:rFonts w:hint="eastAsia" w:ascii="黑体" w:hAnsi="黑体" w:eastAsia="黑体" w:cs="黑体"/>
          <w:b w:val="0"/>
          <w:bCs/>
        </w:rPr>
        <w:t>七、询问、质疑、投诉</w:t>
      </w:r>
      <w:r>
        <w:rPr>
          <w:b w:val="0"/>
          <w:bCs/>
        </w:rPr>
        <w:tab/>
      </w:r>
      <w:r>
        <w:rPr>
          <w:b w:val="0"/>
          <w:bCs/>
        </w:rPr>
        <w:fldChar w:fldCharType="begin"/>
      </w:r>
      <w:r>
        <w:rPr>
          <w:b w:val="0"/>
          <w:bCs/>
        </w:rPr>
        <w:instrText xml:space="preserve"> PAGEREF _Toc9216 \h </w:instrText>
      </w:r>
      <w:r>
        <w:rPr>
          <w:b w:val="0"/>
          <w:bCs/>
        </w:rPr>
        <w:fldChar w:fldCharType="separate"/>
      </w:r>
      <w:r>
        <w:rPr>
          <w:b w:val="0"/>
          <w:bCs/>
        </w:rPr>
        <w:t>24</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"_Toc26762" </w:instrText>
      </w:r>
      <w:r>
        <w:fldChar w:fldCharType="separate"/>
      </w:r>
      <w:r>
        <w:rPr>
          <w:rFonts w:hint="eastAsia" w:ascii="黑体" w:hAnsi="黑体" w:eastAsia="黑体" w:cs="黑体"/>
          <w:b w:val="0"/>
          <w:bCs/>
        </w:rPr>
        <w:t>八、合同的签订及履行</w:t>
      </w:r>
      <w:r>
        <w:rPr>
          <w:b w:val="0"/>
          <w:bCs/>
        </w:rPr>
        <w:tab/>
      </w:r>
      <w:r>
        <w:rPr>
          <w:b w:val="0"/>
          <w:bCs/>
        </w:rPr>
        <w:fldChar w:fldCharType="begin"/>
      </w:r>
      <w:r>
        <w:rPr>
          <w:b w:val="0"/>
          <w:bCs/>
        </w:rPr>
        <w:instrText xml:space="preserve"> PAGEREF _Toc26762 \h </w:instrText>
      </w:r>
      <w:r>
        <w:rPr>
          <w:b w:val="0"/>
          <w:bCs/>
        </w:rPr>
        <w:fldChar w:fldCharType="separate"/>
      </w:r>
      <w:r>
        <w:rPr>
          <w:b w:val="0"/>
          <w:bCs/>
        </w:rPr>
        <w:t>26</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"_Toc7277" </w:instrText>
      </w:r>
      <w:r>
        <w:fldChar w:fldCharType="separate"/>
      </w:r>
      <w:r>
        <w:rPr>
          <w:rFonts w:hint="eastAsia" w:ascii="黑体" w:hAnsi="黑体" w:eastAsia="黑体" w:cs="黑体"/>
          <w:b w:val="0"/>
          <w:bCs/>
        </w:rPr>
        <w:t>九、采购代理服务费</w:t>
      </w:r>
      <w:r>
        <w:rPr>
          <w:b w:val="0"/>
          <w:bCs/>
        </w:rPr>
        <w:tab/>
      </w:r>
      <w:r>
        <w:rPr>
          <w:b w:val="0"/>
          <w:bCs/>
        </w:rPr>
        <w:fldChar w:fldCharType="begin"/>
      </w:r>
      <w:r>
        <w:rPr>
          <w:b w:val="0"/>
          <w:bCs/>
        </w:rPr>
        <w:instrText xml:space="preserve"> PAGEREF _Toc7277 \h </w:instrText>
      </w:r>
      <w:r>
        <w:rPr>
          <w:b w:val="0"/>
          <w:bCs/>
        </w:rPr>
        <w:fldChar w:fldCharType="separate"/>
      </w:r>
      <w:r>
        <w:rPr>
          <w:b w:val="0"/>
          <w:bCs/>
        </w:rPr>
        <w:t>27</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"_Toc5101" </w:instrText>
      </w:r>
      <w:r>
        <w:fldChar w:fldCharType="separate"/>
      </w:r>
      <w:r>
        <w:rPr>
          <w:rFonts w:hint="eastAsia" w:ascii="黑体" w:hAnsi="黑体" w:eastAsia="黑体" w:cs="黑体"/>
          <w:b w:val="0"/>
          <w:bCs/>
        </w:rPr>
        <w:t>十、其它事项</w:t>
      </w:r>
      <w:r>
        <w:rPr>
          <w:b w:val="0"/>
          <w:bCs/>
        </w:rPr>
        <w:tab/>
      </w:r>
      <w:r>
        <w:rPr>
          <w:b w:val="0"/>
          <w:bCs/>
        </w:rPr>
        <w:fldChar w:fldCharType="begin"/>
      </w:r>
      <w:r>
        <w:rPr>
          <w:b w:val="0"/>
          <w:bCs/>
        </w:rPr>
        <w:instrText xml:space="preserve"> PAGEREF _Toc5101 \h </w:instrText>
      </w:r>
      <w:r>
        <w:rPr>
          <w:b w:val="0"/>
          <w:bCs/>
        </w:rPr>
        <w:fldChar w:fldCharType="separate"/>
      </w:r>
      <w:r>
        <w:rPr>
          <w:b w:val="0"/>
          <w:bCs/>
        </w:rPr>
        <w:t>27</w:t>
      </w:r>
      <w:r>
        <w:rPr>
          <w:b w:val="0"/>
          <w:bCs/>
        </w:rPr>
        <w:fldChar w:fldCharType="end"/>
      </w:r>
      <w:r>
        <w:rPr>
          <w:b w:val="0"/>
          <w:bCs/>
        </w:rPr>
        <w:fldChar w:fldCharType="end"/>
      </w:r>
    </w:p>
    <w:p>
      <w:pPr>
        <w:pStyle w:val="17"/>
        <w:tabs>
          <w:tab w:val="right" w:leader="dot" w:pos="9747"/>
        </w:tabs>
        <w:rPr>
          <w:b/>
        </w:rPr>
      </w:pPr>
      <w:r>
        <w:fldChar w:fldCharType="begin"/>
      </w:r>
      <w:r>
        <w:instrText xml:space="preserve"> HYPERLINK \l "_Toc27874" </w:instrText>
      </w:r>
      <w:r>
        <w:fldChar w:fldCharType="separate"/>
      </w:r>
      <w:r>
        <w:rPr>
          <w:rFonts w:hint="eastAsia" w:ascii="黑体" w:hAnsi="黑体" w:eastAsia="黑体" w:cs="黑体"/>
          <w:b/>
          <w:szCs w:val="32"/>
        </w:rPr>
        <w:t>第四部分 磋商、评审、成交</w:t>
      </w:r>
      <w:r>
        <w:rPr>
          <w:b/>
        </w:rPr>
        <w:tab/>
      </w:r>
      <w:r>
        <w:rPr>
          <w:b/>
        </w:rPr>
        <w:fldChar w:fldCharType="begin"/>
      </w:r>
      <w:r>
        <w:rPr>
          <w:b/>
        </w:rPr>
        <w:instrText xml:space="preserve"> PAGEREF _Toc27874 \h </w:instrText>
      </w:r>
      <w:r>
        <w:rPr>
          <w:b/>
        </w:rPr>
        <w:fldChar w:fldCharType="separate"/>
      </w:r>
      <w:r>
        <w:rPr>
          <w:b/>
        </w:rPr>
        <w:t>30</w:t>
      </w:r>
      <w:r>
        <w:rPr>
          <w:b/>
        </w:rPr>
        <w:fldChar w:fldCharType="end"/>
      </w:r>
      <w:r>
        <w:rPr>
          <w:b/>
        </w:rPr>
        <w:fldChar w:fldCharType="end"/>
      </w:r>
    </w:p>
    <w:p>
      <w:pPr>
        <w:pStyle w:val="20"/>
        <w:tabs>
          <w:tab w:val="right" w:leader="dot" w:pos="9747"/>
          <w:tab w:val="clear" w:pos="8302"/>
        </w:tabs>
        <w:rPr>
          <w:b w:val="0"/>
          <w:bCs/>
        </w:rPr>
      </w:pPr>
      <w:r>
        <w:fldChar w:fldCharType="begin"/>
      </w:r>
      <w:r>
        <w:instrText xml:space="preserve"> HYPERLINK \l "_Toc30935" </w:instrText>
      </w:r>
      <w:r>
        <w:fldChar w:fldCharType="separate"/>
      </w:r>
      <w:r>
        <w:rPr>
          <w:rFonts w:hint="eastAsia" w:ascii="黑体" w:hAnsi="黑体" w:eastAsia="黑体" w:cs="黑体"/>
          <w:b w:val="0"/>
          <w:bCs/>
        </w:rPr>
        <w:t>一、开启响应文件</w:t>
      </w:r>
      <w:r>
        <w:rPr>
          <w:b w:val="0"/>
          <w:bCs/>
        </w:rPr>
        <w:tab/>
      </w:r>
      <w:r>
        <w:rPr>
          <w:b w:val="0"/>
          <w:bCs/>
        </w:rPr>
        <w:fldChar w:fldCharType="begin"/>
      </w:r>
      <w:r>
        <w:rPr>
          <w:b w:val="0"/>
          <w:bCs/>
        </w:rPr>
        <w:instrText xml:space="preserve"> PAGEREF _Toc30935 \h </w:instrText>
      </w:r>
      <w:r>
        <w:rPr>
          <w:b w:val="0"/>
          <w:bCs/>
        </w:rPr>
        <w:fldChar w:fldCharType="separate"/>
      </w:r>
      <w:r>
        <w:rPr>
          <w:b w:val="0"/>
          <w:bCs/>
        </w:rPr>
        <w:t>30</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"_Toc20713" </w:instrText>
      </w:r>
      <w:r>
        <w:fldChar w:fldCharType="separate"/>
      </w:r>
      <w:r>
        <w:rPr>
          <w:rFonts w:hint="eastAsia" w:ascii="黑体" w:hAnsi="黑体" w:eastAsia="黑体" w:cs="黑体"/>
          <w:b w:val="0"/>
          <w:bCs/>
        </w:rPr>
        <w:t>二、组织评审</w:t>
      </w:r>
      <w:r>
        <w:rPr>
          <w:b w:val="0"/>
          <w:bCs/>
        </w:rPr>
        <w:tab/>
      </w:r>
      <w:r>
        <w:rPr>
          <w:b w:val="0"/>
          <w:bCs/>
        </w:rPr>
        <w:fldChar w:fldCharType="begin"/>
      </w:r>
      <w:r>
        <w:rPr>
          <w:b w:val="0"/>
          <w:bCs/>
        </w:rPr>
        <w:instrText xml:space="preserve"> PAGEREF _Toc20713 \h </w:instrText>
      </w:r>
      <w:r>
        <w:rPr>
          <w:b w:val="0"/>
          <w:bCs/>
        </w:rPr>
        <w:fldChar w:fldCharType="separate"/>
      </w:r>
      <w:r>
        <w:rPr>
          <w:b w:val="0"/>
          <w:bCs/>
        </w:rPr>
        <w:t>30</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"_Toc21394" </w:instrText>
      </w:r>
      <w:r>
        <w:fldChar w:fldCharType="separate"/>
      </w:r>
      <w:r>
        <w:rPr>
          <w:rFonts w:hint="eastAsia" w:ascii="黑体" w:hAnsi="黑体" w:eastAsia="黑体" w:cs="黑体"/>
          <w:b w:val="0"/>
          <w:bCs/>
        </w:rPr>
        <w:t>三、成交</w:t>
      </w:r>
      <w:r>
        <w:rPr>
          <w:b w:val="0"/>
          <w:bCs/>
        </w:rPr>
        <w:tab/>
      </w:r>
      <w:r>
        <w:rPr>
          <w:b w:val="0"/>
          <w:bCs/>
        </w:rPr>
        <w:fldChar w:fldCharType="begin"/>
      </w:r>
      <w:r>
        <w:rPr>
          <w:b w:val="0"/>
          <w:bCs/>
        </w:rPr>
        <w:instrText xml:space="preserve"> PAGEREF _Toc21394 \h </w:instrText>
      </w:r>
      <w:r>
        <w:rPr>
          <w:b w:val="0"/>
          <w:bCs/>
        </w:rPr>
        <w:fldChar w:fldCharType="separate"/>
      </w:r>
      <w:r>
        <w:rPr>
          <w:b w:val="0"/>
          <w:bCs/>
        </w:rPr>
        <w:t>37</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"_Toc28390" </w:instrText>
      </w:r>
      <w:r>
        <w:fldChar w:fldCharType="separate"/>
      </w:r>
      <w:r>
        <w:rPr>
          <w:rFonts w:hint="eastAsia" w:ascii="黑体" w:hAnsi="黑体" w:eastAsia="黑体" w:cs="黑体"/>
          <w:b w:val="0"/>
          <w:bCs/>
        </w:rPr>
        <w:t>四、其他</w:t>
      </w:r>
      <w:r>
        <w:rPr>
          <w:b w:val="0"/>
          <w:bCs/>
        </w:rPr>
        <w:tab/>
      </w:r>
      <w:r>
        <w:rPr>
          <w:b w:val="0"/>
          <w:bCs/>
        </w:rPr>
        <w:fldChar w:fldCharType="begin"/>
      </w:r>
      <w:r>
        <w:rPr>
          <w:b w:val="0"/>
          <w:bCs/>
        </w:rPr>
        <w:instrText xml:space="preserve"> PAGEREF _Toc28390 \h </w:instrText>
      </w:r>
      <w:r>
        <w:rPr>
          <w:b w:val="0"/>
          <w:bCs/>
        </w:rPr>
        <w:fldChar w:fldCharType="separate"/>
      </w:r>
      <w:r>
        <w:rPr>
          <w:b w:val="0"/>
          <w:bCs/>
        </w:rPr>
        <w:t>38</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"_Toc10028" </w:instrText>
      </w:r>
      <w:r>
        <w:fldChar w:fldCharType="separate"/>
      </w:r>
      <w:r>
        <w:rPr>
          <w:rFonts w:hint="eastAsia" w:ascii="黑体" w:eastAsia="黑体" w:cs="黑体"/>
          <w:b w:val="0"/>
          <w:bCs/>
          <w:szCs w:val="24"/>
        </w:rPr>
        <w:t>附表1：《资格审查表》</w:t>
      </w:r>
      <w:r>
        <w:rPr>
          <w:b w:val="0"/>
          <w:bCs/>
        </w:rPr>
        <w:tab/>
      </w:r>
      <w:r>
        <w:rPr>
          <w:b w:val="0"/>
          <w:bCs/>
        </w:rPr>
        <w:fldChar w:fldCharType="begin"/>
      </w:r>
      <w:r>
        <w:rPr>
          <w:b w:val="0"/>
          <w:bCs/>
        </w:rPr>
        <w:instrText xml:space="preserve"> PAGEREF _Toc10028 \h </w:instrText>
      </w:r>
      <w:r>
        <w:rPr>
          <w:b w:val="0"/>
          <w:bCs/>
        </w:rPr>
        <w:fldChar w:fldCharType="separate"/>
      </w:r>
      <w:r>
        <w:rPr>
          <w:b w:val="0"/>
          <w:bCs/>
        </w:rPr>
        <w:t>39</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"_Toc17156" </w:instrText>
      </w:r>
      <w:r>
        <w:fldChar w:fldCharType="separate"/>
      </w:r>
      <w:r>
        <w:rPr>
          <w:rFonts w:hint="eastAsia" w:ascii="黑体" w:eastAsia="黑体" w:cs="黑体"/>
          <w:b w:val="0"/>
          <w:bCs/>
          <w:szCs w:val="24"/>
        </w:rPr>
        <w:t>附表2：《符合性审查表》</w:t>
      </w:r>
      <w:r>
        <w:rPr>
          <w:b w:val="0"/>
          <w:bCs/>
        </w:rPr>
        <w:tab/>
      </w:r>
      <w:r>
        <w:rPr>
          <w:b w:val="0"/>
          <w:bCs/>
        </w:rPr>
        <w:fldChar w:fldCharType="begin"/>
      </w:r>
      <w:r>
        <w:rPr>
          <w:b w:val="0"/>
          <w:bCs/>
        </w:rPr>
        <w:instrText xml:space="preserve"> PAGEREF _Toc17156 \h </w:instrText>
      </w:r>
      <w:r>
        <w:rPr>
          <w:b w:val="0"/>
          <w:bCs/>
        </w:rPr>
        <w:fldChar w:fldCharType="separate"/>
      </w:r>
      <w:r>
        <w:rPr>
          <w:b w:val="0"/>
          <w:bCs/>
        </w:rPr>
        <w:t>41</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"_Toc14127" </w:instrText>
      </w:r>
      <w:r>
        <w:fldChar w:fldCharType="separate"/>
      </w:r>
      <w:r>
        <w:rPr>
          <w:rFonts w:hint="eastAsia" w:ascii="黑体" w:eastAsia="黑体" w:cs="黑体"/>
          <w:b w:val="0"/>
          <w:bCs/>
          <w:szCs w:val="24"/>
        </w:rPr>
        <w:t>附表3：《价格评审表》</w:t>
      </w:r>
      <w:r>
        <w:rPr>
          <w:b w:val="0"/>
          <w:bCs/>
        </w:rPr>
        <w:tab/>
      </w:r>
      <w:r>
        <w:rPr>
          <w:b w:val="0"/>
          <w:bCs/>
        </w:rPr>
        <w:fldChar w:fldCharType="begin"/>
      </w:r>
      <w:r>
        <w:rPr>
          <w:b w:val="0"/>
          <w:bCs/>
        </w:rPr>
        <w:instrText xml:space="preserve"> PAGEREF _Toc14127 \h </w:instrText>
      </w:r>
      <w:r>
        <w:rPr>
          <w:b w:val="0"/>
          <w:bCs/>
        </w:rPr>
        <w:fldChar w:fldCharType="separate"/>
      </w:r>
      <w:r>
        <w:rPr>
          <w:b w:val="0"/>
          <w:bCs/>
        </w:rPr>
        <w:t>42</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"_Toc645" </w:instrText>
      </w:r>
      <w:r>
        <w:fldChar w:fldCharType="separate"/>
      </w:r>
      <w:r>
        <w:rPr>
          <w:rFonts w:hint="eastAsia" w:ascii="黑体" w:eastAsia="黑体" w:cs="黑体"/>
          <w:b w:val="0"/>
          <w:bCs/>
          <w:szCs w:val="24"/>
        </w:rPr>
        <w:t>附表4：《技术评审表》</w:t>
      </w:r>
      <w:r>
        <w:rPr>
          <w:b w:val="0"/>
          <w:bCs/>
        </w:rPr>
        <w:tab/>
      </w:r>
      <w:r>
        <w:rPr>
          <w:b w:val="0"/>
          <w:bCs/>
        </w:rPr>
        <w:fldChar w:fldCharType="begin"/>
      </w:r>
      <w:r>
        <w:rPr>
          <w:b w:val="0"/>
          <w:bCs/>
        </w:rPr>
        <w:instrText xml:space="preserve"> PAGEREF _Toc645 \h </w:instrText>
      </w:r>
      <w:r>
        <w:rPr>
          <w:b w:val="0"/>
          <w:bCs/>
        </w:rPr>
        <w:fldChar w:fldCharType="separate"/>
      </w:r>
      <w:r>
        <w:rPr>
          <w:b w:val="0"/>
          <w:bCs/>
        </w:rPr>
        <w:t>43</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"_Toc27695" </w:instrText>
      </w:r>
      <w:r>
        <w:fldChar w:fldCharType="separate"/>
      </w:r>
      <w:r>
        <w:rPr>
          <w:rFonts w:hint="eastAsia" w:ascii="黑体" w:eastAsia="黑体" w:cs="黑体"/>
          <w:b w:val="0"/>
          <w:bCs/>
          <w:szCs w:val="24"/>
        </w:rPr>
        <w:t>附表5：《商务评审表》</w:t>
      </w:r>
      <w:r>
        <w:rPr>
          <w:b w:val="0"/>
          <w:bCs/>
        </w:rPr>
        <w:tab/>
      </w:r>
      <w:r>
        <w:rPr>
          <w:b w:val="0"/>
          <w:bCs/>
        </w:rPr>
        <w:fldChar w:fldCharType="begin"/>
      </w:r>
      <w:r>
        <w:rPr>
          <w:b w:val="0"/>
          <w:bCs/>
        </w:rPr>
        <w:instrText xml:space="preserve"> PAGEREF _Toc27695 \h </w:instrText>
      </w:r>
      <w:r>
        <w:rPr>
          <w:b w:val="0"/>
          <w:bCs/>
        </w:rPr>
        <w:fldChar w:fldCharType="separate"/>
      </w:r>
      <w:r>
        <w:rPr>
          <w:b w:val="0"/>
          <w:bCs/>
        </w:rPr>
        <w:t>45</w:t>
      </w:r>
      <w:r>
        <w:rPr>
          <w:b w:val="0"/>
          <w:bCs/>
        </w:rPr>
        <w:fldChar w:fldCharType="end"/>
      </w:r>
      <w:r>
        <w:rPr>
          <w:b w:val="0"/>
          <w:bCs/>
        </w:rPr>
        <w:fldChar w:fldCharType="end"/>
      </w:r>
    </w:p>
    <w:p>
      <w:pPr>
        <w:pStyle w:val="17"/>
        <w:tabs>
          <w:tab w:val="right" w:leader="dot" w:pos="9747"/>
        </w:tabs>
        <w:rPr>
          <w:b/>
        </w:rPr>
      </w:pPr>
      <w:r>
        <w:fldChar w:fldCharType="begin"/>
      </w:r>
      <w:r>
        <w:instrText xml:space="preserve"> HYPERLINK \l "_Toc17058" </w:instrText>
      </w:r>
      <w:r>
        <w:fldChar w:fldCharType="separate"/>
      </w:r>
      <w:r>
        <w:rPr>
          <w:rFonts w:hint="eastAsia" w:ascii="黑体" w:hAnsi="黑体" w:eastAsia="黑体" w:cs="黑体"/>
          <w:b/>
          <w:szCs w:val="32"/>
        </w:rPr>
        <w:t>第五部分 政府采购合同格式</w:t>
      </w:r>
      <w:r>
        <w:rPr>
          <w:b/>
        </w:rPr>
        <w:tab/>
      </w:r>
      <w:r>
        <w:rPr>
          <w:b/>
        </w:rPr>
        <w:fldChar w:fldCharType="begin"/>
      </w:r>
      <w:r>
        <w:rPr>
          <w:b/>
        </w:rPr>
        <w:instrText xml:space="preserve"> PAGEREF _Toc17058 \h </w:instrText>
      </w:r>
      <w:r>
        <w:rPr>
          <w:b/>
        </w:rPr>
        <w:fldChar w:fldCharType="separate"/>
      </w:r>
      <w:r>
        <w:rPr>
          <w:b/>
        </w:rPr>
        <w:t>46</w:t>
      </w:r>
      <w:r>
        <w:rPr>
          <w:b/>
        </w:rPr>
        <w:fldChar w:fldCharType="end"/>
      </w:r>
      <w:r>
        <w:rPr>
          <w:b/>
        </w:rPr>
        <w:fldChar w:fldCharType="end"/>
      </w:r>
    </w:p>
    <w:p>
      <w:pPr>
        <w:pStyle w:val="17"/>
        <w:tabs>
          <w:tab w:val="right" w:leader="dot" w:pos="9747"/>
        </w:tabs>
        <w:rPr>
          <w:b/>
        </w:rPr>
      </w:pPr>
      <w:r>
        <w:fldChar w:fldCharType="begin"/>
      </w:r>
      <w:r>
        <w:instrText xml:space="preserve"> HYPERLINK \l "_Toc16885" </w:instrText>
      </w:r>
      <w:r>
        <w:fldChar w:fldCharType="separate"/>
      </w:r>
      <w:r>
        <w:rPr>
          <w:rFonts w:hint="eastAsia" w:ascii="黑体" w:hAnsi="黑体" w:eastAsia="黑体" w:cs="黑体"/>
          <w:b/>
          <w:szCs w:val="32"/>
        </w:rPr>
        <w:t xml:space="preserve">第六部分 </w:t>
      </w:r>
      <w:r>
        <w:rPr>
          <w:rFonts w:hint="eastAsia" w:ascii="黑体" w:hAnsi="黑体" w:eastAsia="黑体" w:cs="黑体"/>
          <w:b/>
          <w:szCs w:val="32"/>
          <w:lang w:val="zh-CN"/>
        </w:rPr>
        <w:t>响应文件格式</w:t>
      </w:r>
      <w:r>
        <w:rPr>
          <w:b/>
        </w:rPr>
        <w:tab/>
      </w:r>
      <w:r>
        <w:rPr>
          <w:b/>
        </w:rPr>
        <w:fldChar w:fldCharType="begin"/>
      </w:r>
      <w:r>
        <w:rPr>
          <w:b/>
        </w:rPr>
        <w:instrText xml:space="preserve"> PAGEREF _Toc16885 \h </w:instrText>
      </w:r>
      <w:r>
        <w:rPr>
          <w:b/>
        </w:rPr>
        <w:fldChar w:fldCharType="separate"/>
      </w:r>
      <w:r>
        <w:rPr>
          <w:b/>
        </w:rPr>
        <w:t>46</w:t>
      </w:r>
      <w:r>
        <w:rPr>
          <w:b/>
        </w:rPr>
        <w:fldChar w:fldCharType="end"/>
      </w:r>
      <w:r>
        <w:rPr>
          <w:b/>
        </w:rPr>
        <w:fldChar w:fldCharType="end"/>
      </w:r>
    </w:p>
    <w:p>
      <w:pPr>
        <w:pStyle w:val="20"/>
        <w:tabs>
          <w:tab w:val="right" w:leader="dot" w:pos="9747"/>
          <w:tab w:val="clear" w:pos="8302"/>
        </w:tabs>
        <w:rPr>
          <w:b w:val="0"/>
          <w:bCs/>
        </w:rPr>
      </w:pPr>
      <w:r>
        <w:fldChar w:fldCharType="begin"/>
      </w:r>
      <w:r>
        <w:instrText xml:space="preserve"> HYPERLINK \l "_Toc23545" </w:instrText>
      </w:r>
      <w:r>
        <w:fldChar w:fldCharType="separate"/>
      </w:r>
      <w:r>
        <w:rPr>
          <w:rFonts w:hint="eastAsia" w:ascii="黑体" w:eastAsia="黑体" w:cs="仿宋"/>
          <w:b w:val="0"/>
          <w:bCs/>
          <w:szCs w:val="32"/>
        </w:rPr>
        <w:t>一、资格证明文件</w:t>
      </w:r>
      <w:r>
        <w:rPr>
          <w:b w:val="0"/>
          <w:bCs/>
        </w:rPr>
        <w:tab/>
      </w:r>
      <w:r>
        <w:rPr>
          <w:b w:val="0"/>
          <w:bCs/>
        </w:rPr>
        <w:fldChar w:fldCharType="begin"/>
      </w:r>
      <w:r>
        <w:rPr>
          <w:b w:val="0"/>
          <w:bCs/>
        </w:rPr>
        <w:instrText xml:space="preserve"> PAGEREF _Toc23545 \h </w:instrText>
      </w:r>
      <w:r>
        <w:rPr>
          <w:b w:val="0"/>
          <w:bCs/>
        </w:rPr>
        <w:fldChar w:fldCharType="separate"/>
      </w:r>
      <w:r>
        <w:rPr>
          <w:b w:val="0"/>
          <w:bCs/>
        </w:rPr>
        <w:t>54</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"_Toc17366" </w:instrText>
      </w:r>
      <w:r>
        <w:fldChar w:fldCharType="separate"/>
      </w:r>
      <w:r>
        <w:rPr>
          <w:rFonts w:hint="eastAsia" w:ascii="黑体" w:eastAsia="黑体" w:cs="仿宋"/>
          <w:b w:val="0"/>
          <w:bCs/>
          <w:szCs w:val="32"/>
        </w:rPr>
        <w:t>二、自查表</w:t>
      </w:r>
      <w:r>
        <w:rPr>
          <w:b w:val="0"/>
          <w:bCs/>
        </w:rPr>
        <w:tab/>
      </w:r>
      <w:r>
        <w:rPr>
          <w:b w:val="0"/>
          <w:bCs/>
        </w:rPr>
        <w:fldChar w:fldCharType="begin"/>
      </w:r>
      <w:r>
        <w:rPr>
          <w:b w:val="0"/>
          <w:bCs/>
        </w:rPr>
        <w:instrText xml:space="preserve"> PAGEREF _Toc17366 \h </w:instrText>
      </w:r>
      <w:r>
        <w:rPr>
          <w:b w:val="0"/>
          <w:bCs/>
        </w:rPr>
        <w:fldChar w:fldCharType="separate"/>
      </w:r>
      <w:r>
        <w:rPr>
          <w:b w:val="0"/>
          <w:bCs/>
        </w:rPr>
        <w:t>66</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"_Toc23471" </w:instrText>
      </w:r>
      <w:r>
        <w:fldChar w:fldCharType="separate"/>
      </w:r>
      <w:r>
        <w:rPr>
          <w:rFonts w:hint="eastAsia" w:ascii="黑体" w:eastAsia="黑体" w:cs="仿宋"/>
          <w:b w:val="0"/>
          <w:bCs/>
          <w:szCs w:val="32"/>
        </w:rPr>
        <w:t>三、响应函（格式）</w:t>
      </w:r>
      <w:r>
        <w:rPr>
          <w:b w:val="0"/>
          <w:bCs/>
        </w:rPr>
        <w:tab/>
      </w:r>
      <w:r>
        <w:rPr>
          <w:b w:val="0"/>
          <w:bCs/>
        </w:rPr>
        <w:fldChar w:fldCharType="begin"/>
      </w:r>
      <w:r>
        <w:rPr>
          <w:b w:val="0"/>
          <w:bCs/>
        </w:rPr>
        <w:instrText xml:space="preserve"> PAGEREF _Toc23471 \h </w:instrText>
      </w:r>
      <w:r>
        <w:rPr>
          <w:b w:val="0"/>
          <w:bCs/>
        </w:rPr>
        <w:fldChar w:fldCharType="separate"/>
      </w:r>
      <w:r>
        <w:rPr>
          <w:b w:val="0"/>
          <w:bCs/>
        </w:rPr>
        <w:t>71</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"_Toc4675" </w:instrText>
      </w:r>
      <w:r>
        <w:fldChar w:fldCharType="separate"/>
      </w:r>
      <w:r>
        <w:rPr>
          <w:rFonts w:hint="eastAsia" w:ascii="黑体" w:eastAsia="黑体" w:cs="仿宋"/>
          <w:b w:val="0"/>
          <w:bCs/>
          <w:szCs w:val="32"/>
        </w:rPr>
        <w:t>四、报价表</w:t>
      </w:r>
      <w:r>
        <w:rPr>
          <w:b w:val="0"/>
          <w:bCs/>
        </w:rPr>
        <w:tab/>
      </w:r>
      <w:r>
        <w:rPr>
          <w:b w:val="0"/>
          <w:bCs/>
        </w:rPr>
        <w:fldChar w:fldCharType="begin"/>
      </w:r>
      <w:r>
        <w:rPr>
          <w:b w:val="0"/>
          <w:bCs/>
        </w:rPr>
        <w:instrText xml:space="preserve"> PAGEREF _Toc4675 \h </w:instrText>
      </w:r>
      <w:r>
        <w:rPr>
          <w:b w:val="0"/>
          <w:bCs/>
        </w:rPr>
        <w:fldChar w:fldCharType="separate"/>
      </w:r>
      <w:r>
        <w:rPr>
          <w:b w:val="0"/>
          <w:bCs/>
        </w:rPr>
        <w:t>73</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"_Toc28380" </w:instrText>
      </w:r>
      <w:r>
        <w:fldChar w:fldCharType="separate"/>
      </w:r>
      <w:r>
        <w:rPr>
          <w:rFonts w:hint="eastAsia" w:ascii="黑体" w:eastAsia="黑体" w:cs="黑体"/>
          <w:b w:val="0"/>
          <w:bCs/>
          <w:szCs w:val="32"/>
        </w:rPr>
        <w:t>五、技术部分</w:t>
      </w:r>
      <w:r>
        <w:rPr>
          <w:b w:val="0"/>
          <w:bCs/>
        </w:rPr>
        <w:tab/>
      </w:r>
      <w:r>
        <w:rPr>
          <w:b w:val="0"/>
          <w:bCs/>
        </w:rPr>
        <w:fldChar w:fldCharType="begin"/>
      </w:r>
      <w:r>
        <w:rPr>
          <w:b w:val="0"/>
          <w:bCs/>
        </w:rPr>
        <w:instrText xml:space="preserve"> PAGEREF _Toc28380 \h </w:instrText>
      </w:r>
      <w:r>
        <w:rPr>
          <w:b w:val="0"/>
          <w:bCs/>
        </w:rPr>
        <w:fldChar w:fldCharType="separate"/>
      </w:r>
      <w:r>
        <w:rPr>
          <w:b w:val="0"/>
          <w:bCs/>
        </w:rPr>
        <w:t>77</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"_Toc10245" </w:instrText>
      </w:r>
      <w:r>
        <w:fldChar w:fldCharType="separate"/>
      </w:r>
      <w:r>
        <w:rPr>
          <w:rFonts w:hint="eastAsia" w:ascii="黑体" w:eastAsia="黑体" w:cs="黑体"/>
          <w:b w:val="0"/>
          <w:bCs/>
          <w:szCs w:val="32"/>
        </w:rPr>
        <w:t>六、商务部分</w:t>
      </w:r>
      <w:r>
        <w:rPr>
          <w:b w:val="0"/>
          <w:bCs/>
        </w:rPr>
        <w:tab/>
      </w:r>
      <w:r>
        <w:rPr>
          <w:b w:val="0"/>
          <w:bCs/>
        </w:rPr>
        <w:fldChar w:fldCharType="begin"/>
      </w:r>
      <w:r>
        <w:rPr>
          <w:b w:val="0"/>
          <w:bCs/>
        </w:rPr>
        <w:instrText xml:space="preserve"> PAGEREF _Toc10245 \h </w:instrText>
      </w:r>
      <w:r>
        <w:rPr>
          <w:b w:val="0"/>
          <w:bCs/>
        </w:rPr>
        <w:fldChar w:fldCharType="separate"/>
      </w:r>
      <w:r>
        <w:rPr>
          <w:b w:val="0"/>
          <w:bCs/>
        </w:rPr>
        <w:t>78</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"_Toc24536" </w:instrText>
      </w:r>
      <w:r>
        <w:fldChar w:fldCharType="separate"/>
      </w:r>
      <w:r>
        <w:rPr>
          <w:rFonts w:hint="eastAsia" w:ascii="黑体" w:hAnsi="黑体" w:eastAsia="黑体" w:cs="黑体"/>
          <w:b w:val="0"/>
          <w:bCs/>
          <w:szCs w:val="32"/>
        </w:rPr>
        <w:t>七、供应商认为必要说明的其它内容</w:t>
      </w:r>
      <w:r>
        <w:rPr>
          <w:b w:val="0"/>
          <w:bCs/>
        </w:rPr>
        <w:tab/>
      </w:r>
      <w:r>
        <w:rPr>
          <w:b w:val="0"/>
          <w:bCs/>
        </w:rPr>
        <w:fldChar w:fldCharType="begin"/>
      </w:r>
      <w:r>
        <w:rPr>
          <w:b w:val="0"/>
          <w:bCs/>
        </w:rPr>
        <w:instrText xml:space="preserve"> PAGEREF _Toc24536 \h </w:instrText>
      </w:r>
      <w:r>
        <w:rPr>
          <w:b w:val="0"/>
          <w:bCs/>
        </w:rPr>
        <w:fldChar w:fldCharType="separate"/>
      </w:r>
      <w:r>
        <w:rPr>
          <w:b w:val="0"/>
          <w:bCs/>
        </w:rPr>
        <w:t>82</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"_Toc24041" </w:instrText>
      </w:r>
      <w:r>
        <w:fldChar w:fldCharType="separate"/>
      </w:r>
      <w:r>
        <w:rPr>
          <w:rFonts w:hint="eastAsia" w:ascii="黑体" w:hAnsi="黑体" w:eastAsia="黑体" w:cs="黑体"/>
          <w:b w:val="0"/>
          <w:bCs/>
          <w:szCs w:val="32"/>
        </w:rPr>
        <w:t>八、承诺书</w:t>
      </w:r>
      <w:r>
        <w:rPr>
          <w:b w:val="0"/>
          <w:bCs/>
        </w:rPr>
        <w:tab/>
      </w:r>
      <w:r>
        <w:rPr>
          <w:b w:val="0"/>
          <w:bCs/>
        </w:rPr>
        <w:fldChar w:fldCharType="begin"/>
      </w:r>
      <w:r>
        <w:rPr>
          <w:b w:val="0"/>
          <w:bCs/>
        </w:rPr>
        <w:instrText xml:space="preserve"> PAGEREF _Toc24041 \h </w:instrText>
      </w:r>
      <w:r>
        <w:rPr>
          <w:b w:val="0"/>
          <w:bCs/>
        </w:rPr>
        <w:fldChar w:fldCharType="separate"/>
      </w:r>
      <w:r>
        <w:rPr>
          <w:b w:val="0"/>
          <w:bCs/>
        </w:rPr>
        <w:t>83</w:t>
      </w:r>
      <w:r>
        <w:rPr>
          <w:b w:val="0"/>
          <w:bCs/>
        </w:rPr>
        <w:fldChar w:fldCharType="end"/>
      </w:r>
      <w:r>
        <w:rPr>
          <w:b w:val="0"/>
          <w:bCs/>
        </w:rPr>
        <w:fldChar w:fldCharType="end"/>
      </w:r>
    </w:p>
    <w:p>
      <w:pPr>
        <w:pStyle w:val="17"/>
        <w:tabs>
          <w:tab w:val="right" w:leader="dot" w:pos="9747"/>
        </w:tabs>
        <w:rPr>
          <w:b/>
        </w:rPr>
      </w:pPr>
      <w:r>
        <w:fldChar w:fldCharType="begin"/>
      </w:r>
      <w:r>
        <w:instrText xml:space="preserve"> HYPERLINK \l "_Toc17612" </w:instrText>
      </w:r>
      <w:r>
        <w:fldChar w:fldCharType="separate"/>
      </w:r>
      <w:r>
        <w:rPr>
          <w:rFonts w:hint="eastAsia" w:ascii="黑体" w:hAnsi="仿宋" w:eastAsia="黑体" w:cs="仿宋"/>
          <w:b/>
          <w:szCs w:val="32"/>
          <w:lang w:val="en-GB"/>
        </w:rPr>
        <w:t>询问函、质疑函格式</w:t>
      </w:r>
      <w:r>
        <w:rPr>
          <w:b/>
        </w:rPr>
        <w:tab/>
      </w:r>
      <w:r>
        <w:rPr>
          <w:b/>
        </w:rPr>
        <w:fldChar w:fldCharType="begin"/>
      </w:r>
      <w:r>
        <w:rPr>
          <w:b/>
        </w:rPr>
        <w:instrText xml:space="preserve"> PAGEREF _Toc17612 \h </w:instrText>
      </w:r>
      <w:r>
        <w:rPr>
          <w:b/>
        </w:rPr>
        <w:fldChar w:fldCharType="separate"/>
      </w:r>
      <w:r>
        <w:rPr>
          <w:b/>
        </w:rPr>
        <w:t>85</w:t>
      </w:r>
      <w:r>
        <w:rPr>
          <w:b/>
        </w:rPr>
        <w:fldChar w:fldCharType="end"/>
      </w:r>
      <w:r>
        <w:rPr>
          <w:b/>
        </w:rPr>
        <w:fldChar w:fldCharType="end"/>
      </w:r>
    </w:p>
    <w:p>
      <w:pPr>
        <w:pStyle w:val="20"/>
        <w:tabs>
          <w:tab w:val="right" w:leader="dot" w:pos="9747"/>
          <w:tab w:val="clear" w:pos="8302"/>
        </w:tabs>
        <w:rPr>
          <w:b w:val="0"/>
          <w:bCs/>
        </w:rPr>
      </w:pPr>
      <w:r>
        <w:fldChar w:fldCharType="begin"/>
      </w:r>
      <w:r>
        <w:instrText xml:space="preserve"> HYPERLINK \l "_Toc14289" </w:instrText>
      </w:r>
      <w:r>
        <w:fldChar w:fldCharType="separate"/>
      </w:r>
      <w:r>
        <w:rPr>
          <w:rFonts w:hint="eastAsia" w:ascii="黑体" w:hAnsi="黑体" w:eastAsia="黑体" w:cs="黑体"/>
          <w:b w:val="0"/>
          <w:bCs/>
          <w:szCs w:val="32"/>
          <w:lang w:val="en-GB"/>
        </w:rPr>
        <w:t>询问函</w:t>
      </w:r>
      <w:r>
        <w:rPr>
          <w:b w:val="0"/>
          <w:bCs/>
        </w:rPr>
        <w:tab/>
      </w:r>
      <w:r>
        <w:rPr>
          <w:b w:val="0"/>
          <w:bCs/>
        </w:rPr>
        <w:fldChar w:fldCharType="begin"/>
      </w:r>
      <w:r>
        <w:rPr>
          <w:b w:val="0"/>
          <w:bCs/>
        </w:rPr>
        <w:instrText xml:space="preserve"> PAGEREF _Toc14289 \h </w:instrText>
      </w:r>
      <w:r>
        <w:rPr>
          <w:b w:val="0"/>
          <w:bCs/>
        </w:rPr>
        <w:fldChar w:fldCharType="separate"/>
      </w:r>
      <w:r>
        <w:rPr>
          <w:b w:val="0"/>
          <w:bCs/>
        </w:rPr>
        <w:t>85</w:t>
      </w:r>
      <w:r>
        <w:rPr>
          <w:b w:val="0"/>
          <w:bCs/>
        </w:rPr>
        <w:fldChar w:fldCharType="end"/>
      </w:r>
      <w:r>
        <w:rPr>
          <w:b w:val="0"/>
          <w:bCs/>
        </w:rPr>
        <w:fldChar w:fldCharType="end"/>
      </w:r>
    </w:p>
    <w:p>
      <w:pPr>
        <w:pStyle w:val="20"/>
        <w:tabs>
          <w:tab w:val="right" w:leader="dot" w:pos="9747"/>
          <w:tab w:val="clear" w:pos="8302"/>
        </w:tabs>
        <w:rPr>
          <w:b w:val="0"/>
          <w:bCs/>
        </w:rPr>
      </w:pPr>
      <w:r>
        <w:fldChar w:fldCharType="begin"/>
      </w:r>
      <w:r>
        <w:instrText xml:space="preserve"> HYPERLINK \l "_Toc18152" </w:instrText>
      </w:r>
      <w:r>
        <w:fldChar w:fldCharType="separate"/>
      </w:r>
      <w:r>
        <w:rPr>
          <w:rFonts w:hint="eastAsia" w:ascii="黑体" w:hAnsi="黑体" w:eastAsia="黑体" w:cs="黑体"/>
          <w:b w:val="0"/>
          <w:bCs/>
          <w:szCs w:val="32"/>
          <w:lang w:val="en-GB"/>
        </w:rPr>
        <w:t>质疑</w:t>
      </w:r>
      <w:r>
        <w:rPr>
          <w:rFonts w:hint="eastAsia" w:ascii="黑体" w:hAnsi="黑体" w:eastAsia="黑体" w:cs="黑体"/>
          <w:b w:val="0"/>
          <w:bCs/>
          <w:szCs w:val="32"/>
        </w:rPr>
        <w:t>书</w:t>
      </w:r>
      <w:r>
        <w:rPr>
          <w:b w:val="0"/>
          <w:bCs/>
        </w:rPr>
        <w:tab/>
      </w:r>
      <w:r>
        <w:rPr>
          <w:b w:val="0"/>
          <w:bCs/>
        </w:rPr>
        <w:fldChar w:fldCharType="begin"/>
      </w:r>
      <w:r>
        <w:rPr>
          <w:b w:val="0"/>
          <w:bCs/>
        </w:rPr>
        <w:instrText xml:space="preserve"> PAGEREF _Toc18152 \h </w:instrText>
      </w:r>
      <w:r>
        <w:rPr>
          <w:b w:val="0"/>
          <w:bCs/>
        </w:rPr>
        <w:fldChar w:fldCharType="separate"/>
      </w:r>
      <w:r>
        <w:rPr>
          <w:b w:val="0"/>
          <w:bCs/>
        </w:rPr>
        <w:t>86</w:t>
      </w:r>
      <w:r>
        <w:rPr>
          <w:b w:val="0"/>
          <w:bCs/>
        </w:rPr>
        <w:fldChar w:fldCharType="end"/>
      </w:r>
      <w:r>
        <w:rPr>
          <w:b w:val="0"/>
          <w:bCs/>
        </w:rPr>
        <w:fldChar w:fldCharType="end"/>
      </w:r>
    </w:p>
    <w:p>
      <w:pPr>
        <w:pStyle w:val="17"/>
        <w:tabs>
          <w:tab w:val="right" w:leader="dot" w:pos="9747"/>
        </w:tabs>
        <w:rPr>
          <w:b/>
        </w:rPr>
      </w:pPr>
      <w:r>
        <w:fldChar w:fldCharType="begin"/>
      </w:r>
      <w:r>
        <w:instrText xml:space="preserve"> HYPERLINK \l "_Toc928" </w:instrText>
      </w:r>
      <w:r>
        <w:fldChar w:fldCharType="separate"/>
      </w:r>
      <w:r>
        <w:rPr>
          <w:rFonts w:hint="eastAsia" w:ascii="黑体" w:hAnsi="仿宋" w:eastAsia="黑体" w:cs="仿宋"/>
          <w:b/>
          <w:szCs w:val="32"/>
          <w:lang w:val="en-GB"/>
        </w:rPr>
        <w:t>封袋正面标识式样</w:t>
      </w:r>
      <w:r>
        <w:rPr>
          <w:b/>
        </w:rPr>
        <w:tab/>
      </w:r>
      <w:r>
        <w:rPr>
          <w:b/>
        </w:rPr>
        <w:fldChar w:fldCharType="begin"/>
      </w:r>
      <w:r>
        <w:rPr>
          <w:b/>
        </w:rPr>
        <w:instrText xml:space="preserve"> PAGEREF _Toc928 \h </w:instrText>
      </w:r>
      <w:r>
        <w:rPr>
          <w:b/>
        </w:rPr>
        <w:fldChar w:fldCharType="separate"/>
      </w:r>
      <w:r>
        <w:rPr>
          <w:b/>
        </w:rPr>
        <w:t>88</w:t>
      </w:r>
      <w:r>
        <w:rPr>
          <w:b/>
        </w:rPr>
        <w:fldChar w:fldCharType="end"/>
      </w:r>
      <w:r>
        <w:rPr>
          <w:b/>
        </w:rPr>
        <w:fldChar w:fldCharType="end"/>
      </w:r>
    </w:p>
    <w:p>
      <w:pPr>
        <w:tabs>
          <w:tab w:val="right" w:leader="dot" w:pos="9747"/>
        </w:tabs>
        <w:spacing w:before="120" w:after="120" w:line="360" w:lineRule="auto"/>
        <w:jc w:val="center"/>
        <w:rPr>
          <w:rFonts w:ascii="黑体" w:hAnsi="黑体" w:eastAsia="黑体" w:cs="黑体"/>
          <w:b/>
          <w:bCs/>
          <w:caps/>
          <w:sz w:val="24"/>
        </w:rPr>
      </w:pPr>
      <w:r>
        <w:rPr>
          <w:rFonts w:hint="eastAsia" w:ascii="宋体" w:hAnsi="宋体"/>
          <w:b/>
          <w:bCs/>
          <w:szCs w:val="30"/>
        </w:rPr>
        <w:fldChar w:fldCharType="end"/>
      </w:r>
    </w:p>
    <w:p>
      <w:pPr>
        <w:rPr>
          <w:rFonts w:ascii="宋体" w:hAnsi="宋体"/>
          <w:szCs w:val="30"/>
        </w:rPr>
      </w:pPr>
    </w:p>
    <w:p>
      <w:pPr>
        <w:spacing w:line="360" w:lineRule="auto"/>
        <w:jc w:val="center"/>
        <w:rPr>
          <w:rFonts w:ascii="宋体" w:hAnsi="宋体"/>
          <w:szCs w:val="30"/>
        </w:rPr>
      </w:pPr>
      <w:r>
        <w:rPr>
          <w:rFonts w:hint="eastAsia" w:ascii="宋体" w:hAnsi="宋体"/>
          <w:szCs w:val="30"/>
        </w:rPr>
        <w:br w:type="page"/>
      </w:r>
    </w:p>
    <w:p>
      <w:pPr>
        <w:pStyle w:val="3"/>
        <w:keepNext w:val="0"/>
        <w:keepLines w:val="0"/>
        <w:spacing w:before="0" w:after="0"/>
        <w:rPr>
          <w:rFonts w:eastAsia="黑体"/>
        </w:rPr>
      </w:pPr>
      <w:bookmarkStart w:id="2" w:name="_Toc30721"/>
      <w:bookmarkStart w:id="3" w:name="_Toc8243"/>
      <w:bookmarkStart w:id="4" w:name="_Toc17948"/>
      <w:r>
        <w:rPr>
          <w:rFonts w:hint="eastAsia" w:ascii="黑体" w:hAnsi="黑体" w:eastAsia="黑体" w:cs="黑体"/>
          <w:b/>
          <w:bCs/>
          <w:sz w:val="32"/>
          <w:szCs w:val="32"/>
        </w:rPr>
        <w:t>第一部分</w:t>
      </w:r>
      <w:bookmarkEnd w:id="2"/>
      <w:bookmarkEnd w:id="3"/>
      <w:r>
        <w:rPr>
          <w:rFonts w:hint="eastAsia" w:ascii="黑体" w:hAnsi="黑体" w:eastAsia="黑体" w:cs="黑体"/>
          <w:b/>
          <w:bCs/>
          <w:sz w:val="32"/>
          <w:szCs w:val="32"/>
        </w:rPr>
        <w:t xml:space="preserve"> </w:t>
      </w:r>
      <w:bookmarkEnd w:id="4"/>
      <w:r>
        <w:rPr>
          <w:rFonts w:hint="eastAsia" w:ascii="黑体" w:hAnsi="黑体" w:eastAsia="黑体" w:cs="黑体"/>
          <w:b/>
          <w:bCs/>
          <w:sz w:val="32"/>
          <w:szCs w:val="32"/>
        </w:rPr>
        <w:t>磋商邀请函</w:t>
      </w:r>
    </w:p>
    <w:p>
      <w:pPr>
        <w:spacing w:line="360" w:lineRule="auto"/>
        <w:ind w:firstLine="480" w:firstLineChars="200"/>
        <w:rPr>
          <w:rFonts w:ascii="黑体" w:hAnsi="仿宋" w:eastAsia="黑体" w:cs="黑体"/>
          <w:b/>
          <w:bCs/>
          <w:sz w:val="24"/>
        </w:rPr>
      </w:pPr>
      <w:bookmarkStart w:id="5" w:name="_Toc8480"/>
      <w:r>
        <w:rPr>
          <w:rFonts w:hint="eastAsia" w:ascii="宋体" w:hAnsi="宋体"/>
          <w:sz w:val="24"/>
        </w:rPr>
        <w:t>陕西德勤招标有限公司受陕西省道路运输事业发展中心的委托，经政府采购管理部门批准，按照政府采购程序，对“陕西省驾驶员培训监管服务平台维护项目”组织竞争性磋商，欢迎符合资格条件的、有能力提供本项目所需服务的供应商响应。</w:t>
      </w:r>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一、项目基本情况：</w:t>
      </w:r>
    </w:p>
    <w:p>
      <w:pPr>
        <w:spacing w:line="360" w:lineRule="auto"/>
        <w:ind w:firstLine="480" w:firstLineChars="200"/>
        <w:rPr>
          <w:rFonts w:ascii="宋体" w:hAnsi="宋体"/>
          <w:sz w:val="24"/>
        </w:rPr>
      </w:pPr>
      <w:r>
        <w:rPr>
          <w:rFonts w:hint="eastAsia" w:ascii="宋体" w:hAnsi="宋体"/>
          <w:sz w:val="24"/>
        </w:rPr>
        <w:t>1.项目编号：DQ-2022042-CS</w:t>
      </w:r>
    </w:p>
    <w:p>
      <w:pPr>
        <w:spacing w:line="360" w:lineRule="auto"/>
        <w:ind w:firstLine="480" w:firstLineChars="200"/>
        <w:rPr>
          <w:rFonts w:ascii="宋体" w:hAnsi="宋体"/>
          <w:sz w:val="24"/>
        </w:rPr>
      </w:pPr>
      <w:r>
        <w:rPr>
          <w:rFonts w:hint="eastAsia" w:ascii="宋体" w:hAnsi="宋体"/>
          <w:sz w:val="24"/>
        </w:rPr>
        <w:t>2.项目名称：陕西省驾驶员培训监管服务平台维护项目</w:t>
      </w:r>
    </w:p>
    <w:p>
      <w:pPr>
        <w:spacing w:line="360" w:lineRule="auto"/>
        <w:ind w:firstLine="480" w:firstLineChars="200"/>
        <w:rPr>
          <w:rFonts w:ascii="宋体" w:hAnsi="宋体"/>
          <w:sz w:val="24"/>
        </w:rPr>
      </w:pPr>
      <w:r>
        <w:rPr>
          <w:rFonts w:hint="eastAsia" w:ascii="宋体" w:hAnsi="宋体"/>
          <w:sz w:val="24"/>
        </w:rPr>
        <w:t>3.预算金额：620,000.00元</w:t>
      </w:r>
    </w:p>
    <w:p>
      <w:pPr>
        <w:spacing w:line="360" w:lineRule="auto"/>
        <w:ind w:firstLine="480" w:firstLineChars="200"/>
        <w:rPr>
          <w:rFonts w:ascii="宋体" w:hAnsi="宋体"/>
          <w:sz w:val="24"/>
        </w:rPr>
      </w:pPr>
      <w:r>
        <w:rPr>
          <w:rFonts w:hint="eastAsia" w:ascii="宋体" w:hAnsi="宋体"/>
          <w:sz w:val="24"/>
        </w:rPr>
        <w:t>4.最高限价：620,000.00元</w:t>
      </w:r>
    </w:p>
    <w:p>
      <w:pPr>
        <w:spacing w:line="360" w:lineRule="auto"/>
        <w:ind w:firstLine="480" w:firstLineChars="200"/>
        <w:rPr>
          <w:rFonts w:ascii="宋体" w:hAnsi="宋体"/>
          <w:sz w:val="24"/>
        </w:rPr>
      </w:pPr>
      <w:r>
        <w:rPr>
          <w:rFonts w:hint="eastAsia" w:ascii="宋体" w:hAnsi="宋体"/>
          <w:sz w:val="24"/>
        </w:rPr>
        <w:t>5.采购需求：</w:t>
      </w:r>
    </w:p>
    <w:p>
      <w:pPr>
        <w:spacing w:line="360" w:lineRule="auto"/>
        <w:ind w:firstLine="480" w:firstLineChars="200"/>
        <w:rPr>
          <w:rFonts w:ascii="宋体" w:hAnsi="宋体"/>
          <w:sz w:val="24"/>
        </w:rPr>
      </w:pPr>
      <w:r>
        <w:rPr>
          <w:rFonts w:hint="eastAsia" w:ascii="宋体" w:hAnsi="宋体" w:eastAsiaTheme="minorEastAsia"/>
          <w:color w:val="000000"/>
          <w:sz w:val="24"/>
        </w:rPr>
        <w:t>本项目维护包括陕西省驾驶培训监管服务平台、陕西省机动车驾驶员培训公共服务平台和陕西省机动车驾驶员培训机构信息互动平台。</w:t>
      </w:r>
    </w:p>
    <w:p>
      <w:pPr>
        <w:spacing w:line="360" w:lineRule="auto"/>
        <w:ind w:firstLine="480" w:firstLineChars="200"/>
        <w:rPr>
          <w:rFonts w:ascii="宋体" w:hAnsi="宋体"/>
          <w:sz w:val="24"/>
        </w:rPr>
      </w:pPr>
      <w:r>
        <w:rPr>
          <w:rFonts w:hint="eastAsia" w:ascii="宋体" w:hAnsi="宋体"/>
          <w:sz w:val="24"/>
        </w:rPr>
        <w:t>6.合同履行期限：2022年12月23日至2023年12月22日。（具体服务起止日期可随合同签订时间相应顺延）</w:t>
      </w:r>
    </w:p>
    <w:p>
      <w:pPr>
        <w:spacing w:line="360" w:lineRule="auto"/>
        <w:ind w:firstLine="480" w:firstLineChars="200"/>
        <w:rPr>
          <w:rFonts w:ascii="宋体" w:hAnsi="宋体"/>
          <w:sz w:val="24"/>
        </w:rPr>
      </w:pPr>
      <w:r>
        <w:rPr>
          <w:rFonts w:hint="eastAsia" w:ascii="宋体" w:hAnsi="宋体"/>
          <w:sz w:val="24"/>
        </w:rPr>
        <w:t>7.本项目是否接受联合体响应：否</w:t>
      </w:r>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二、所属行业：</w:t>
      </w:r>
      <w:r>
        <w:rPr>
          <w:rFonts w:hint="eastAsia" w:ascii="宋体" w:hAnsi="宋体"/>
          <w:color w:val="000000"/>
          <w:sz w:val="24"/>
          <w:shd w:val="clear" w:color="auto" w:fill="FFFFFF"/>
        </w:rPr>
        <w:t>软件和信息技术服务业</w:t>
      </w:r>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三、项目属性：</w:t>
      </w:r>
      <w:r>
        <w:rPr>
          <w:rFonts w:hint="eastAsia" w:ascii="宋体" w:hAnsi="宋体"/>
          <w:sz w:val="24"/>
        </w:rPr>
        <w:t>服务类</w:t>
      </w:r>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四、响应供应商的资格要求：</w:t>
      </w:r>
    </w:p>
    <w:p>
      <w:pPr>
        <w:spacing w:line="360" w:lineRule="auto"/>
        <w:ind w:firstLine="480" w:firstLineChars="200"/>
        <w:rPr>
          <w:rFonts w:ascii="宋体" w:hAnsi="宋体"/>
          <w:sz w:val="24"/>
        </w:rPr>
      </w:pPr>
      <w:r>
        <w:rPr>
          <w:rFonts w:hint="eastAsia" w:ascii="宋体" w:hAnsi="宋体"/>
          <w:sz w:val="24"/>
        </w:rPr>
        <w:t>1.满足《中华人民共和国政府采购法》第二十二条规定</w:t>
      </w:r>
    </w:p>
    <w:p>
      <w:pPr>
        <w:spacing w:line="360" w:lineRule="auto"/>
        <w:ind w:firstLine="480" w:firstLineChars="200"/>
        <w:rPr>
          <w:rFonts w:ascii="宋体" w:hAnsi="宋体"/>
          <w:sz w:val="24"/>
        </w:rPr>
      </w:pPr>
      <w:r>
        <w:rPr>
          <w:rFonts w:hint="eastAsia" w:ascii="宋体" w:hAnsi="宋体"/>
          <w:sz w:val="24"/>
        </w:rPr>
        <w:t>2.落实政府采购政策需满足的资格要求：</w:t>
      </w:r>
    </w:p>
    <w:p>
      <w:pPr>
        <w:spacing w:line="360" w:lineRule="auto"/>
        <w:ind w:firstLine="480" w:firstLineChars="200"/>
        <w:rPr>
          <w:rFonts w:ascii="宋体" w:hAnsi="宋体"/>
          <w:sz w:val="24"/>
        </w:rPr>
      </w:pPr>
      <w:r>
        <w:rPr>
          <w:rFonts w:hint="eastAsia" w:ascii="宋体" w:hAnsi="宋体"/>
          <w:sz w:val="24"/>
        </w:rPr>
        <w:t>2.1《关于在政府采购活动中查询及使用信用记录有关问题的通知》（财库〔2016〕125号）。</w:t>
      </w:r>
    </w:p>
    <w:p>
      <w:pPr>
        <w:spacing w:line="360" w:lineRule="auto"/>
        <w:ind w:firstLine="480" w:firstLineChars="200"/>
        <w:rPr>
          <w:rFonts w:ascii="宋体" w:hAnsi="宋体"/>
          <w:sz w:val="24"/>
        </w:rPr>
      </w:pPr>
      <w:r>
        <w:rPr>
          <w:rFonts w:hint="eastAsia" w:ascii="宋体" w:hAnsi="宋体"/>
          <w:sz w:val="24"/>
        </w:rPr>
        <w:t>2.2《政府采购促进中小企业发展管理办法》（财库〔2020〕46号）、《关于政府采购支持监狱企业发展有关问题的通知》（财库〔2014〕68号）以及《关于促进残疾人就业政府采购政策的通知》（财库〔2017〕141号）。</w:t>
      </w:r>
    </w:p>
    <w:p>
      <w:pPr>
        <w:spacing w:line="360" w:lineRule="auto"/>
        <w:ind w:firstLine="480" w:firstLineChars="200"/>
        <w:rPr>
          <w:rFonts w:ascii="宋体" w:hAnsi="宋体"/>
          <w:sz w:val="24"/>
        </w:rPr>
      </w:pPr>
      <w:r>
        <w:rPr>
          <w:rFonts w:hint="eastAsia" w:ascii="宋体" w:hAnsi="宋体"/>
          <w:sz w:val="24"/>
        </w:rPr>
        <w:t>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pPr>
        <w:spacing w:line="360" w:lineRule="auto"/>
        <w:ind w:firstLine="480" w:firstLineChars="200"/>
        <w:rPr>
          <w:rFonts w:ascii="宋体" w:hAnsi="宋体"/>
          <w:sz w:val="24"/>
        </w:rPr>
      </w:pPr>
      <w:r>
        <w:rPr>
          <w:rFonts w:hint="eastAsia" w:ascii="宋体" w:hAnsi="宋体"/>
          <w:sz w:val="24"/>
        </w:rPr>
        <w:t>2.4《财政部 农业农村部 国家乡村振兴局关于运用政府采购政策支持乡村产业振兴的通知》（财库〔2021〕19号）、《财政部 农业农村部 国家乡村振兴局 中华全国供销合作总社关于印发&lt;关于深入开展政府采购脱贫地区农副产品工作推进乡村产业振兴的实施意见&gt;的通知》（财库〔2021〕20号）。</w:t>
      </w:r>
    </w:p>
    <w:p>
      <w:pPr>
        <w:spacing w:line="360" w:lineRule="auto"/>
        <w:ind w:firstLine="480" w:firstLineChars="200"/>
        <w:rPr>
          <w:rFonts w:ascii="宋体" w:hAnsi="宋体"/>
          <w:sz w:val="24"/>
        </w:rPr>
      </w:pPr>
      <w:r>
        <w:rPr>
          <w:rFonts w:hint="eastAsia" w:ascii="宋体" w:hAnsi="宋体"/>
          <w:sz w:val="24"/>
        </w:rPr>
        <w:t>2.5《陕西省财政厅关于加快推进我省中小企业政府采购信用融资工作的通知》（陕财办采〔2020〕15号）、陕西省财政厅关于印发《陕西省中小企业政府采购信用融资办法》（陕财办采〔2018〕23号）。</w:t>
      </w:r>
    </w:p>
    <w:p>
      <w:pPr>
        <w:spacing w:line="360" w:lineRule="auto"/>
        <w:ind w:firstLine="480" w:firstLineChars="200"/>
        <w:rPr>
          <w:rFonts w:ascii="宋体" w:hAnsi="宋体"/>
          <w:sz w:val="24"/>
        </w:rPr>
      </w:pPr>
      <w:r>
        <w:rPr>
          <w:rFonts w:hint="eastAsia" w:ascii="宋体" w:hAnsi="宋体"/>
          <w:sz w:val="24"/>
        </w:rPr>
        <w:t>3.本项目的特定资格要求：</w:t>
      </w:r>
    </w:p>
    <w:p>
      <w:pPr>
        <w:spacing w:line="360" w:lineRule="auto"/>
        <w:ind w:firstLine="480" w:firstLineChars="200"/>
        <w:rPr>
          <w:rFonts w:ascii="宋体" w:hAnsi="宋体"/>
          <w:sz w:val="24"/>
        </w:rPr>
      </w:pPr>
      <w:r>
        <w:rPr>
          <w:rFonts w:hint="eastAsia" w:ascii="宋体" w:hAnsi="宋体"/>
          <w:sz w:val="24"/>
        </w:rPr>
        <w:t>3.1符合《政府采购法》第二十二条规定：</w:t>
      </w:r>
    </w:p>
    <w:p>
      <w:pPr>
        <w:spacing w:line="360" w:lineRule="auto"/>
        <w:ind w:firstLine="480" w:firstLineChars="200"/>
        <w:rPr>
          <w:rFonts w:ascii="宋体" w:hAnsi="宋体"/>
          <w:sz w:val="24"/>
        </w:rPr>
      </w:pPr>
      <w:r>
        <w:rPr>
          <w:rFonts w:hint="eastAsia" w:ascii="宋体" w:hAnsi="宋体"/>
          <w:sz w:val="24"/>
        </w:rPr>
        <w:t>1）具有独立承担民事责任的能力，且应是中华人民共和国境内注册的法人、其他组织或自然人；</w:t>
      </w:r>
    </w:p>
    <w:p>
      <w:pPr>
        <w:spacing w:line="360" w:lineRule="auto"/>
        <w:ind w:firstLine="480" w:firstLineChars="200"/>
        <w:rPr>
          <w:rFonts w:ascii="宋体" w:hAnsi="宋体"/>
          <w:sz w:val="24"/>
        </w:rPr>
      </w:pPr>
      <w:r>
        <w:rPr>
          <w:rFonts w:hint="eastAsia" w:ascii="宋体" w:hAnsi="宋体"/>
          <w:sz w:val="24"/>
        </w:rPr>
        <w:t>2）具有良好的商业信誉和健全的财务会计制度；</w:t>
      </w:r>
    </w:p>
    <w:p>
      <w:pPr>
        <w:spacing w:line="360" w:lineRule="auto"/>
        <w:ind w:firstLine="480" w:firstLineChars="200"/>
        <w:rPr>
          <w:rFonts w:ascii="宋体" w:hAnsi="宋体"/>
          <w:sz w:val="24"/>
        </w:rPr>
      </w:pPr>
      <w:r>
        <w:rPr>
          <w:rFonts w:hint="eastAsia" w:ascii="宋体" w:hAnsi="宋体"/>
          <w:sz w:val="24"/>
        </w:rPr>
        <w:t>3）具有履行合同所必须的设备和专业技术能力；</w:t>
      </w:r>
    </w:p>
    <w:p>
      <w:pPr>
        <w:spacing w:line="360" w:lineRule="auto"/>
        <w:ind w:firstLine="480" w:firstLineChars="200"/>
        <w:rPr>
          <w:rFonts w:ascii="宋体" w:hAnsi="宋体"/>
          <w:sz w:val="24"/>
        </w:rPr>
      </w:pPr>
      <w:r>
        <w:rPr>
          <w:rFonts w:hint="eastAsia" w:ascii="宋体" w:hAnsi="宋体"/>
          <w:sz w:val="24"/>
        </w:rPr>
        <w:t>4）具有依法缴纳税收和社会保障资金的良好记录；</w:t>
      </w:r>
    </w:p>
    <w:p>
      <w:pPr>
        <w:spacing w:line="360" w:lineRule="auto"/>
        <w:ind w:firstLine="480" w:firstLineChars="200"/>
        <w:rPr>
          <w:rFonts w:ascii="宋体" w:hAnsi="宋体"/>
          <w:sz w:val="24"/>
        </w:rPr>
      </w:pPr>
      <w:r>
        <w:rPr>
          <w:rFonts w:hint="eastAsia" w:ascii="宋体" w:hAnsi="宋体"/>
          <w:sz w:val="24"/>
        </w:rPr>
        <w:t>5）参加本次政府采购活动前三年内，在经营活动中没有重大违法记录；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6）供应商必须符合法律、行政法规规定的其他条件。</w:t>
      </w:r>
    </w:p>
    <w:p>
      <w:pPr>
        <w:spacing w:line="360" w:lineRule="auto"/>
        <w:ind w:firstLine="480" w:firstLineChars="200"/>
        <w:rPr>
          <w:rFonts w:ascii="宋体" w:hAnsi="宋体"/>
          <w:sz w:val="24"/>
        </w:rPr>
      </w:pPr>
      <w:r>
        <w:rPr>
          <w:rFonts w:hint="eastAsia" w:ascii="宋体" w:hAnsi="宋体"/>
          <w:sz w:val="24"/>
        </w:rPr>
        <w:t>3.2供应商未被列入“信用中国”网站(</w:t>
      </w:r>
      <w:r>
        <w:fldChar w:fldCharType="begin"/>
      </w:r>
      <w:r>
        <w:instrText xml:space="preserve"> HYPERLINK "http://www.creditchina.gov.cn/" </w:instrText>
      </w:r>
      <w:r>
        <w:fldChar w:fldCharType="separate"/>
      </w:r>
      <w:r>
        <w:rPr>
          <w:rFonts w:hint="eastAsia" w:ascii="宋体" w:hAnsi="宋体"/>
          <w:sz w:val="24"/>
        </w:rPr>
        <w:t>www.creditchina.gov.cn</w:t>
      </w:r>
      <w:r>
        <w:rPr>
          <w:rFonts w:hint="eastAsia" w:ascii="宋体" w:hAnsi="宋体"/>
          <w:sz w:val="24"/>
        </w:rPr>
        <w:fldChar w:fldCharType="end"/>
      </w:r>
      <w:r>
        <w:rPr>
          <w:rFonts w:hint="eastAsia" w:ascii="宋体" w:hAnsi="宋体"/>
          <w:sz w:val="24"/>
        </w:rPr>
        <w:t>)“记录失信被执行人或重大税收违法案件当事人名单或政府采购严重违法失信行为”记录名单；不处于中国政府采购网(</w:t>
      </w:r>
      <w:r>
        <w:fldChar w:fldCharType="begin"/>
      </w:r>
      <w:r>
        <w:instrText xml:space="preserve"> HYPERLINK "http://www.ccgp.gov.cn/" </w:instrText>
      </w:r>
      <w:r>
        <w:fldChar w:fldCharType="separate"/>
      </w:r>
      <w:r>
        <w:rPr>
          <w:rFonts w:hint="eastAsia" w:ascii="宋体" w:hAnsi="宋体"/>
          <w:sz w:val="24"/>
        </w:rPr>
        <w:t>www.ccgp.gov.cn</w:t>
      </w:r>
      <w:r>
        <w:rPr>
          <w:rFonts w:hint="eastAsia" w:ascii="宋体" w:hAnsi="宋体"/>
          <w:sz w:val="24"/>
        </w:rPr>
        <w:fldChar w:fldCharType="end"/>
      </w:r>
      <w:r>
        <w:rPr>
          <w:rFonts w:hint="eastAsia" w:ascii="宋体" w:hAnsi="宋体"/>
          <w:sz w:val="24"/>
        </w:rPr>
        <w:t>)“政府采购严重违法失信行为信息记录”中的禁止参加政府采购活动期间；</w:t>
      </w:r>
    </w:p>
    <w:p>
      <w:pPr>
        <w:spacing w:line="360" w:lineRule="auto"/>
        <w:ind w:firstLine="480" w:firstLineChars="200"/>
        <w:rPr>
          <w:rFonts w:ascii="宋体" w:hAnsi="宋体"/>
          <w:sz w:val="24"/>
        </w:rPr>
      </w:pPr>
      <w:r>
        <w:rPr>
          <w:rFonts w:hint="eastAsia" w:ascii="宋体" w:hAnsi="宋体"/>
          <w:sz w:val="24"/>
        </w:rPr>
        <w:t>3.3单位负责人为同一人或者存在直接控股、管理关系的不同供应商，不得同时参加本采购项目磋商；</w:t>
      </w:r>
    </w:p>
    <w:p>
      <w:pPr>
        <w:spacing w:line="360" w:lineRule="auto"/>
        <w:ind w:firstLine="480" w:firstLineChars="200"/>
        <w:rPr>
          <w:rFonts w:ascii="宋体" w:hAnsi="宋体"/>
          <w:sz w:val="24"/>
        </w:rPr>
      </w:pPr>
      <w:r>
        <w:rPr>
          <w:rFonts w:hint="eastAsia" w:ascii="宋体" w:hAnsi="宋体"/>
          <w:sz w:val="24"/>
        </w:rPr>
        <w:t>3.4为本项目提供整体设计、规范编制或者项目管理、监理、检测等服务的供应商，不得再参与本项目磋商；</w:t>
      </w:r>
    </w:p>
    <w:p>
      <w:pPr>
        <w:spacing w:line="360" w:lineRule="auto"/>
        <w:ind w:firstLine="480" w:firstLineChars="200"/>
        <w:rPr>
          <w:rFonts w:ascii="宋体" w:hAnsi="宋体"/>
          <w:sz w:val="24"/>
        </w:rPr>
      </w:pPr>
      <w:r>
        <w:rPr>
          <w:rFonts w:hint="eastAsia" w:ascii="宋体" w:hAnsi="宋体"/>
          <w:sz w:val="24"/>
        </w:rPr>
        <w:t>3.5本项目为专门面向中小企业项目，供应商应为中型企业、小型企业、微型企业或监狱企业或残疾人福利性单位。</w:t>
      </w:r>
    </w:p>
    <w:p>
      <w:pPr>
        <w:spacing w:line="360" w:lineRule="auto"/>
        <w:ind w:firstLine="480" w:firstLineChars="200"/>
        <w:rPr>
          <w:rFonts w:ascii="宋体" w:hAnsi="宋体"/>
          <w:sz w:val="24"/>
        </w:rPr>
      </w:pPr>
      <w:r>
        <w:rPr>
          <w:rFonts w:hint="eastAsia" w:ascii="宋体" w:hAnsi="宋体"/>
          <w:sz w:val="24"/>
        </w:rPr>
        <w:t>3.6已登记报名并获取本项目采购文件。</w:t>
      </w:r>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五、采购文件获取方式</w:t>
      </w:r>
    </w:p>
    <w:p>
      <w:pPr>
        <w:spacing w:line="360" w:lineRule="auto"/>
        <w:ind w:firstLine="480" w:firstLineChars="200"/>
        <w:rPr>
          <w:rFonts w:ascii="宋体" w:hAnsi="宋体"/>
          <w:sz w:val="24"/>
        </w:rPr>
      </w:pPr>
      <w:r>
        <w:rPr>
          <w:rFonts w:hint="eastAsia" w:ascii="宋体" w:hAnsi="宋体"/>
          <w:sz w:val="24"/>
        </w:rPr>
        <w:t>时间：即日起至2022年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22</w:t>
      </w:r>
      <w:r>
        <w:rPr>
          <w:rFonts w:hint="eastAsia" w:ascii="宋体" w:hAnsi="宋体"/>
          <w:sz w:val="24"/>
        </w:rPr>
        <w:t>日17时止</w:t>
      </w:r>
    </w:p>
    <w:p>
      <w:pPr>
        <w:spacing w:line="360" w:lineRule="auto"/>
        <w:ind w:firstLine="480" w:firstLineChars="200"/>
        <w:rPr>
          <w:rFonts w:ascii="宋体" w:hAnsi="宋体"/>
          <w:sz w:val="24"/>
        </w:rPr>
      </w:pPr>
      <w:r>
        <w:rPr>
          <w:rFonts w:hint="eastAsia" w:ascii="宋体" w:hAnsi="宋体"/>
          <w:sz w:val="24"/>
        </w:rPr>
        <w:t>地点：陕西省西安市高新区丈八一路1号</w:t>
      </w:r>
      <w:r>
        <w:rPr>
          <w:rFonts w:hint="eastAsia" w:ascii="宋体" w:hAnsi="宋体"/>
          <w:sz w:val="24"/>
          <w:lang w:eastAsia="zh-CN"/>
        </w:rPr>
        <w:t>汇鑫中心</w:t>
      </w:r>
      <w:r>
        <w:rPr>
          <w:rFonts w:hint="eastAsia" w:ascii="宋体" w:hAnsi="宋体"/>
          <w:sz w:val="24"/>
        </w:rPr>
        <w:t>D座2206室</w:t>
      </w:r>
    </w:p>
    <w:p>
      <w:pPr>
        <w:spacing w:line="360" w:lineRule="auto"/>
        <w:ind w:firstLine="480" w:firstLineChars="200"/>
        <w:rPr>
          <w:rFonts w:ascii="宋体" w:hAnsi="宋体"/>
          <w:sz w:val="24"/>
        </w:rPr>
      </w:pPr>
      <w:r>
        <w:rPr>
          <w:rFonts w:hint="eastAsia" w:ascii="宋体" w:hAnsi="宋体"/>
          <w:sz w:val="24"/>
        </w:rPr>
        <w:t>方式：线下发售</w:t>
      </w:r>
    </w:p>
    <w:p>
      <w:pPr>
        <w:spacing w:line="360" w:lineRule="auto"/>
        <w:ind w:firstLine="480" w:firstLineChars="200"/>
        <w:rPr>
          <w:rFonts w:ascii="宋体" w:hAnsi="宋体"/>
          <w:sz w:val="24"/>
        </w:rPr>
      </w:pPr>
      <w:r>
        <w:rPr>
          <w:rFonts w:hint="eastAsia" w:ascii="宋体" w:hAnsi="宋体"/>
          <w:sz w:val="24"/>
        </w:rPr>
        <w:t>售价：人民币500元，售后不退。</w:t>
      </w:r>
    </w:p>
    <w:p>
      <w:pPr>
        <w:spacing w:line="360" w:lineRule="auto"/>
        <w:ind w:firstLine="480" w:firstLineChars="200"/>
        <w:rPr>
          <w:rFonts w:ascii="宋体" w:hAnsi="宋体"/>
          <w:sz w:val="24"/>
        </w:rPr>
      </w:pPr>
      <w:r>
        <w:rPr>
          <w:rFonts w:hint="eastAsia" w:ascii="宋体" w:hAnsi="宋体"/>
          <w:sz w:val="24"/>
        </w:rPr>
        <w:t>注：购买磋商文件时须携带单位介绍信、身份证原件及复印件。（谢绝邮寄）</w:t>
      </w:r>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六、响应文件递交</w:t>
      </w:r>
    </w:p>
    <w:p>
      <w:pPr>
        <w:spacing w:line="360" w:lineRule="auto"/>
        <w:ind w:firstLine="480" w:firstLineChars="200"/>
        <w:rPr>
          <w:rFonts w:ascii="宋体" w:hAnsi="宋体"/>
          <w:sz w:val="24"/>
        </w:rPr>
      </w:pPr>
      <w:r>
        <w:rPr>
          <w:rFonts w:hint="eastAsia" w:ascii="宋体" w:hAnsi="宋体"/>
          <w:sz w:val="24"/>
        </w:rPr>
        <w:t>截止时间：2022年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30</w:t>
      </w:r>
      <w:r>
        <w:rPr>
          <w:rFonts w:hint="eastAsia" w:ascii="宋体" w:hAnsi="宋体"/>
          <w:sz w:val="24"/>
        </w:rPr>
        <w:t>日</w:t>
      </w:r>
      <w:r>
        <w:rPr>
          <w:rFonts w:hint="eastAsia" w:ascii="宋体" w:hAnsi="宋体"/>
          <w:sz w:val="24"/>
          <w:lang w:val="en-US" w:eastAsia="zh-CN"/>
        </w:rPr>
        <w:t>14</w:t>
      </w:r>
      <w:r>
        <w:rPr>
          <w:rFonts w:hint="eastAsia" w:ascii="宋体" w:hAnsi="宋体"/>
          <w:sz w:val="24"/>
        </w:rPr>
        <w:t>时30分止</w:t>
      </w:r>
    </w:p>
    <w:p>
      <w:pPr>
        <w:spacing w:line="360" w:lineRule="auto"/>
        <w:ind w:firstLine="480" w:firstLineChars="200"/>
        <w:rPr>
          <w:rFonts w:ascii="宋体" w:hAnsi="宋体"/>
          <w:sz w:val="24"/>
        </w:rPr>
      </w:pPr>
      <w:r>
        <w:rPr>
          <w:rFonts w:hint="eastAsia" w:ascii="宋体" w:hAnsi="宋体"/>
          <w:sz w:val="24"/>
        </w:rPr>
        <w:t>地点：陕西省西安市高新区丈八北路1号陕西宾馆会议中心（原陕西大会堂）2-8会议室</w:t>
      </w:r>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七、公告期限</w:t>
      </w:r>
    </w:p>
    <w:p>
      <w:pPr>
        <w:spacing w:line="360" w:lineRule="auto"/>
        <w:ind w:firstLine="480" w:firstLineChars="200"/>
        <w:rPr>
          <w:rFonts w:ascii="宋体" w:hAnsi="宋体"/>
          <w:sz w:val="24"/>
        </w:rPr>
      </w:pPr>
      <w:r>
        <w:rPr>
          <w:rFonts w:hint="eastAsia" w:ascii="宋体" w:hAnsi="宋体"/>
          <w:sz w:val="24"/>
        </w:rPr>
        <w:t>本公告期限为自发布之日起3个工作日。</w:t>
      </w:r>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八、其它补充事宜</w:t>
      </w:r>
    </w:p>
    <w:p>
      <w:pPr>
        <w:spacing w:line="360" w:lineRule="auto"/>
        <w:ind w:firstLine="480" w:firstLineChars="200"/>
        <w:rPr>
          <w:rFonts w:ascii="宋体" w:hAnsi="宋体"/>
          <w:sz w:val="24"/>
        </w:rPr>
      </w:pPr>
      <w:r>
        <w:rPr>
          <w:rFonts w:hint="eastAsia" w:ascii="宋体" w:hAnsi="宋体"/>
          <w:sz w:val="24"/>
        </w:rPr>
        <w:t>无。</w:t>
      </w:r>
    </w:p>
    <w:p>
      <w:pPr>
        <w:spacing w:line="360" w:lineRule="auto"/>
        <w:ind w:firstLine="482" w:firstLineChars="200"/>
        <w:rPr>
          <w:rFonts w:ascii="黑体" w:hAnsi="仿宋" w:eastAsia="黑体" w:cs="黑体"/>
          <w:b/>
          <w:bCs/>
          <w:sz w:val="24"/>
        </w:rPr>
      </w:pPr>
      <w:bookmarkStart w:id="6" w:name="_Toc28218"/>
      <w:bookmarkStart w:id="7" w:name="_Toc21944"/>
      <w:bookmarkStart w:id="8" w:name="_Toc17151"/>
      <w:bookmarkStart w:id="9" w:name="_Toc14544"/>
      <w:r>
        <w:rPr>
          <w:rFonts w:hint="eastAsia" w:ascii="黑体" w:hAnsi="仿宋" w:eastAsia="黑体" w:cs="黑体"/>
          <w:b/>
          <w:bCs/>
          <w:sz w:val="24"/>
        </w:rPr>
        <w:t>九、对本次采购提出询问，请按以下方式联系。</w:t>
      </w:r>
    </w:p>
    <w:p>
      <w:pPr>
        <w:spacing w:line="360" w:lineRule="auto"/>
        <w:ind w:firstLine="480" w:firstLineChars="200"/>
        <w:rPr>
          <w:rFonts w:ascii="宋体" w:hAnsi="宋体"/>
          <w:sz w:val="24"/>
        </w:rPr>
      </w:pPr>
      <w:r>
        <w:rPr>
          <w:rFonts w:hint="eastAsia" w:ascii="宋体" w:hAnsi="宋体"/>
          <w:sz w:val="24"/>
        </w:rPr>
        <w:t>1.采购人信息：陕西省道路运输事业发展中心</w:t>
      </w:r>
    </w:p>
    <w:p>
      <w:pPr>
        <w:spacing w:line="360" w:lineRule="auto"/>
        <w:ind w:firstLine="480" w:firstLineChars="200"/>
        <w:rPr>
          <w:rFonts w:ascii="宋体" w:hAnsi="宋体"/>
          <w:sz w:val="24"/>
        </w:rPr>
      </w:pPr>
      <w:r>
        <w:rPr>
          <w:rFonts w:hint="eastAsia" w:ascii="宋体" w:hAnsi="宋体"/>
          <w:sz w:val="24"/>
        </w:rPr>
        <w:t>地址：西安市莲湖区药王洞18号</w:t>
      </w:r>
    </w:p>
    <w:p>
      <w:pPr>
        <w:spacing w:line="360" w:lineRule="auto"/>
        <w:ind w:firstLine="480" w:firstLineChars="200"/>
        <w:rPr>
          <w:rFonts w:ascii="宋体" w:hAnsi="宋体"/>
          <w:sz w:val="24"/>
        </w:rPr>
      </w:pPr>
      <w:r>
        <w:rPr>
          <w:rFonts w:hint="eastAsia" w:ascii="宋体" w:hAnsi="宋体"/>
          <w:sz w:val="24"/>
        </w:rPr>
        <w:t>联系人：熊老师</w:t>
      </w:r>
    </w:p>
    <w:p>
      <w:pPr>
        <w:spacing w:line="360" w:lineRule="auto"/>
        <w:ind w:firstLine="480" w:firstLineChars="200"/>
        <w:rPr>
          <w:rFonts w:ascii="宋体" w:hAnsi="宋体"/>
          <w:sz w:val="24"/>
        </w:rPr>
      </w:pPr>
      <w:r>
        <w:rPr>
          <w:rFonts w:hint="eastAsia" w:ascii="宋体" w:hAnsi="宋体"/>
          <w:sz w:val="24"/>
        </w:rPr>
        <w:t>电话：029-87325933</w:t>
      </w:r>
    </w:p>
    <w:p>
      <w:pPr>
        <w:spacing w:line="360" w:lineRule="auto"/>
        <w:ind w:firstLine="480" w:firstLineChars="200"/>
        <w:rPr>
          <w:rFonts w:ascii="宋体" w:hAnsi="宋体"/>
          <w:sz w:val="24"/>
        </w:rPr>
      </w:pPr>
      <w:r>
        <w:rPr>
          <w:rFonts w:hint="eastAsia" w:ascii="宋体" w:hAnsi="宋体"/>
          <w:sz w:val="24"/>
        </w:rPr>
        <w:t>2.项目联系方式</w:t>
      </w:r>
    </w:p>
    <w:p>
      <w:pPr>
        <w:spacing w:line="360" w:lineRule="auto"/>
        <w:ind w:firstLine="480" w:firstLineChars="200"/>
        <w:rPr>
          <w:rFonts w:ascii="宋体" w:hAnsi="宋体"/>
          <w:sz w:val="24"/>
        </w:rPr>
      </w:pPr>
      <w:r>
        <w:rPr>
          <w:rFonts w:hint="eastAsia" w:ascii="宋体" w:hAnsi="宋体"/>
          <w:sz w:val="24"/>
        </w:rPr>
        <w:t>项目联系人：李浩、贾旭鸣</w:t>
      </w:r>
    </w:p>
    <w:p>
      <w:pPr>
        <w:spacing w:line="360" w:lineRule="auto"/>
        <w:ind w:firstLine="480" w:firstLineChars="200"/>
        <w:rPr>
          <w:rFonts w:ascii="宋体" w:hAnsi="宋体"/>
          <w:sz w:val="24"/>
        </w:rPr>
      </w:pPr>
      <w:r>
        <w:rPr>
          <w:rFonts w:hint="eastAsia" w:ascii="宋体" w:hAnsi="宋体"/>
          <w:sz w:val="24"/>
        </w:rPr>
        <w:t>电 话：029-81106093</w:t>
      </w:r>
    </w:p>
    <w:p>
      <w:pPr>
        <w:spacing w:line="360" w:lineRule="auto"/>
        <w:ind w:firstLine="480" w:firstLineChars="200"/>
        <w:rPr>
          <w:rFonts w:ascii="宋体" w:hAnsi="宋体"/>
          <w:sz w:val="24"/>
        </w:rPr>
      </w:pPr>
      <w:r>
        <w:rPr>
          <w:rFonts w:hint="eastAsia" w:ascii="宋体" w:hAnsi="宋体"/>
          <w:sz w:val="24"/>
        </w:rPr>
        <w:t>传 真：029-81106093</w:t>
      </w:r>
    </w:p>
    <w:p>
      <w:pPr>
        <w:spacing w:line="360" w:lineRule="auto"/>
        <w:ind w:firstLine="480" w:firstLineChars="200"/>
        <w:rPr>
          <w:rFonts w:ascii="宋体" w:hAnsi="宋体"/>
          <w:sz w:val="24"/>
        </w:rPr>
      </w:pPr>
      <w:r>
        <w:rPr>
          <w:rFonts w:hint="eastAsia" w:ascii="宋体" w:hAnsi="宋体"/>
          <w:sz w:val="24"/>
        </w:rPr>
        <w:t>3.采购代理机构信息</w:t>
      </w:r>
    </w:p>
    <w:p>
      <w:pPr>
        <w:spacing w:line="360" w:lineRule="auto"/>
        <w:ind w:firstLine="480" w:firstLineChars="200"/>
        <w:rPr>
          <w:rFonts w:ascii="宋体" w:hAnsi="宋体"/>
          <w:sz w:val="24"/>
        </w:rPr>
      </w:pPr>
      <w:r>
        <w:rPr>
          <w:rFonts w:hint="eastAsia" w:ascii="宋体" w:hAnsi="宋体"/>
          <w:sz w:val="24"/>
        </w:rPr>
        <w:t>名称：陕西德勤招标有限公司</w:t>
      </w:r>
    </w:p>
    <w:p>
      <w:pPr>
        <w:spacing w:line="360" w:lineRule="auto"/>
        <w:ind w:firstLine="480" w:firstLineChars="200"/>
        <w:rPr>
          <w:rFonts w:ascii="宋体" w:hAnsi="宋体"/>
          <w:sz w:val="24"/>
        </w:rPr>
      </w:pPr>
      <w:r>
        <w:rPr>
          <w:rFonts w:hint="eastAsia" w:ascii="宋体" w:hAnsi="宋体"/>
          <w:sz w:val="24"/>
        </w:rPr>
        <w:t>联系地址：陕西省西安市高新区丈八一路1号</w:t>
      </w:r>
      <w:r>
        <w:rPr>
          <w:rFonts w:hint="eastAsia" w:ascii="宋体" w:hAnsi="宋体"/>
          <w:sz w:val="24"/>
          <w:lang w:eastAsia="zh-CN"/>
        </w:rPr>
        <w:t>汇鑫中心</w:t>
      </w:r>
      <w:r>
        <w:rPr>
          <w:rFonts w:hint="eastAsia" w:ascii="宋体" w:hAnsi="宋体"/>
          <w:sz w:val="24"/>
        </w:rPr>
        <w:t>D座2206室</w:t>
      </w:r>
    </w:p>
    <w:p>
      <w:pPr>
        <w:spacing w:line="360" w:lineRule="auto"/>
        <w:ind w:firstLine="480" w:firstLineChars="200"/>
        <w:rPr>
          <w:rFonts w:ascii="宋体" w:hAnsi="宋体"/>
          <w:sz w:val="24"/>
        </w:rPr>
      </w:pPr>
      <w:r>
        <w:rPr>
          <w:rFonts w:hint="eastAsia" w:ascii="宋体" w:hAnsi="宋体"/>
          <w:sz w:val="24"/>
        </w:rPr>
        <w:t>联系方式：</w:t>
      </w:r>
      <w:bookmarkEnd w:id="6"/>
      <w:bookmarkEnd w:id="7"/>
      <w:bookmarkEnd w:id="8"/>
      <w:bookmarkEnd w:id="9"/>
      <w:r>
        <w:rPr>
          <w:rFonts w:hint="eastAsia" w:ascii="宋体" w:hAnsi="宋体"/>
          <w:sz w:val="24"/>
        </w:rPr>
        <w:t>029-81106093</w:t>
      </w:r>
    </w:p>
    <w:p>
      <w:pPr>
        <w:spacing w:line="360" w:lineRule="auto"/>
        <w:ind w:firstLine="480" w:firstLineChars="200"/>
        <w:jc w:val="left"/>
        <w:rPr>
          <w:rFonts w:ascii="宋体" w:hAnsi="宋体"/>
          <w:sz w:val="24"/>
        </w:rPr>
      </w:pPr>
    </w:p>
    <w:p>
      <w:pPr>
        <w:spacing w:line="360" w:lineRule="auto"/>
        <w:ind w:firstLine="480" w:firstLineChars="200"/>
        <w:jc w:val="right"/>
        <w:rPr>
          <w:rFonts w:ascii="宋体" w:hAnsi="宋体"/>
          <w:sz w:val="24"/>
        </w:rPr>
      </w:pPr>
      <w:r>
        <w:rPr>
          <w:rFonts w:hint="eastAsia" w:ascii="宋体" w:hAnsi="宋体"/>
          <w:sz w:val="24"/>
        </w:rPr>
        <w:t>陕西德勤招标有限公司</w:t>
      </w:r>
      <w:bookmarkEnd w:id="5"/>
    </w:p>
    <w:p>
      <w:pPr>
        <w:jc w:val="right"/>
        <w:rPr>
          <w:rFonts w:ascii="宋体" w:hAnsi="宋体"/>
          <w:sz w:val="24"/>
        </w:rPr>
      </w:pPr>
      <w:r>
        <w:rPr>
          <w:rFonts w:hint="eastAsia" w:ascii="宋体" w:hAnsi="宋体"/>
          <w:sz w:val="24"/>
        </w:rPr>
        <w:t>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15</w:t>
      </w:r>
      <w:r>
        <w:rPr>
          <w:rFonts w:hint="eastAsia" w:ascii="宋体" w:hAnsi="宋体"/>
          <w:sz w:val="24"/>
        </w:rPr>
        <w:t>日</w:t>
      </w:r>
    </w:p>
    <w:p/>
    <w:p>
      <w:pPr>
        <w:spacing w:line="360" w:lineRule="auto"/>
        <w:jc w:val="center"/>
        <w:rPr>
          <w:rFonts w:ascii="宋体" w:hAnsi="宋体"/>
          <w:szCs w:val="30"/>
        </w:rPr>
      </w:pPr>
      <w:r>
        <w:rPr>
          <w:rFonts w:hint="eastAsia" w:ascii="宋体" w:hAnsi="宋体"/>
          <w:szCs w:val="30"/>
        </w:rPr>
        <w:br w:type="page"/>
      </w:r>
    </w:p>
    <w:p>
      <w:pPr>
        <w:spacing w:line="360" w:lineRule="auto"/>
        <w:jc w:val="center"/>
        <w:outlineLvl w:val="0"/>
        <w:rPr>
          <w:rFonts w:ascii="黑体" w:hAnsi="黑体" w:eastAsia="黑体" w:cs="黑体"/>
          <w:b/>
          <w:bCs/>
          <w:szCs w:val="32"/>
        </w:rPr>
      </w:pPr>
      <w:bookmarkStart w:id="10" w:name="_Toc6236"/>
      <w:r>
        <w:rPr>
          <w:rFonts w:hint="eastAsia" w:ascii="黑体" w:hAnsi="黑体" w:eastAsia="黑体" w:cs="黑体"/>
          <w:b/>
          <w:bCs/>
          <w:sz w:val="32"/>
          <w:szCs w:val="32"/>
        </w:rPr>
        <w:t>第二部分 用户需求书</w:t>
      </w:r>
      <w:bookmarkEnd w:id="10"/>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一、项目概况</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1.项目名称：陕西省驾驶员培训监管服务平台维护项目</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2.服务期：</w:t>
      </w:r>
      <w:r>
        <w:rPr>
          <w:rFonts w:hint="eastAsia" w:ascii="宋体" w:hAnsi="宋体"/>
          <w:sz w:val="24"/>
        </w:rPr>
        <w:t>2022年12月23日至2023年12月22日</w:t>
      </w:r>
      <w:r>
        <w:rPr>
          <w:rFonts w:hint="eastAsia" w:ascii="宋体" w:hAnsi="宋体" w:eastAsiaTheme="minorEastAsia"/>
          <w:color w:val="000000"/>
          <w:sz w:val="24"/>
        </w:rPr>
        <w:t>。</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3.采购内容：</w:t>
      </w: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485"/>
        <w:gridCol w:w="96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C0C0C0"/>
            <w:vAlign w:val="center"/>
          </w:tcPr>
          <w:p>
            <w:pPr>
              <w:tabs>
                <w:tab w:val="left" w:pos="567"/>
              </w:tabs>
              <w:autoSpaceDE w:val="0"/>
              <w:autoSpaceDN w:val="0"/>
              <w:spacing w:line="360" w:lineRule="auto"/>
              <w:jc w:val="center"/>
              <w:textAlignment w:val="bottom"/>
              <w:rPr>
                <w:rFonts w:cs="仿宋" w:asciiTheme="minorEastAsia" w:hAnsiTheme="minorEastAsia" w:eastAsiaTheme="minorEastAsia"/>
                <w:b/>
                <w:bCs/>
                <w:color w:val="000000"/>
                <w:sz w:val="24"/>
              </w:rPr>
            </w:pPr>
            <w:r>
              <w:rPr>
                <w:rFonts w:hint="eastAsia" w:cs="仿宋" w:asciiTheme="minorEastAsia" w:hAnsiTheme="minorEastAsia" w:eastAsiaTheme="minorEastAsia"/>
                <w:b/>
                <w:bCs/>
                <w:color w:val="000000"/>
                <w:sz w:val="24"/>
              </w:rPr>
              <w:t>序号</w:t>
            </w:r>
          </w:p>
        </w:tc>
        <w:tc>
          <w:tcPr>
            <w:tcW w:w="5485" w:type="dxa"/>
            <w:shd w:val="clear" w:color="auto" w:fill="C0C0C0"/>
            <w:vAlign w:val="center"/>
          </w:tcPr>
          <w:p>
            <w:pPr>
              <w:tabs>
                <w:tab w:val="left" w:pos="567"/>
              </w:tabs>
              <w:autoSpaceDE w:val="0"/>
              <w:autoSpaceDN w:val="0"/>
              <w:spacing w:line="360" w:lineRule="auto"/>
              <w:jc w:val="center"/>
              <w:textAlignment w:val="bottom"/>
              <w:rPr>
                <w:rFonts w:cs="仿宋" w:asciiTheme="minorEastAsia" w:hAnsiTheme="minorEastAsia" w:eastAsiaTheme="minorEastAsia"/>
                <w:b/>
                <w:bCs/>
                <w:color w:val="000000"/>
                <w:sz w:val="24"/>
              </w:rPr>
            </w:pPr>
            <w:r>
              <w:rPr>
                <w:rFonts w:hint="eastAsia" w:cs="仿宋" w:asciiTheme="minorEastAsia" w:hAnsiTheme="minorEastAsia" w:eastAsiaTheme="minorEastAsia"/>
                <w:b/>
                <w:bCs/>
                <w:color w:val="000000"/>
                <w:sz w:val="24"/>
              </w:rPr>
              <w:t>项 目 内 容</w:t>
            </w:r>
          </w:p>
        </w:tc>
        <w:tc>
          <w:tcPr>
            <w:tcW w:w="969" w:type="dxa"/>
            <w:shd w:val="clear" w:color="auto" w:fill="C0C0C0"/>
            <w:vAlign w:val="center"/>
          </w:tcPr>
          <w:p>
            <w:pPr>
              <w:tabs>
                <w:tab w:val="left" w:pos="567"/>
              </w:tabs>
              <w:autoSpaceDE w:val="0"/>
              <w:autoSpaceDN w:val="0"/>
              <w:spacing w:line="360" w:lineRule="auto"/>
              <w:jc w:val="center"/>
              <w:textAlignment w:val="bottom"/>
              <w:rPr>
                <w:rFonts w:cs="仿宋" w:asciiTheme="minorEastAsia" w:hAnsiTheme="minorEastAsia" w:eastAsiaTheme="minorEastAsia"/>
                <w:b/>
                <w:bCs/>
                <w:color w:val="000000"/>
                <w:sz w:val="24"/>
              </w:rPr>
            </w:pPr>
            <w:r>
              <w:rPr>
                <w:rFonts w:hint="eastAsia" w:cs="仿宋" w:asciiTheme="minorEastAsia" w:hAnsiTheme="minorEastAsia" w:eastAsiaTheme="minorEastAsia"/>
                <w:b/>
                <w:bCs/>
                <w:color w:val="000000"/>
                <w:sz w:val="24"/>
              </w:rPr>
              <w:t>数量</w:t>
            </w:r>
          </w:p>
        </w:tc>
        <w:tc>
          <w:tcPr>
            <w:tcW w:w="957" w:type="dxa"/>
            <w:shd w:val="clear" w:color="auto" w:fill="C0C0C0"/>
            <w:vAlign w:val="center"/>
          </w:tcPr>
          <w:p>
            <w:pPr>
              <w:tabs>
                <w:tab w:val="left" w:pos="567"/>
              </w:tabs>
              <w:autoSpaceDE w:val="0"/>
              <w:autoSpaceDN w:val="0"/>
              <w:spacing w:line="360" w:lineRule="auto"/>
              <w:jc w:val="center"/>
              <w:textAlignment w:val="bottom"/>
              <w:rPr>
                <w:rFonts w:cs="仿宋" w:asciiTheme="minorEastAsia" w:hAnsiTheme="minorEastAsia" w:eastAsiaTheme="minorEastAsia"/>
                <w:b/>
                <w:bCs/>
                <w:color w:val="000000"/>
                <w:sz w:val="24"/>
              </w:rPr>
            </w:pPr>
            <w:r>
              <w:rPr>
                <w:rFonts w:hint="eastAsia" w:cs="仿宋" w:asciiTheme="minorEastAsia" w:hAnsiTheme="minorEastAsia" w:eastAsiaTheme="minorEastAsia"/>
                <w:b/>
                <w:bCs/>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85" w:type="dxa"/>
            <w:vAlign w:val="center"/>
          </w:tcPr>
          <w:p>
            <w:pPr>
              <w:tabs>
                <w:tab w:val="left" w:pos="567"/>
              </w:tabs>
              <w:autoSpaceDE w:val="0"/>
              <w:autoSpaceDN w:val="0"/>
              <w:spacing w:line="360" w:lineRule="auto"/>
              <w:jc w:val="center"/>
              <w:textAlignment w:val="bottom"/>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1</w:t>
            </w:r>
          </w:p>
        </w:tc>
        <w:tc>
          <w:tcPr>
            <w:tcW w:w="5485" w:type="dxa"/>
            <w:vAlign w:val="center"/>
          </w:tcPr>
          <w:p>
            <w:pPr>
              <w:tabs>
                <w:tab w:val="left" w:pos="567"/>
              </w:tabs>
              <w:autoSpaceDE w:val="0"/>
              <w:autoSpaceDN w:val="0"/>
              <w:spacing w:line="360" w:lineRule="auto"/>
              <w:jc w:val="center"/>
              <w:textAlignment w:val="bottom"/>
              <w:rPr>
                <w:rFonts w:cs="仿宋" w:asciiTheme="minorEastAsia" w:hAnsiTheme="minorEastAsia" w:eastAsiaTheme="minorEastAsia"/>
                <w:b/>
                <w:bCs/>
                <w:color w:val="000000"/>
                <w:sz w:val="24"/>
              </w:rPr>
            </w:pPr>
            <w:r>
              <w:rPr>
                <w:rFonts w:hint="eastAsia" w:cs="仿宋" w:asciiTheme="minorEastAsia" w:hAnsiTheme="minorEastAsia" w:eastAsiaTheme="minorEastAsia"/>
                <w:color w:val="000000"/>
                <w:sz w:val="24"/>
                <w:lang w:val="zh-CN"/>
              </w:rPr>
              <w:t>陕西省驾驶培训监管服务平台维护项目</w:t>
            </w:r>
          </w:p>
        </w:tc>
        <w:tc>
          <w:tcPr>
            <w:tcW w:w="969" w:type="dxa"/>
            <w:vAlign w:val="center"/>
          </w:tcPr>
          <w:p>
            <w:pPr>
              <w:tabs>
                <w:tab w:val="left" w:pos="567"/>
              </w:tabs>
              <w:autoSpaceDE w:val="0"/>
              <w:autoSpaceDN w:val="0"/>
              <w:spacing w:line="360" w:lineRule="auto"/>
              <w:jc w:val="center"/>
              <w:textAlignment w:val="bottom"/>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1</w:t>
            </w:r>
          </w:p>
        </w:tc>
        <w:tc>
          <w:tcPr>
            <w:tcW w:w="957" w:type="dxa"/>
            <w:vAlign w:val="center"/>
          </w:tcPr>
          <w:p>
            <w:pPr>
              <w:tabs>
                <w:tab w:val="left" w:pos="567"/>
              </w:tabs>
              <w:autoSpaceDE w:val="0"/>
              <w:autoSpaceDN w:val="0"/>
              <w:spacing w:line="360" w:lineRule="auto"/>
              <w:jc w:val="center"/>
              <w:textAlignment w:val="bottom"/>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项</w:t>
            </w:r>
          </w:p>
        </w:tc>
      </w:tr>
    </w:tbl>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二、项目背景</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2016年4月21日，交通部发布《交通运输部关于修改〈机动车驾驶员培训管理规定〉的决定》，明确指出各级道路运输管理机构应当加强对机动车驾驶员培训经营活动的监督检查，积极运用信息化技术手段，科学、高效地开展工作。2016年05月20日，交通运输部组织对《机动车驾驶员计时培训系统平台技术规范》和《机动车驾驶员计时培训系统计时终端技术规范》进行了修订，从系统功能、接口技术、安全与运行环境、数据交换协议等方面进一步规范了机动车驾驶员培训与监管服务系统的建设技术要求。</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为贯彻落实《国务院办公厅转发公安部交通运输部关于推进机动车驾驶人培训考试制度改革意见的通知》（国办发〔2015〕88号）精神，推广使用全国统一标准的计算机计时培训管理系统，建立省级驾驶培训机构监管服务平台，强化对培训过程动态监管，督促落实培训内容和学时，确保培训信息真实有效。推进驾驶培训机构监管平台与考试系统联网对接，实现驾驶培训与考试信息共享，确保培训与考试有效衔接。</w:t>
      </w:r>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三、维护范围</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本项目维护包括陕西省驾驶培训监管服务平台、陕西省机动车驾驶员培训公共服务平台和陕西省机动车驾驶员培训机构信息互动平台。</w:t>
      </w:r>
    </w:p>
    <w:p>
      <w:pPr>
        <w:spacing w:line="360" w:lineRule="auto"/>
        <w:ind w:firstLine="482" w:firstLineChars="200"/>
        <w:rPr>
          <w:rFonts w:ascii="黑体" w:hAnsi="仿宋" w:eastAsia="黑体" w:cs="黑体"/>
          <w:b/>
          <w:bCs/>
          <w:sz w:val="24"/>
        </w:rPr>
      </w:pPr>
      <w:r>
        <w:rPr>
          <w:rFonts w:hint="eastAsia" w:ascii="黑体" w:hAnsi="仿宋" w:eastAsia="黑体" w:cs="黑体"/>
          <w:b/>
          <w:bCs/>
          <w:sz w:val="24"/>
        </w:rPr>
        <w:t>四、技术服务要求</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本项目主要以平台系统运行的操作系统、网络、数据库、存储、驾培应用系统、接口服务等环境进行监测和维护支持，从中发现运行问题或故障，并及时组织技术人员给予解决。主要从以下方面进行维护：</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1.平台日常维护</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（1）做好陕西省驾驶培训监管服务平台与省内机动车驾驶员培训机构计时培训平台对接工作，根据采购人要求与全国驾驶培训数据交换与服务平台实现数据交换、共享。</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（2）定期对应用服务器和数据服务器进行巡检，巡检内容包括数据完整性检查、系统运行状态检查、功能检查、软件可用性和安全性检查等，并做好巡检记录。</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（3）现场或远程协助用户解决操作和使用中的问题处理。</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（4）在服务过程中进行文档记录，建立相应的维护资料库，以便于跟踪、分析问题。</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（5）具备详细的服务管理文档和服务操作文档，确保各项服务行为可追踪，服务效果可验证。</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（6）每季度形成并提交平台运行情况通报。</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2.平台信息安全维护</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（1）定期数据备份：由供应商将系统平台所有业务数据定期更新到采购人指定的备份服务器，确保系统数据安全。定期检查备份数据的完整性和准确性。</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（2）采取相应的安全策略：如定期修改系统管理员密码，提醒用户及时更新密码，加强访问控制等措施，提升系统抵抗外部攻击能力，确保系统安全可靠运行。</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（3）系统漏洞修补：适时对应用系统进行漏洞升级、修补，保证系统不受病毒及黑客攻击。</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（4）信息安全应急处置：供应商须根据国家相关规定，完成信息系统安全等级保护备案、测评等相关工作，并配合采购人做好系统安全应急处置工作。</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3.平台数据质量维护</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通过数据在应用和传输过程中可能涉及到的数据质量问题，按照相关标准和规范进行维护和整理，保障数据质量，确保数据满足采购方业务需求。</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4.平台功能升级</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按交通运输部及陕西省交通运输厅等部门的要求做好系统平台升级改造及数据交换等工作。</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5.驻场服务</w:t>
      </w:r>
    </w:p>
    <w:p>
      <w:pPr>
        <w:spacing w:line="360" w:lineRule="auto"/>
        <w:ind w:firstLine="480" w:firstLineChars="200"/>
        <w:rPr>
          <w:rFonts w:ascii="宋体" w:hAnsi="宋体"/>
          <w:bCs/>
          <w:sz w:val="24"/>
        </w:rPr>
      </w:pPr>
      <w:r>
        <w:rPr>
          <w:rFonts w:hint="eastAsia" w:ascii="宋体" w:hAnsi="宋体"/>
          <w:bCs/>
          <w:sz w:val="24"/>
        </w:rPr>
        <w:t>服务期内不少于一名人员驻场服务，驻场时间为工作日，每日驻场时间不少于八小时，法定节假日或特殊时期需安排专人值守。服务内容包括现场服务、巡检、故障排除、系统维护、技术咨询、人员培训、等开发与维护工作等。</w:t>
      </w:r>
    </w:p>
    <w:p>
      <w:pPr>
        <w:spacing w:line="360" w:lineRule="auto"/>
        <w:ind w:firstLine="480" w:firstLineChars="200"/>
        <w:rPr>
          <w:rFonts w:ascii="宋体" w:hAnsi="宋体"/>
          <w:bCs/>
          <w:sz w:val="24"/>
        </w:rPr>
      </w:pPr>
      <w:r>
        <w:rPr>
          <w:rFonts w:hint="eastAsia" w:ascii="宋体" w:hAnsi="宋体"/>
          <w:bCs/>
          <w:sz w:val="24"/>
        </w:rPr>
        <w:t>6.服务平台配置要求</w:t>
      </w:r>
    </w:p>
    <w:tbl>
      <w:tblPr>
        <w:tblStyle w:val="23"/>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698"/>
        <w:gridCol w:w="1243"/>
        <w:gridCol w:w="1267"/>
        <w:gridCol w:w="2058"/>
        <w:gridCol w:w="1566"/>
        <w:gridCol w:w="899"/>
        <w:gridCol w:w="749"/>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98" w:type="dxa"/>
            <w:shd w:val="clear" w:color="auto" w:fill="FFFFFF" w:themeFill="background1"/>
            <w:vAlign w:val="center"/>
          </w:tcPr>
          <w:p>
            <w:pPr>
              <w:jc w:val="center"/>
              <w:rPr>
                <w:rFonts w:ascii="宋体" w:hAnsi="宋体"/>
                <w:b/>
                <w:sz w:val="24"/>
              </w:rPr>
            </w:pPr>
            <w:r>
              <w:rPr>
                <w:rFonts w:hint="eastAsia" w:ascii="宋体" w:hAnsi="宋体"/>
                <w:b/>
                <w:sz w:val="24"/>
              </w:rPr>
              <w:t>序号</w:t>
            </w:r>
          </w:p>
        </w:tc>
        <w:tc>
          <w:tcPr>
            <w:tcW w:w="1243" w:type="dxa"/>
            <w:shd w:val="clear" w:color="auto" w:fill="FFFFFF" w:themeFill="background1"/>
            <w:vAlign w:val="center"/>
          </w:tcPr>
          <w:p>
            <w:pPr>
              <w:jc w:val="center"/>
              <w:rPr>
                <w:rFonts w:ascii="宋体" w:hAnsi="宋体"/>
                <w:b/>
                <w:sz w:val="24"/>
              </w:rPr>
            </w:pPr>
            <w:r>
              <w:rPr>
                <w:rFonts w:hint="eastAsia" w:ascii="宋体" w:hAnsi="宋体"/>
                <w:b/>
                <w:sz w:val="24"/>
              </w:rPr>
              <w:t>名称</w:t>
            </w:r>
          </w:p>
        </w:tc>
        <w:tc>
          <w:tcPr>
            <w:tcW w:w="1267" w:type="dxa"/>
            <w:shd w:val="clear" w:color="auto" w:fill="FFFFFF" w:themeFill="background1"/>
            <w:vAlign w:val="center"/>
          </w:tcPr>
          <w:p>
            <w:pPr>
              <w:jc w:val="center"/>
              <w:rPr>
                <w:rFonts w:ascii="宋体" w:hAnsi="宋体"/>
                <w:b/>
                <w:sz w:val="24"/>
              </w:rPr>
            </w:pPr>
            <w:r>
              <w:rPr>
                <w:rFonts w:hint="eastAsia" w:ascii="宋体" w:hAnsi="宋体"/>
                <w:b/>
                <w:sz w:val="24"/>
              </w:rPr>
              <w:t>用途</w:t>
            </w:r>
          </w:p>
        </w:tc>
        <w:tc>
          <w:tcPr>
            <w:tcW w:w="2058" w:type="dxa"/>
            <w:shd w:val="clear" w:color="auto" w:fill="FFFFFF" w:themeFill="background1"/>
            <w:vAlign w:val="center"/>
          </w:tcPr>
          <w:p>
            <w:pPr>
              <w:jc w:val="center"/>
              <w:rPr>
                <w:rFonts w:ascii="宋体" w:hAnsi="宋体"/>
                <w:b/>
                <w:sz w:val="24"/>
              </w:rPr>
            </w:pPr>
            <w:r>
              <w:rPr>
                <w:rFonts w:hint="eastAsia" w:ascii="宋体" w:hAnsi="宋体"/>
                <w:b/>
                <w:sz w:val="24"/>
              </w:rPr>
              <w:t>详细描述</w:t>
            </w:r>
          </w:p>
        </w:tc>
        <w:tc>
          <w:tcPr>
            <w:tcW w:w="1566" w:type="dxa"/>
            <w:shd w:val="clear" w:color="auto" w:fill="FFFFFF" w:themeFill="background1"/>
            <w:vAlign w:val="center"/>
          </w:tcPr>
          <w:p>
            <w:pPr>
              <w:jc w:val="center"/>
              <w:rPr>
                <w:rFonts w:ascii="宋体" w:hAnsi="宋体"/>
                <w:b/>
                <w:sz w:val="24"/>
              </w:rPr>
            </w:pPr>
            <w:r>
              <w:rPr>
                <w:rFonts w:hint="eastAsia" w:ascii="宋体" w:hAnsi="宋体"/>
                <w:b/>
                <w:sz w:val="24"/>
              </w:rPr>
              <w:t>配置</w:t>
            </w:r>
          </w:p>
        </w:tc>
        <w:tc>
          <w:tcPr>
            <w:tcW w:w="899" w:type="dxa"/>
            <w:shd w:val="clear" w:color="auto" w:fill="FFFFFF" w:themeFill="background1"/>
            <w:vAlign w:val="center"/>
          </w:tcPr>
          <w:p>
            <w:pPr>
              <w:jc w:val="center"/>
              <w:rPr>
                <w:rFonts w:ascii="宋体" w:hAnsi="宋体"/>
                <w:b/>
                <w:sz w:val="24"/>
              </w:rPr>
            </w:pPr>
            <w:r>
              <w:rPr>
                <w:rFonts w:hint="eastAsia" w:ascii="宋体" w:hAnsi="宋体"/>
                <w:b/>
                <w:sz w:val="24"/>
              </w:rPr>
              <w:t>带宽</w:t>
            </w:r>
          </w:p>
        </w:tc>
        <w:tc>
          <w:tcPr>
            <w:tcW w:w="749" w:type="dxa"/>
            <w:shd w:val="clear" w:color="auto" w:fill="FFFFFF" w:themeFill="background1"/>
            <w:vAlign w:val="center"/>
          </w:tcPr>
          <w:p>
            <w:pPr>
              <w:jc w:val="center"/>
              <w:rPr>
                <w:rFonts w:ascii="宋体" w:hAnsi="宋体"/>
                <w:b/>
                <w:sz w:val="24"/>
              </w:rPr>
            </w:pPr>
            <w:r>
              <w:rPr>
                <w:rFonts w:hint="eastAsia" w:ascii="宋体" w:hAnsi="宋体"/>
                <w:b/>
                <w:sz w:val="24"/>
              </w:rPr>
              <w:t>数量</w:t>
            </w:r>
          </w:p>
        </w:tc>
        <w:tc>
          <w:tcPr>
            <w:tcW w:w="698" w:type="dxa"/>
            <w:shd w:val="clear" w:color="auto" w:fill="FFFFFF" w:themeFill="background1"/>
            <w:vAlign w:val="center"/>
          </w:tcPr>
          <w:p>
            <w:pPr>
              <w:jc w:val="center"/>
              <w:rPr>
                <w:rFonts w:ascii="宋体" w:hAnsi="宋体"/>
                <w:b/>
                <w:sz w:val="24"/>
              </w:rPr>
            </w:pPr>
            <w:r>
              <w:rPr>
                <w:rFonts w:hint="eastAsia" w:ascii="宋体" w:hAnsi="宋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1</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TCP实时通信服务器</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TCP实时通信数据接收服务器</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接收计时平台图片、轨迹等实时数据上传</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CPU核数：8核</w:t>
            </w:r>
          </w:p>
          <w:p>
            <w:pPr>
              <w:jc w:val="left"/>
              <w:rPr>
                <w:rFonts w:ascii="宋体" w:hAnsi="宋体"/>
                <w:sz w:val="24"/>
              </w:rPr>
            </w:pPr>
            <w:r>
              <w:rPr>
                <w:rFonts w:hint="eastAsia" w:ascii="宋体" w:hAnsi="宋体"/>
                <w:sz w:val="24"/>
              </w:rPr>
              <w:t>DDR内存：16G</w:t>
            </w:r>
          </w:p>
          <w:p>
            <w:pPr>
              <w:jc w:val="left"/>
              <w:rPr>
                <w:rFonts w:ascii="宋体" w:hAnsi="宋体"/>
                <w:sz w:val="24"/>
              </w:rPr>
            </w:pPr>
            <w:r>
              <w:rPr>
                <w:rFonts w:hint="eastAsia" w:ascii="宋体" w:hAnsi="宋体"/>
                <w:sz w:val="24"/>
              </w:rPr>
              <w:t>硬盘：300G</w:t>
            </w:r>
          </w:p>
        </w:tc>
        <w:tc>
          <w:tcPr>
            <w:tcW w:w="899" w:type="dxa"/>
            <w:shd w:val="clear" w:color="auto" w:fill="FFFFFF" w:themeFill="background1"/>
            <w:vAlign w:val="center"/>
          </w:tcPr>
          <w:p>
            <w:pPr>
              <w:jc w:val="center"/>
              <w:rPr>
                <w:rFonts w:ascii="宋体" w:hAnsi="宋体"/>
                <w:sz w:val="24"/>
              </w:rPr>
            </w:pPr>
            <w:r>
              <w:rPr>
                <w:rFonts w:hint="eastAsia" w:ascii="宋体" w:hAnsi="宋体"/>
                <w:sz w:val="24"/>
              </w:rPr>
              <w:t>10Mbps</w:t>
            </w: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2</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2</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HTTP通信服务器</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HTTP数据接收接口服务器</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接收计时平台基础数据、学时记录上传</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CPU核数：8核</w:t>
            </w:r>
          </w:p>
          <w:p>
            <w:pPr>
              <w:jc w:val="left"/>
              <w:rPr>
                <w:rFonts w:ascii="宋体" w:hAnsi="宋体"/>
                <w:sz w:val="24"/>
              </w:rPr>
            </w:pPr>
            <w:r>
              <w:rPr>
                <w:rFonts w:hint="eastAsia" w:ascii="宋体" w:hAnsi="宋体"/>
                <w:sz w:val="24"/>
              </w:rPr>
              <w:t>DDR内存：16G</w:t>
            </w:r>
          </w:p>
          <w:p>
            <w:pPr>
              <w:jc w:val="left"/>
              <w:rPr>
                <w:rFonts w:ascii="宋体" w:hAnsi="宋体"/>
                <w:sz w:val="24"/>
              </w:rPr>
            </w:pPr>
            <w:r>
              <w:rPr>
                <w:rFonts w:hint="eastAsia" w:ascii="宋体" w:hAnsi="宋体"/>
                <w:sz w:val="24"/>
              </w:rPr>
              <w:t>硬盘：300G</w:t>
            </w:r>
          </w:p>
        </w:tc>
        <w:tc>
          <w:tcPr>
            <w:tcW w:w="899" w:type="dxa"/>
            <w:shd w:val="clear" w:color="auto" w:fill="FFFFFF" w:themeFill="background1"/>
            <w:vAlign w:val="center"/>
          </w:tcPr>
          <w:p>
            <w:pPr>
              <w:jc w:val="center"/>
              <w:rPr>
                <w:rFonts w:ascii="宋体" w:hAnsi="宋体"/>
                <w:sz w:val="24"/>
              </w:rPr>
            </w:pPr>
            <w:r>
              <w:rPr>
                <w:rFonts w:hint="eastAsia" w:ascii="宋体" w:hAnsi="宋体"/>
                <w:sz w:val="24"/>
              </w:rPr>
              <w:t>10Mbps</w:t>
            </w: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2</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3</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后台管理服务器</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用于后台管理</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用于监管平台日常管理服务</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CPU核数：4核</w:t>
            </w:r>
          </w:p>
          <w:p>
            <w:pPr>
              <w:jc w:val="left"/>
              <w:rPr>
                <w:rFonts w:ascii="宋体" w:hAnsi="宋体"/>
                <w:sz w:val="24"/>
              </w:rPr>
            </w:pPr>
            <w:r>
              <w:rPr>
                <w:rFonts w:hint="eastAsia" w:ascii="宋体" w:hAnsi="宋体"/>
                <w:sz w:val="24"/>
              </w:rPr>
              <w:t>DDR内存：8G</w:t>
            </w:r>
          </w:p>
          <w:p>
            <w:pPr>
              <w:jc w:val="left"/>
              <w:rPr>
                <w:rFonts w:ascii="宋体" w:hAnsi="宋体"/>
                <w:sz w:val="24"/>
              </w:rPr>
            </w:pPr>
            <w:r>
              <w:rPr>
                <w:rFonts w:hint="eastAsia" w:ascii="宋体" w:hAnsi="宋体"/>
                <w:sz w:val="24"/>
              </w:rPr>
              <w:t>硬盘：40G</w:t>
            </w:r>
          </w:p>
        </w:tc>
        <w:tc>
          <w:tcPr>
            <w:tcW w:w="899" w:type="dxa"/>
            <w:shd w:val="clear" w:color="auto" w:fill="FFFFFF" w:themeFill="background1"/>
            <w:vAlign w:val="center"/>
          </w:tcPr>
          <w:p>
            <w:pPr>
              <w:jc w:val="center"/>
              <w:rPr>
                <w:rFonts w:ascii="宋体" w:hAnsi="宋体"/>
                <w:sz w:val="24"/>
              </w:rPr>
            </w:pP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1</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4</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公共服务网站服务器</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用于公众服务平台网站的访问</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提供公共服务网站访问服务</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CPU核数：8核</w:t>
            </w:r>
          </w:p>
          <w:p>
            <w:pPr>
              <w:jc w:val="left"/>
              <w:rPr>
                <w:rFonts w:ascii="宋体" w:hAnsi="宋体"/>
                <w:sz w:val="24"/>
              </w:rPr>
            </w:pPr>
            <w:r>
              <w:rPr>
                <w:rFonts w:hint="eastAsia" w:ascii="宋体" w:hAnsi="宋体"/>
                <w:sz w:val="24"/>
              </w:rPr>
              <w:t>DDR内存：16G</w:t>
            </w:r>
          </w:p>
          <w:p>
            <w:pPr>
              <w:jc w:val="left"/>
              <w:rPr>
                <w:rFonts w:ascii="宋体" w:hAnsi="宋体"/>
                <w:sz w:val="24"/>
              </w:rPr>
            </w:pPr>
            <w:r>
              <w:rPr>
                <w:rFonts w:hint="eastAsia" w:ascii="宋体" w:hAnsi="宋体"/>
                <w:sz w:val="24"/>
              </w:rPr>
              <w:t>硬盘：3000G</w:t>
            </w:r>
          </w:p>
        </w:tc>
        <w:tc>
          <w:tcPr>
            <w:tcW w:w="899" w:type="dxa"/>
            <w:shd w:val="clear" w:color="auto" w:fill="FFFFFF" w:themeFill="background1"/>
            <w:vAlign w:val="center"/>
          </w:tcPr>
          <w:p>
            <w:pPr>
              <w:jc w:val="center"/>
              <w:rPr>
                <w:rFonts w:ascii="宋体" w:hAnsi="宋体"/>
                <w:sz w:val="24"/>
              </w:rPr>
            </w:pPr>
            <w:r>
              <w:rPr>
                <w:rFonts w:hint="eastAsia" w:ascii="宋体" w:hAnsi="宋体"/>
                <w:sz w:val="24"/>
              </w:rPr>
              <w:t>5Mbps</w:t>
            </w: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1</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5</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实时通信缓存服务器</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用于实时通信环迅数据的处理</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用于实时通讯数据缓存服务处理</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CPU核数：8核</w:t>
            </w:r>
          </w:p>
          <w:p>
            <w:pPr>
              <w:jc w:val="left"/>
              <w:rPr>
                <w:rFonts w:ascii="宋体" w:hAnsi="宋体"/>
                <w:sz w:val="24"/>
              </w:rPr>
            </w:pPr>
            <w:r>
              <w:rPr>
                <w:rFonts w:hint="eastAsia" w:ascii="宋体" w:hAnsi="宋体"/>
                <w:sz w:val="24"/>
              </w:rPr>
              <w:t>DDR内存：24G</w:t>
            </w:r>
          </w:p>
          <w:p>
            <w:pPr>
              <w:jc w:val="left"/>
              <w:rPr>
                <w:rFonts w:ascii="宋体" w:hAnsi="宋体"/>
                <w:sz w:val="24"/>
              </w:rPr>
            </w:pPr>
            <w:r>
              <w:rPr>
                <w:rFonts w:hint="eastAsia" w:ascii="宋体" w:hAnsi="宋体"/>
                <w:sz w:val="24"/>
              </w:rPr>
              <w:t>容量：2000G</w:t>
            </w:r>
          </w:p>
        </w:tc>
        <w:tc>
          <w:tcPr>
            <w:tcW w:w="899" w:type="dxa"/>
            <w:shd w:val="clear" w:color="auto" w:fill="FFFFFF" w:themeFill="background1"/>
            <w:vAlign w:val="center"/>
          </w:tcPr>
          <w:p>
            <w:pPr>
              <w:jc w:val="center"/>
              <w:rPr>
                <w:rFonts w:ascii="宋体" w:hAnsi="宋体"/>
                <w:sz w:val="24"/>
              </w:rPr>
            </w:pP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1</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6</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数据库服务器</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用于储存基础数据</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存储驾培基础数据；1台运行使用，1台备用</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CPU核数：8核</w:t>
            </w:r>
          </w:p>
          <w:p>
            <w:pPr>
              <w:jc w:val="left"/>
              <w:rPr>
                <w:rFonts w:ascii="宋体" w:hAnsi="宋体"/>
                <w:sz w:val="24"/>
              </w:rPr>
            </w:pPr>
            <w:r>
              <w:rPr>
                <w:rFonts w:hint="eastAsia" w:ascii="宋体" w:hAnsi="宋体"/>
                <w:sz w:val="24"/>
              </w:rPr>
              <w:t>DDR内存：32G</w:t>
            </w:r>
          </w:p>
          <w:p>
            <w:pPr>
              <w:jc w:val="left"/>
              <w:rPr>
                <w:rFonts w:ascii="宋体" w:hAnsi="宋体"/>
                <w:sz w:val="24"/>
              </w:rPr>
            </w:pPr>
            <w:r>
              <w:rPr>
                <w:rFonts w:hint="eastAsia" w:ascii="宋体" w:hAnsi="宋体"/>
                <w:sz w:val="24"/>
              </w:rPr>
              <w:t>容量：10000G</w:t>
            </w:r>
          </w:p>
        </w:tc>
        <w:tc>
          <w:tcPr>
            <w:tcW w:w="899" w:type="dxa"/>
            <w:shd w:val="clear" w:color="auto" w:fill="FFFFFF" w:themeFill="background1"/>
            <w:vAlign w:val="center"/>
          </w:tcPr>
          <w:p>
            <w:pPr>
              <w:jc w:val="center"/>
              <w:rPr>
                <w:rFonts w:ascii="宋体" w:hAnsi="宋体"/>
                <w:sz w:val="24"/>
              </w:rPr>
            </w:pP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2</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7</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RDS数据储存</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大数据文件资源存储</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 xml:space="preserve">提供文件存储服务；提供3年存储(15T) </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容量: 15TB</w:t>
            </w:r>
          </w:p>
        </w:tc>
        <w:tc>
          <w:tcPr>
            <w:tcW w:w="899" w:type="dxa"/>
            <w:shd w:val="clear" w:color="auto" w:fill="FFFFFF" w:themeFill="background1"/>
            <w:vAlign w:val="center"/>
          </w:tcPr>
          <w:p>
            <w:pPr>
              <w:jc w:val="center"/>
              <w:rPr>
                <w:rFonts w:ascii="宋体" w:hAnsi="宋体"/>
                <w:sz w:val="24"/>
              </w:rPr>
            </w:pP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1</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8</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网络</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独享网络</w:t>
            </w:r>
          </w:p>
        </w:tc>
        <w:tc>
          <w:tcPr>
            <w:tcW w:w="2058" w:type="dxa"/>
            <w:shd w:val="clear" w:color="auto" w:fill="FFFFFF" w:themeFill="background1"/>
            <w:vAlign w:val="center"/>
          </w:tcPr>
          <w:p>
            <w:pPr>
              <w:jc w:val="left"/>
              <w:rPr>
                <w:rFonts w:ascii="宋体" w:hAnsi="宋体"/>
                <w:sz w:val="24"/>
              </w:rPr>
            </w:pP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上行：5M 下行：10M</w:t>
            </w:r>
          </w:p>
        </w:tc>
        <w:tc>
          <w:tcPr>
            <w:tcW w:w="899" w:type="dxa"/>
            <w:shd w:val="clear" w:color="auto" w:fill="FFFFFF" w:themeFill="background1"/>
            <w:vAlign w:val="center"/>
          </w:tcPr>
          <w:p>
            <w:pPr>
              <w:jc w:val="center"/>
              <w:rPr>
                <w:rFonts w:ascii="宋体" w:hAnsi="宋体"/>
                <w:sz w:val="24"/>
              </w:rPr>
            </w:pP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1</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9</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防火墙</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用于防攻击</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实时防范服务器受攻击</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ASA5580-40-10GE-K9</w:t>
            </w:r>
          </w:p>
        </w:tc>
        <w:tc>
          <w:tcPr>
            <w:tcW w:w="899" w:type="dxa"/>
            <w:shd w:val="clear" w:color="auto" w:fill="FFFFFF" w:themeFill="background1"/>
            <w:vAlign w:val="center"/>
          </w:tcPr>
          <w:p>
            <w:pPr>
              <w:jc w:val="center"/>
              <w:rPr>
                <w:rFonts w:ascii="宋体" w:hAnsi="宋体"/>
                <w:sz w:val="24"/>
              </w:rPr>
            </w:pP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1</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10</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操作系统</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操作系统</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 xml:space="preserve">Centos linux </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 xml:space="preserve">Centos 7.8 </w:t>
            </w:r>
          </w:p>
        </w:tc>
        <w:tc>
          <w:tcPr>
            <w:tcW w:w="899" w:type="dxa"/>
            <w:shd w:val="clear" w:color="auto" w:fill="FFFFFF" w:themeFill="background1"/>
            <w:vAlign w:val="center"/>
          </w:tcPr>
          <w:p>
            <w:pPr>
              <w:jc w:val="center"/>
              <w:rPr>
                <w:rFonts w:ascii="宋体" w:hAnsi="宋体"/>
                <w:sz w:val="24"/>
              </w:rPr>
            </w:pP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10</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11</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数据库</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数据库</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 xml:space="preserve">关系型数据库Mysql </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MySQL5.6</w:t>
            </w:r>
          </w:p>
        </w:tc>
        <w:tc>
          <w:tcPr>
            <w:tcW w:w="899" w:type="dxa"/>
            <w:shd w:val="clear" w:color="auto" w:fill="FFFFFF" w:themeFill="background1"/>
            <w:vAlign w:val="center"/>
          </w:tcPr>
          <w:p>
            <w:pPr>
              <w:jc w:val="center"/>
              <w:rPr>
                <w:rFonts w:ascii="宋体" w:hAnsi="宋体"/>
                <w:sz w:val="24"/>
              </w:rPr>
            </w:pP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2</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12</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Web发布</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Web发布中间件</w:t>
            </w:r>
          </w:p>
        </w:tc>
        <w:tc>
          <w:tcPr>
            <w:tcW w:w="2058" w:type="dxa"/>
            <w:shd w:val="clear" w:color="auto" w:fill="FFFFFF" w:themeFill="background1"/>
            <w:vAlign w:val="center"/>
          </w:tcPr>
          <w:p>
            <w:pPr>
              <w:jc w:val="left"/>
              <w:rPr>
                <w:rFonts w:ascii="宋体" w:hAnsi="宋体"/>
                <w:sz w:val="24"/>
              </w:rPr>
            </w:pPr>
            <w:r>
              <w:rPr>
                <w:rFonts w:hint="eastAsia" w:ascii="宋体" w:hAnsi="宋体"/>
                <w:sz w:val="24"/>
              </w:rPr>
              <w:t>用于应用发布</w:t>
            </w:r>
          </w:p>
        </w:tc>
        <w:tc>
          <w:tcPr>
            <w:tcW w:w="1566" w:type="dxa"/>
            <w:shd w:val="clear" w:color="auto" w:fill="FFFFFF" w:themeFill="background1"/>
            <w:vAlign w:val="center"/>
          </w:tcPr>
          <w:p>
            <w:pPr>
              <w:jc w:val="left"/>
              <w:rPr>
                <w:rFonts w:ascii="宋体" w:hAnsi="宋体"/>
                <w:sz w:val="24"/>
              </w:rPr>
            </w:pPr>
            <w:r>
              <w:rPr>
                <w:rFonts w:hint="eastAsia" w:ascii="宋体" w:hAnsi="宋体"/>
                <w:sz w:val="24"/>
              </w:rPr>
              <w:t>Tomcat 8.0</w:t>
            </w:r>
          </w:p>
        </w:tc>
        <w:tc>
          <w:tcPr>
            <w:tcW w:w="899" w:type="dxa"/>
            <w:shd w:val="clear" w:color="auto" w:fill="FFFFFF" w:themeFill="background1"/>
            <w:vAlign w:val="center"/>
          </w:tcPr>
          <w:p>
            <w:pPr>
              <w:jc w:val="center"/>
              <w:rPr>
                <w:rFonts w:ascii="宋体" w:hAnsi="宋体"/>
                <w:sz w:val="24"/>
              </w:rPr>
            </w:pP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8</w:t>
            </w:r>
          </w:p>
        </w:tc>
        <w:tc>
          <w:tcPr>
            <w:tcW w:w="698" w:type="dxa"/>
            <w:shd w:val="clear" w:color="auto" w:fill="FFFFFF" w:themeFill="background1"/>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shd w:val="clear" w:color="auto" w:fill="FFFFFF" w:themeFill="background1"/>
            <w:vAlign w:val="center"/>
          </w:tcPr>
          <w:p>
            <w:pPr>
              <w:jc w:val="center"/>
              <w:rPr>
                <w:rFonts w:ascii="宋体" w:hAnsi="宋体"/>
                <w:sz w:val="24"/>
              </w:rPr>
            </w:pPr>
            <w:r>
              <w:rPr>
                <w:rFonts w:hint="eastAsia" w:ascii="宋体" w:hAnsi="宋体"/>
                <w:sz w:val="24"/>
              </w:rPr>
              <w:t>13</w:t>
            </w:r>
          </w:p>
        </w:tc>
        <w:tc>
          <w:tcPr>
            <w:tcW w:w="1243" w:type="dxa"/>
            <w:shd w:val="clear" w:color="auto" w:fill="FFFFFF" w:themeFill="background1"/>
            <w:vAlign w:val="center"/>
          </w:tcPr>
          <w:p>
            <w:pPr>
              <w:jc w:val="center"/>
              <w:rPr>
                <w:rFonts w:ascii="宋体" w:hAnsi="宋体"/>
                <w:sz w:val="24"/>
              </w:rPr>
            </w:pPr>
            <w:r>
              <w:rPr>
                <w:rFonts w:hint="eastAsia" w:ascii="宋体" w:hAnsi="宋体"/>
                <w:sz w:val="24"/>
              </w:rPr>
              <w:t>人脸识别服务</w:t>
            </w:r>
          </w:p>
        </w:tc>
        <w:tc>
          <w:tcPr>
            <w:tcW w:w="1267" w:type="dxa"/>
            <w:shd w:val="clear" w:color="auto" w:fill="FFFFFF" w:themeFill="background1"/>
            <w:vAlign w:val="center"/>
          </w:tcPr>
          <w:p>
            <w:pPr>
              <w:jc w:val="center"/>
              <w:rPr>
                <w:rFonts w:ascii="宋体" w:hAnsi="宋体"/>
                <w:sz w:val="24"/>
              </w:rPr>
            </w:pPr>
            <w:r>
              <w:rPr>
                <w:rFonts w:hint="eastAsia" w:ascii="宋体" w:hAnsi="宋体"/>
                <w:sz w:val="24"/>
              </w:rPr>
              <w:t>用于拍照照片识别</w:t>
            </w:r>
          </w:p>
        </w:tc>
        <w:tc>
          <w:tcPr>
            <w:tcW w:w="2058" w:type="dxa"/>
            <w:shd w:val="clear" w:color="auto" w:fill="FFFFFF" w:themeFill="background1"/>
            <w:vAlign w:val="center"/>
          </w:tcPr>
          <w:p>
            <w:pPr>
              <w:jc w:val="center"/>
              <w:rPr>
                <w:rFonts w:ascii="宋体" w:hAnsi="宋体"/>
                <w:sz w:val="24"/>
              </w:rPr>
            </w:pPr>
            <w:r>
              <w:rPr>
                <w:rFonts w:hint="eastAsia" w:ascii="宋体" w:hAnsi="宋体"/>
                <w:sz w:val="24"/>
              </w:rPr>
              <w:t>人脸识别云端比对引擎（云之眼）</w:t>
            </w:r>
          </w:p>
        </w:tc>
        <w:tc>
          <w:tcPr>
            <w:tcW w:w="1566" w:type="dxa"/>
            <w:shd w:val="clear" w:color="auto" w:fill="FFFFFF" w:themeFill="background1"/>
            <w:vAlign w:val="center"/>
          </w:tcPr>
          <w:p>
            <w:pPr>
              <w:jc w:val="center"/>
              <w:rPr>
                <w:rFonts w:ascii="宋体" w:hAnsi="宋体"/>
                <w:sz w:val="24"/>
              </w:rPr>
            </w:pPr>
          </w:p>
        </w:tc>
        <w:tc>
          <w:tcPr>
            <w:tcW w:w="899" w:type="dxa"/>
            <w:shd w:val="clear" w:color="auto" w:fill="FFFFFF" w:themeFill="background1"/>
            <w:vAlign w:val="center"/>
          </w:tcPr>
          <w:p>
            <w:pPr>
              <w:jc w:val="center"/>
              <w:rPr>
                <w:rFonts w:ascii="宋体" w:hAnsi="宋体"/>
                <w:sz w:val="24"/>
              </w:rPr>
            </w:pPr>
          </w:p>
        </w:tc>
        <w:tc>
          <w:tcPr>
            <w:tcW w:w="749" w:type="dxa"/>
            <w:shd w:val="clear" w:color="auto" w:fill="FFFFFF" w:themeFill="background1"/>
            <w:vAlign w:val="center"/>
          </w:tcPr>
          <w:p>
            <w:pPr>
              <w:jc w:val="center"/>
              <w:rPr>
                <w:rFonts w:ascii="宋体" w:hAnsi="宋体"/>
                <w:sz w:val="24"/>
              </w:rPr>
            </w:pPr>
            <w:r>
              <w:rPr>
                <w:rFonts w:hint="eastAsia" w:ascii="宋体" w:hAnsi="宋体"/>
                <w:sz w:val="24"/>
              </w:rPr>
              <w:t>2</w:t>
            </w:r>
          </w:p>
        </w:tc>
        <w:tc>
          <w:tcPr>
            <w:tcW w:w="698" w:type="dxa"/>
            <w:shd w:val="clear" w:color="auto" w:fill="FFFFFF" w:themeFill="background1"/>
            <w:vAlign w:val="center"/>
          </w:tcPr>
          <w:p>
            <w:pPr>
              <w:jc w:val="center"/>
              <w:rPr>
                <w:rFonts w:ascii="宋体" w:hAnsi="宋体"/>
                <w:sz w:val="24"/>
              </w:rPr>
            </w:pPr>
          </w:p>
        </w:tc>
      </w:tr>
    </w:tbl>
    <w:p>
      <w:pPr>
        <w:spacing w:line="360" w:lineRule="auto"/>
        <w:ind w:firstLine="482" w:firstLineChars="200"/>
        <w:rPr>
          <w:rFonts w:ascii="黑体" w:hAnsi="仿宋" w:eastAsia="黑体" w:cs="黑体"/>
          <w:b/>
          <w:bCs/>
          <w:sz w:val="24"/>
        </w:rPr>
      </w:pPr>
    </w:p>
    <w:p>
      <w:pPr>
        <w:spacing w:line="360" w:lineRule="auto"/>
        <w:ind w:firstLine="480" w:firstLineChars="200"/>
        <w:rPr>
          <w:rFonts w:ascii="黑体" w:hAnsi="仿宋" w:eastAsia="黑体" w:cs="黑体"/>
          <w:b/>
          <w:bCs/>
          <w:sz w:val="24"/>
        </w:rPr>
      </w:pPr>
      <w:r>
        <w:rPr>
          <w:rFonts w:hint="eastAsia" w:ascii="宋体" w:hAnsi="宋体"/>
          <w:bCs/>
          <w:color w:val="000000"/>
          <w:sz w:val="24"/>
        </w:rPr>
        <w:t>7.项目验收：成交供应商对项目合同约定的工作完成后，由项目成交供应商提供书面申请，书面提供测试合格的报告，由采购人组织项目验收。</w:t>
      </w:r>
    </w:p>
    <w:p>
      <w:pPr>
        <w:spacing w:line="360" w:lineRule="auto"/>
        <w:ind w:firstLine="482" w:firstLineChars="200"/>
        <w:rPr>
          <w:rFonts w:ascii="宋体" w:hAnsi="宋体"/>
          <w:color w:val="000000"/>
          <w:sz w:val="24"/>
        </w:rPr>
      </w:pPr>
      <w:r>
        <w:rPr>
          <w:rFonts w:hint="eastAsia" w:ascii="黑体" w:hAnsi="仿宋" w:eastAsia="黑体" w:cs="黑体"/>
          <w:b/>
          <w:bCs/>
          <w:sz w:val="24"/>
        </w:rPr>
        <w:t>五、结算要求</w:t>
      </w:r>
    </w:p>
    <w:p>
      <w:pPr>
        <w:spacing w:line="360" w:lineRule="auto"/>
        <w:ind w:firstLine="482" w:firstLineChars="200"/>
        <w:rPr>
          <w:rFonts w:ascii="宋体" w:hAnsi="宋体" w:eastAsiaTheme="minorEastAsia"/>
          <w:b/>
          <w:bCs/>
          <w:color w:val="000000"/>
          <w:sz w:val="24"/>
        </w:rPr>
      </w:pPr>
      <w:r>
        <w:rPr>
          <w:rFonts w:hint="eastAsia" w:ascii="宋体" w:hAnsi="宋体" w:eastAsiaTheme="minorEastAsia"/>
          <w:b/>
          <w:bCs/>
          <w:color w:val="000000"/>
          <w:sz w:val="24"/>
        </w:rPr>
        <w:t>1.付款方式：</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合同签订前，成交供应商需先缴纳合同总价款5%履约保证金。履约保证金在运维服务期满验收合格后一次无息退回，若成交供应商违约，采购人有权从履约保证金中直接扣减。</w:t>
      </w:r>
    </w:p>
    <w:p>
      <w:pPr>
        <w:spacing w:line="360" w:lineRule="auto"/>
        <w:ind w:firstLine="482" w:firstLineChars="200"/>
        <w:rPr>
          <w:rFonts w:ascii="宋体" w:hAnsi="宋体" w:eastAsiaTheme="minorEastAsia"/>
          <w:b/>
          <w:bCs/>
          <w:color w:val="000000"/>
          <w:sz w:val="24"/>
        </w:rPr>
      </w:pPr>
      <w:r>
        <w:rPr>
          <w:rFonts w:hint="eastAsia" w:ascii="宋体" w:hAnsi="宋体" w:eastAsiaTheme="minorEastAsia"/>
          <w:b/>
          <w:bCs/>
          <w:color w:val="000000"/>
          <w:sz w:val="24"/>
        </w:rPr>
        <w:t xml:space="preserve">2.服务费支付方式： </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（1）合同签订后90日内，支付合同总金额的50%；</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（2）履行运维服务满6个月后且系统运行平稳，成交供应商提交截止到2023年6月30日的运维服务报告及付款申请，或在财政预算执行时限内，支付剩余50%合同款项；</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（3）运维服务期满且验收合格后，采购人在30日内将履约保证金一次性无息退还；</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（4）供应商在采购人办理以上各期付款的支付手续前，应向采购人出具等额的符合国家规定的发票；</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（5）上述时间不包括采购人正常办理支付报批手续的时间。</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（6）执行过程中，合同总金额如遇财政预算核减，按财政核减后金额执行。</w:t>
      </w:r>
    </w:p>
    <w:p>
      <w:pPr>
        <w:spacing w:line="360" w:lineRule="auto"/>
        <w:ind w:firstLine="482" w:firstLineChars="200"/>
        <w:rPr>
          <w:rFonts w:ascii="宋体" w:hAnsi="宋体" w:eastAsiaTheme="minorEastAsia"/>
          <w:b/>
          <w:bCs/>
          <w:color w:val="000000"/>
          <w:sz w:val="24"/>
        </w:rPr>
      </w:pPr>
      <w:r>
        <w:rPr>
          <w:rFonts w:hint="eastAsia" w:ascii="宋体" w:hAnsi="宋体" w:eastAsiaTheme="minorEastAsia"/>
          <w:b/>
          <w:bCs/>
          <w:color w:val="000000"/>
          <w:sz w:val="24"/>
        </w:rPr>
        <w:t>3.结算方式：</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银行转账。</w:t>
      </w:r>
    </w:p>
    <w:p>
      <w:pPr>
        <w:spacing w:line="360" w:lineRule="auto"/>
        <w:ind w:firstLine="480" w:firstLineChars="200"/>
        <w:rPr>
          <w:rFonts w:ascii="宋体" w:hAnsi="宋体" w:eastAsiaTheme="minorEastAsia"/>
          <w:color w:val="000000"/>
          <w:sz w:val="24"/>
        </w:rPr>
      </w:pPr>
      <w:r>
        <w:rPr>
          <w:rFonts w:hint="eastAsia" w:ascii="宋体" w:hAnsi="宋体" w:eastAsiaTheme="minorEastAsia"/>
          <w:color w:val="000000"/>
          <w:sz w:val="24"/>
        </w:rPr>
        <w:t>成交供应商</w:t>
      </w:r>
      <w:r>
        <w:rPr>
          <w:rFonts w:hint="eastAsia" w:ascii="宋体" w:hAnsi="宋体" w:eastAsiaTheme="minorEastAsia"/>
          <w:color w:val="000000"/>
          <w:sz w:val="24"/>
          <w:lang w:val="zh-TW"/>
        </w:rPr>
        <w:t>对</w:t>
      </w:r>
      <w:r>
        <w:rPr>
          <w:rFonts w:hint="eastAsia" w:ascii="宋体" w:hAnsi="宋体" w:eastAsiaTheme="minorEastAsia"/>
          <w:color w:val="000000"/>
          <w:sz w:val="24"/>
        </w:rPr>
        <w:t>其</w:t>
      </w:r>
      <w:r>
        <w:rPr>
          <w:rFonts w:hint="eastAsia" w:ascii="宋体" w:hAnsi="宋体" w:eastAsiaTheme="minorEastAsia"/>
          <w:color w:val="000000"/>
          <w:sz w:val="24"/>
          <w:lang w:val="zh-TW"/>
        </w:rPr>
        <w:t>账户信息的准确性和可用性承担全部责任，若</w:t>
      </w:r>
      <w:r>
        <w:rPr>
          <w:rFonts w:hint="eastAsia" w:ascii="宋体" w:hAnsi="宋体" w:eastAsiaTheme="minorEastAsia"/>
          <w:color w:val="000000"/>
          <w:sz w:val="24"/>
        </w:rPr>
        <w:t>其提供的</w:t>
      </w:r>
      <w:r>
        <w:rPr>
          <w:rFonts w:hint="eastAsia" w:ascii="宋体" w:hAnsi="宋体" w:eastAsiaTheme="minorEastAsia"/>
          <w:color w:val="000000"/>
          <w:sz w:val="24"/>
          <w:lang w:val="zh-TW"/>
        </w:rPr>
        <w:t>账户信息发生任何变化，</w:t>
      </w:r>
      <w:r>
        <w:rPr>
          <w:rFonts w:hint="eastAsia" w:ascii="宋体" w:hAnsi="宋体" w:eastAsiaTheme="minorEastAsia"/>
          <w:color w:val="000000"/>
          <w:sz w:val="24"/>
        </w:rPr>
        <w:t>成交供应商</w:t>
      </w:r>
      <w:r>
        <w:rPr>
          <w:rFonts w:hint="eastAsia" w:ascii="宋体" w:hAnsi="宋体" w:eastAsiaTheme="minorEastAsia"/>
          <w:color w:val="000000"/>
          <w:sz w:val="24"/>
          <w:lang w:val="zh-TW"/>
        </w:rPr>
        <w:t>应提前5个工作日书面通知</w:t>
      </w:r>
      <w:r>
        <w:rPr>
          <w:rFonts w:hint="eastAsia" w:ascii="宋体" w:hAnsi="宋体" w:eastAsiaTheme="minorEastAsia"/>
          <w:color w:val="000000"/>
          <w:sz w:val="24"/>
        </w:rPr>
        <w:t>采购人</w:t>
      </w:r>
      <w:r>
        <w:rPr>
          <w:rFonts w:hint="eastAsia" w:ascii="宋体" w:hAnsi="宋体" w:eastAsiaTheme="minorEastAsia"/>
          <w:color w:val="000000"/>
          <w:sz w:val="24"/>
          <w:lang w:val="zh-TW"/>
        </w:rPr>
        <w:t>，否则</w:t>
      </w:r>
      <w:r>
        <w:rPr>
          <w:rFonts w:hint="eastAsia" w:ascii="宋体" w:hAnsi="宋体" w:eastAsiaTheme="minorEastAsia"/>
          <w:color w:val="000000"/>
          <w:sz w:val="24"/>
        </w:rPr>
        <w:t>采购人</w:t>
      </w:r>
      <w:r>
        <w:rPr>
          <w:rFonts w:hint="eastAsia" w:ascii="宋体" w:hAnsi="宋体" w:eastAsiaTheme="minorEastAsia"/>
          <w:color w:val="000000"/>
          <w:sz w:val="24"/>
          <w:lang w:val="zh-TW"/>
        </w:rPr>
        <w:t>不对</w:t>
      </w:r>
      <w:r>
        <w:rPr>
          <w:rFonts w:hint="eastAsia" w:ascii="宋体" w:hAnsi="宋体" w:eastAsiaTheme="minorEastAsia"/>
          <w:color w:val="000000"/>
          <w:sz w:val="24"/>
        </w:rPr>
        <w:t>成交供应商</w:t>
      </w:r>
      <w:r>
        <w:rPr>
          <w:rFonts w:hint="eastAsia" w:ascii="宋体" w:hAnsi="宋体" w:eastAsiaTheme="minorEastAsia"/>
          <w:color w:val="000000"/>
          <w:sz w:val="24"/>
          <w:lang w:val="zh-TW"/>
        </w:rPr>
        <w:t>未能收到或迟延收到任何款项承担责任。</w:t>
      </w: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sz w:val="24"/>
        </w:rPr>
      </w:pPr>
    </w:p>
    <w:p/>
    <w:p>
      <w:pPr>
        <w:pStyle w:val="9"/>
        <w:rPr>
          <w:rFonts w:ascii="宋体" w:hAnsi="宋体" w:cs="宋体" w:eastAsiaTheme="minorEastAsia"/>
          <w:color w:val="000000"/>
          <w:sz w:val="24"/>
        </w:rPr>
      </w:pPr>
    </w:p>
    <w:p/>
    <w:p>
      <w:pPr>
        <w:spacing w:line="360" w:lineRule="auto"/>
        <w:ind w:firstLine="480" w:firstLineChars="200"/>
        <w:outlineLvl w:val="1"/>
        <w:rPr>
          <w:rFonts w:asciiTheme="minorEastAsia" w:hAnsiTheme="minorEastAsia" w:cstheme="minorEastAsia"/>
          <w:sz w:val="24"/>
        </w:rPr>
      </w:pPr>
      <w:r>
        <w:rPr>
          <w:rFonts w:hint="eastAsia" w:asciiTheme="minorEastAsia" w:hAnsiTheme="minorEastAsia" w:cstheme="minorEastAsia"/>
          <w:sz w:val="24"/>
        </w:rPr>
        <w:br w:type="page"/>
      </w:r>
    </w:p>
    <w:p>
      <w:pPr>
        <w:spacing w:line="360" w:lineRule="auto"/>
        <w:jc w:val="center"/>
        <w:outlineLvl w:val="0"/>
        <w:rPr>
          <w:rFonts w:ascii="黑体" w:hAnsi="黑体" w:eastAsia="黑体" w:cs="黑体"/>
          <w:b/>
          <w:bCs/>
          <w:szCs w:val="32"/>
        </w:rPr>
      </w:pPr>
      <w:bookmarkStart w:id="11" w:name="_Toc25235"/>
      <w:r>
        <w:rPr>
          <w:rFonts w:hint="eastAsia" w:ascii="黑体" w:hAnsi="黑体" w:eastAsia="黑体" w:cs="黑体"/>
          <w:b/>
          <w:bCs/>
          <w:sz w:val="32"/>
          <w:szCs w:val="32"/>
        </w:rPr>
        <w:t>第三部分 供应商须知</w:t>
      </w:r>
      <w:bookmarkEnd w:id="11"/>
    </w:p>
    <w:p>
      <w:pPr>
        <w:spacing w:line="360" w:lineRule="auto"/>
        <w:jc w:val="center"/>
        <w:rPr>
          <w:b/>
          <w:sz w:val="32"/>
          <w:szCs w:val="32"/>
        </w:rPr>
      </w:pPr>
      <w:bookmarkStart w:id="12" w:name="_Toc22306"/>
      <w:bookmarkStart w:id="13" w:name="_Toc32436"/>
      <w:bookmarkStart w:id="14" w:name="_Toc31084"/>
      <w:r>
        <w:rPr>
          <w:rFonts w:hint="eastAsia"/>
          <w:b/>
          <w:sz w:val="32"/>
          <w:szCs w:val="32"/>
        </w:rPr>
        <w:t>响应须知前附表</w:t>
      </w:r>
      <w:r>
        <w:rPr>
          <w:rFonts w:hint="eastAsia"/>
          <w:b/>
        </w:rPr>
        <w:t>（如有不一致，以本表为准）</w:t>
      </w:r>
    </w:p>
    <w:tbl>
      <w:tblPr>
        <w:tblStyle w:val="22"/>
        <w:tblW w:w="1002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829"/>
        <w:gridCol w:w="836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9" w:type="dxa"/>
            <w:vAlign w:val="center"/>
          </w:tcPr>
          <w:p>
            <w:pPr>
              <w:jc w:val="center"/>
              <w:rPr>
                <w:rFonts w:ascii="黑体" w:hAnsi="黑体" w:eastAsia="黑体" w:cs="黑体"/>
                <w:b/>
                <w:sz w:val="24"/>
              </w:rPr>
            </w:pPr>
            <w:r>
              <w:rPr>
                <w:rFonts w:hint="eastAsia" w:ascii="黑体" w:hAnsi="黑体" w:eastAsia="黑体" w:cs="黑体"/>
                <w:b/>
                <w:sz w:val="24"/>
              </w:rPr>
              <w:t>序号</w:t>
            </w:r>
          </w:p>
        </w:tc>
        <w:tc>
          <w:tcPr>
            <w:tcW w:w="829" w:type="dxa"/>
            <w:vAlign w:val="center"/>
          </w:tcPr>
          <w:p>
            <w:pPr>
              <w:jc w:val="center"/>
              <w:rPr>
                <w:rFonts w:ascii="黑体" w:hAnsi="黑体" w:eastAsia="黑体" w:cs="黑体"/>
                <w:b/>
                <w:sz w:val="24"/>
              </w:rPr>
            </w:pPr>
            <w:r>
              <w:rPr>
                <w:rFonts w:hint="eastAsia" w:ascii="黑体" w:hAnsi="黑体" w:eastAsia="黑体" w:cs="黑体"/>
                <w:b/>
                <w:sz w:val="24"/>
              </w:rPr>
              <w:t>条款</w:t>
            </w:r>
          </w:p>
          <w:p>
            <w:pPr>
              <w:jc w:val="center"/>
              <w:rPr>
                <w:rFonts w:ascii="黑体" w:hAnsi="黑体" w:eastAsia="黑体" w:cs="黑体"/>
                <w:b/>
                <w:sz w:val="24"/>
              </w:rPr>
            </w:pPr>
            <w:r>
              <w:rPr>
                <w:rFonts w:hint="eastAsia" w:ascii="黑体" w:hAnsi="黑体" w:eastAsia="黑体" w:cs="黑体"/>
                <w:b/>
                <w:sz w:val="24"/>
              </w:rPr>
              <w:t>序号</w:t>
            </w:r>
          </w:p>
        </w:tc>
        <w:tc>
          <w:tcPr>
            <w:tcW w:w="8364" w:type="dxa"/>
            <w:vAlign w:val="center"/>
          </w:tcPr>
          <w:p>
            <w:pPr>
              <w:jc w:val="center"/>
              <w:rPr>
                <w:rFonts w:ascii="黑体" w:hAnsi="黑体" w:eastAsia="黑体" w:cs="黑体"/>
                <w:b/>
                <w:sz w:val="24"/>
              </w:rPr>
            </w:pPr>
            <w:r>
              <w:rPr>
                <w:rFonts w:hint="eastAsia" w:ascii="黑体" w:hAnsi="黑体" w:eastAsia="黑体" w:cs="黑体"/>
                <w:b/>
                <w:sz w:val="24"/>
              </w:rPr>
              <w:t>内  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jc w:val="center"/>
              <w:rPr>
                <w:b/>
              </w:rPr>
            </w:pPr>
          </w:p>
        </w:tc>
        <w:tc>
          <w:tcPr>
            <w:tcW w:w="829" w:type="dxa"/>
            <w:vAlign w:val="center"/>
          </w:tcPr>
          <w:p>
            <w:pPr>
              <w:jc w:val="center"/>
              <w:rPr>
                <w:b/>
              </w:rPr>
            </w:pPr>
          </w:p>
        </w:tc>
        <w:tc>
          <w:tcPr>
            <w:tcW w:w="8364" w:type="dxa"/>
            <w:vAlign w:val="center"/>
          </w:tcPr>
          <w:p>
            <w:pPr>
              <w:jc w:val="center"/>
              <w:rPr>
                <w:b/>
              </w:rPr>
            </w:pPr>
            <w:r>
              <w:rPr>
                <w:rFonts w:hint="eastAsia"/>
                <w:b/>
              </w:rPr>
              <w:t>一、 总则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w:t>
            </w:r>
          </w:p>
        </w:tc>
        <w:tc>
          <w:tcPr>
            <w:tcW w:w="829" w:type="dxa"/>
            <w:vAlign w:val="center"/>
          </w:tcPr>
          <w:p>
            <w:pPr>
              <w:spacing w:line="360" w:lineRule="auto"/>
              <w:jc w:val="center"/>
              <w:rPr>
                <w:b/>
              </w:rPr>
            </w:pPr>
            <w:r>
              <w:rPr>
                <w:rFonts w:hint="eastAsia"/>
                <w:b/>
              </w:rPr>
              <w:t>1</w:t>
            </w:r>
            <w:r>
              <w:rPr>
                <w:b/>
              </w:rPr>
              <w:t>.</w:t>
            </w:r>
            <w:r>
              <w:rPr>
                <w:rFonts w:hint="eastAsia"/>
                <w:b/>
              </w:rPr>
              <w:t>1</w:t>
            </w:r>
          </w:p>
        </w:tc>
        <w:tc>
          <w:tcPr>
            <w:tcW w:w="8364" w:type="dxa"/>
            <w:vAlign w:val="center"/>
          </w:tcPr>
          <w:p>
            <w:pPr>
              <w:spacing w:line="360" w:lineRule="auto"/>
              <w:rPr>
                <w:rFonts w:hAnsi="宋体"/>
              </w:rPr>
            </w:pPr>
            <w:r>
              <w:rPr>
                <w:rFonts w:hAnsi="宋体"/>
                <w:u w:val="single"/>
              </w:rPr>
              <w:t>项目</w:t>
            </w:r>
            <w:r>
              <w:rPr>
                <w:rFonts w:hint="eastAsia" w:hAnsi="宋体"/>
                <w:u w:val="single"/>
              </w:rPr>
              <w:t>名称</w:t>
            </w:r>
            <w:r>
              <w:rPr>
                <w:rFonts w:hint="eastAsia"/>
              </w:rPr>
              <w:t>：</w:t>
            </w:r>
            <w:r>
              <w:rPr>
                <w:rFonts w:hint="eastAsia" w:hAnsi="宋体"/>
              </w:rPr>
              <w:t>陕西省驾驶员培训监管服务平台维护项目</w:t>
            </w:r>
          </w:p>
          <w:p>
            <w:pPr>
              <w:spacing w:line="360" w:lineRule="auto"/>
              <w:rPr>
                <w:rFonts w:ascii="宋体" w:hAnsi="宋体"/>
              </w:rPr>
            </w:pPr>
            <w:r>
              <w:rPr>
                <w:rFonts w:hint="eastAsia"/>
                <w:kern w:val="28"/>
                <w:u w:val="single"/>
              </w:rPr>
              <w:t>采购</w:t>
            </w:r>
            <w:r>
              <w:rPr>
                <w:rFonts w:hint="eastAsia" w:hAnsi="宋体"/>
                <w:kern w:val="28"/>
                <w:u w:val="single"/>
              </w:rPr>
              <w:t>预算</w:t>
            </w:r>
            <w:r>
              <w:rPr>
                <w:rFonts w:hint="eastAsia" w:hAnsi="宋体"/>
                <w:kern w:val="28"/>
              </w:rPr>
              <w:t>：</w:t>
            </w:r>
            <w:r>
              <w:rPr>
                <w:rFonts w:hint="eastAsia" w:ascii="宋体" w:hAnsi="宋体"/>
              </w:rPr>
              <w:t>620,000.00元</w:t>
            </w:r>
          </w:p>
          <w:p>
            <w:pPr>
              <w:spacing w:line="360" w:lineRule="auto"/>
            </w:pPr>
            <w:r>
              <w:rPr>
                <w:rFonts w:hint="eastAsia" w:hAnsi="宋体"/>
                <w:kern w:val="28"/>
                <w:u w:val="single"/>
              </w:rPr>
              <w:t>资金来源</w:t>
            </w:r>
            <w:r>
              <w:rPr>
                <w:rFonts w:hint="eastAsia" w:hAnsi="宋体"/>
                <w:kern w:val="28"/>
              </w:rPr>
              <w:t>：财政拨款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p>
        </w:tc>
        <w:tc>
          <w:tcPr>
            <w:tcW w:w="829" w:type="dxa"/>
            <w:vAlign w:val="center"/>
          </w:tcPr>
          <w:p>
            <w:pPr>
              <w:spacing w:line="360" w:lineRule="auto"/>
              <w:jc w:val="center"/>
              <w:rPr>
                <w:b/>
              </w:rPr>
            </w:pPr>
            <w:r>
              <w:rPr>
                <w:rFonts w:hint="eastAsia"/>
                <w:b/>
              </w:rPr>
              <w:t>1.2</w:t>
            </w:r>
          </w:p>
        </w:tc>
        <w:tc>
          <w:tcPr>
            <w:tcW w:w="8364" w:type="dxa"/>
            <w:vAlign w:val="center"/>
          </w:tcPr>
          <w:p>
            <w:pPr>
              <w:spacing w:line="360" w:lineRule="auto"/>
              <w:rPr>
                <w:u w:val="single"/>
              </w:rPr>
            </w:pPr>
            <w:r>
              <w:rPr>
                <w:rFonts w:hint="eastAsia"/>
                <w:u w:val="single"/>
              </w:rPr>
              <w:t>采购人名称</w:t>
            </w:r>
            <w:r>
              <w:rPr>
                <w:rFonts w:hint="eastAsia"/>
              </w:rPr>
              <w:t>：陕西省道路运输事业发展中心</w:t>
            </w:r>
          </w:p>
          <w:p>
            <w:pPr>
              <w:spacing w:line="360" w:lineRule="auto"/>
              <w:rPr>
                <w:u w:val="single"/>
              </w:rPr>
            </w:pPr>
            <w:r>
              <w:rPr>
                <w:rFonts w:hint="eastAsia"/>
                <w:u w:val="single"/>
              </w:rPr>
              <w:t>地址</w:t>
            </w:r>
            <w:r>
              <w:rPr>
                <w:rFonts w:hint="eastAsia"/>
              </w:rPr>
              <w:t>：西安市莲湖区药王洞18号</w:t>
            </w:r>
          </w:p>
          <w:p>
            <w:pPr>
              <w:spacing w:line="360" w:lineRule="auto"/>
            </w:pPr>
            <w:r>
              <w:rPr>
                <w:rFonts w:hint="eastAsia"/>
                <w:u w:val="single"/>
              </w:rPr>
              <w:t>联系人</w:t>
            </w:r>
            <w:r>
              <w:rPr>
                <w:rFonts w:hint="eastAsia"/>
              </w:rPr>
              <w:t>：熊老师</w:t>
            </w:r>
          </w:p>
          <w:p>
            <w:pPr>
              <w:spacing w:line="360" w:lineRule="auto"/>
              <w:rPr>
                <w:rFonts w:hAnsi="宋体"/>
              </w:rPr>
            </w:pPr>
            <w:r>
              <w:rPr>
                <w:rFonts w:hint="eastAsia"/>
                <w:u w:val="single"/>
              </w:rPr>
              <w:t>联系方式</w:t>
            </w:r>
            <w:r>
              <w:rPr>
                <w:rFonts w:hint="eastAsia"/>
              </w:rPr>
              <w:t>：029-87325933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3</w:t>
            </w:r>
          </w:p>
        </w:tc>
        <w:tc>
          <w:tcPr>
            <w:tcW w:w="829" w:type="dxa"/>
            <w:vAlign w:val="center"/>
          </w:tcPr>
          <w:p>
            <w:pPr>
              <w:spacing w:line="360" w:lineRule="auto"/>
              <w:jc w:val="center"/>
              <w:rPr>
                <w:b/>
              </w:rPr>
            </w:pPr>
            <w:r>
              <w:rPr>
                <w:rFonts w:hint="eastAsia"/>
                <w:b/>
              </w:rPr>
              <w:t>1.4</w:t>
            </w:r>
          </w:p>
        </w:tc>
        <w:tc>
          <w:tcPr>
            <w:tcW w:w="8364" w:type="dxa"/>
            <w:vAlign w:val="center"/>
          </w:tcPr>
          <w:p>
            <w:pPr>
              <w:spacing w:line="360" w:lineRule="auto"/>
              <w:rPr>
                <w:kern w:val="28"/>
              </w:rPr>
            </w:pPr>
            <w:r>
              <w:rPr>
                <w:rFonts w:hint="eastAsia"/>
                <w:kern w:val="28"/>
                <w:u w:val="single"/>
              </w:rPr>
              <w:t>采购代理机构名称</w:t>
            </w:r>
            <w:r>
              <w:rPr>
                <w:rFonts w:hint="eastAsia"/>
                <w:kern w:val="28"/>
              </w:rPr>
              <w:t>：陕西德勤招标有限公司</w:t>
            </w:r>
          </w:p>
          <w:p>
            <w:pPr>
              <w:spacing w:line="360" w:lineRule="auto"/>
              <w:rPr>
                <w:kern w:val="28"/>
                <w:u w:val="single"/>
              </w:rPr>
            </w:pPr>
            <w:r>
              <w:rPr>
                <w:rFonts w:hint="eastAsia"/>
                <w:kern w:val="28"/>
                <w:u w:val="single"/>
              </w:rPr>
              <w:t>地址</w:t>
            </w:r>
            <w:r>
              <w:rPr>
                <w:rFonts w:hint="eastAsia"/>
                <w:kern w:val="28"/>
              </w:rPr>
              <w:t>：西安市高新区丈八一路1号</w:t>
            </w:r>
            <w:r>
              <w:rPr>
                <w:rFonts w:hint="eastAsia"/>
                <w:kern w:val="28"/>
                <w:lang w:eastAsia="zh-CN"/>
              </w:rPr>
              <w:t>汇鑫中心</w:t>
            </w:r>
            <w:r>
              <w:rPr>
                <w:rFonts w:hint="eastAsia"/>
                <w:kern w:val="28"/>
              </w:rPr>
              <w:t>D座2206室</w:t>
            </w:r>
            <w:bookmarkStart w:id="318" w:name="_GoBack"/>
            <w:bookmarkEnd w:id="318"/>
          </w:p>
          <w:p>
            <w:pPr>
              <w:spacing w:line="360" w:lineRule="auto"/>
              <w:rPr>
                <w:kern w:val="28"/>
                <w:u w:val="single"/>
              </w:rPr>
            </w:pPr>
            <w:r>
              <w:rPr>
                <w:rFonts w:hint="eastAsia"/>
                <w:kern w:val="28"/>
                <w:u w:val="single"/>
              </w:rPr>
              <w:t>联系人</w:t>
            </w:r>
            <w:r>
              <w:rPr>
                <w:rFonts w:hint="eastAsia"/>
                <w:kern w:val="28"/>
              </w:rPr>
              <w:t>：李浩、贾旭鸣</w:t>
            </w:r>
          </w:p>
          <w:p>
            <w:pPr>
              <w:spacing w:line="360" w:lineRule="auto"/>
              <w:rPr>
                <w:kern w:val="28"/>
                <w:u w:val="single"/>
              </w:rPr>
            </w:pPr>
            <w:r>
              <w:rPr>
                <w:rFonts w:hint="eastAsia"/>
                <w:kern w:val="28"/>
                <w:u w:val="single"/>
              </w:rPr>
              <w:t>联系电话</w:t>
            </w:r>
            <w:r>
              <w:rPr>
                <w:rFonts w:hint="eastAsia"/>
                <w:kern w:val="28"/>
              </w:rPr>
              <w:t>：029-81106093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4</w:t>
            </w:r>
          </w:p>
        </w:tc>
        <w:tc>
          <w:tcPr>
            <w:tcW w:w="829" w:type="dxa"/>
            <w:vAlign w:val="center"/>
          </w:tcPr>
          <w:p>
            <w:pPr>
              <w:spacing w:line="360" w:lineRule="auto"/>
              <w:jc w:val="center"/>
              <w:rPr>
                <w:b/>
              </w:rPr>
            </w:pPr>
            <w:r>
              <w:rPr>
                <w:rFonts w:hint="eastAsia"/>
                <w:b/>
              </w:rPr>
              <w:t>2.1</w:t>
            </w:r>
          </w:p>
        </w:tc>
        <w:tc>
          <w:tcPr>
            <w:tcW w:w="8364" w:type="dxa"/>
            <w:vAlign w:val="center"/>
          </w:tcPr>
          <w:p>
            <w:pPr>
              <w:spacing w:line="360" w:lineRule="auto"/>
              <w:rPr>
                <w:kern w:val="28"/>
              </w:rPr>
            </w:pPr>
            <w:r>
              <w:rPr>
                <w:rFonts w:hint="eastAsia"/>
                <w:kern w:val="28"/>
                <w:u w:val="single"/>
              </w:rPr>
              <w:t>本项目是否专门面向中小企业采购</w:t>
            </w:r>
            <w:r>
              <w:rPr>
                <w:rFonts w:hint="eastAsia"/>
                <w:kern w:val="28"/>
              </w:rPr>
              <w:t>：是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5</w:t>
            </w:r>
          </w:p>
        </w:tc>
        <w:tc>
          <w:tcPr>
            <w:tcW w:w="829" w:type="dxa"/>
            <w:vAlign w:val="center"/>
          </w:tcPr>
          <w:p>
            <w:pPr>
              <w:spacing w:line="360" w:lineRule="auto"/>
              <w:jc w:val="center"/>
              <w:rPr>
                <w:b/>
              </w:rPr>
            </w:pPr>
            <w:r>
              <w:rPr>
                <w:rFonts w:hint="eastAsia"/>
                <w:b/>
              </w:rPr>
              <w:t>2.1</w:t>
            </w:r>
          </w:p>
        </w:tc>
        <w:tc>
          <w:tcPr>
            <w:tcW w:w="8364" w:type="dxa"/>
            <w:vAlign w:val="center"/>
          </w:tcPr>
          <w:p>
            <w:pPr>
              <w:spacing w:line="360" w:lineRule="auto"/>
              <w:rPr>
                <w:kern w:val="28"/>
              </w:rPr>
            </w:pPr>
            <w:r>
              <w:rPr>
                <w:rFonts w:hint="eastAsia"/>
                <w:kern w:val="28"/>
                <w:u w:val="single"/>
              </w:rPr>
              <w:t>是否允许联合体响应</w:t>
            </w:r>
            <w:r>
              <w:rPr>
                <w:rFonts w:hint="eastAsia"/>
                <w:kern w:val="28"/>
              </w:rPr>
              <w:t>：否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6</w:t>
            </w:r>
          </w:p>
        </w:tc>
        <w:tc>
          <w:tcPr>
            <w:tcW w:w="829" w:type="dxa"/>
            <w:vAlign w:val="center"/>
          </w:tcPr>
          <w:p>
            <w:pPr>
              <w:spacing w:line="360" w:lineRule="auto"/>
              <w:jc w:val="center"/>
              <w:rPr>
                <w:b/>
              </w:rPr>
            </w:pPr>
            <w:r>
              <w:rPr>
                <w:rFonts w:hint="eastAsia"/>
                <w:b/>
              </w:rPr>
              <w:t>2</w:t>
            </w:r>
            <w:r>
              <w:rPr>
                <w:b/>
              </w:rPr>
              <w:t>.</w:t>
            </w:r>
            <w:r>
              <w:rPr>
                <w:rFonts w:hint="eastAsia"/>
                <w:b/>
              </w:rPr>
              <w:t>2</w:t>
            </w:r>
          </w:p>
        </w:tc>
        <w:tc>
          <w:tcPr>
            <w:tcW w:w="8364" w:type="dxa"/>
            <w:vAlign w:val="center"/>
          </w:tcPr>
          <w:p>
            <w:pPr>
              <w:spacing w:line="360" w:lineRule="auto"/>
            </w:pPr>
            <w:r>
              <w:rPr>
                <w:rFonts w:hint="eastAsia"/>
              </w:rPr>
              <w:t>2.2响应供应商应在响应文件中提交以下文件以证明其资格：</w:t>
            </w:r>
          </w:p>
          <w:p>
            <w:pPr>
              <w:spacing w:line="360" w:lineRule="auto"/>
            </w:pPr>
            <w:r>
              <w:rPr>
                <w:rFonts w:hint="eastAsia"/>
              </w:rPr>
              <w:t>2.2.1供应商资格声明（格式）；</w:t>
            </w:r>
          </w:p>
          <w:p>
            <w:pPr>
              <w:spacing w:line="360" w:lineRule="auto"/>
            </w:pPr>
            <w:r>
              <w:rPr>
                <w:rFonts w:hint="eastAsia"/>
              </w:rPr>
              <w:t>1）企业法人、其他组织营业执照副本或事业单位法人证书，自然人提供身份证明（复印件加盖响应供应商公章）；</w:t>
            </w:r>
          </w:p>
          <w:p>
            <w:pPr>
              <w:spacing w:line="360" w:lineRule="auto"/>
            </w:pPr>
            <w:r>
              <w:rPr>
                <w:rFonts w:hint="eastAsia"/>
              </w:rPr>
              <w:t>2）2020年度或2021年度经审计的财务报告（成立时间至磋商会议日期不足一年的响应供应商可提供成立后任意时段的资产负债表）（复印件加盖响应供应商公章）；</w:t>
            </w:r>
          </w:p>
          <w:p>
            <w:pPr>
              <w:spacing w:line="360" w:lineRule="auto"/>
            </w:pPr>
            <w:r>
              <w:rPr>
                <w:rFonts w:hint="eastAsia"/>
              </w:rPr>
              <w:t>或在磋商会议日期前六个月内其基本存款账户开户银行出具的资信证明（原件）；</w:t>
            </w:r>
          </w:p>
          <w:p>
            <w:pPr>
              <w:spacing w:line="360" w:lineRule="auto"/>
            </w:pPr>
            <w:r>
              <w:rPr>
                <w:rFonts w:hint="eastAsia"/>
              </w:rPr>
              <w:t>或在磋商会议日期前六个月内信用担保机构出具的投标担保函（原件）；</w:t>
            </w:r>
          </w:p>
          <w:p>
            <w:pPr>
              <w:spacing w:line="360" w:lineRule="auto"/>
            </w:pPr>
            <w:r>
              <w:rPr>
                <w:rFonts w:hint="eastAsia"/>
              </w:rPr>
              <w:t>（以上三种形式的资料提供任何一种即可）</w:t>
            </w:r>
          </w:p>
          <w:p>
            <w:pPr>
              <w:spacing w:line="360" w:lineRule="auto"/>
            </w:pPr>
            <w:r>
              <w:rPr>
                <w:rFonts w:hint="eastAsia"/>
              </w:rPr>
              <w:t>3）磋商会议日期前十二个月任意一个月缴税凭据（复印件加盖响应供应商公章）（依法免税的响应供应商应提供相应文件证明）；</w:t>
            </w:r>
          </w:p>
          <w:p>
            <w:pPr>
              <w:spacing w:line="360" w:lineRule="auto"/>
            </w:pPr>
            <w:r>
              <w:rPr>
                <w:rFonts w:hint="eastAsia"/>
              </w:rPr>
              <w:t>4）磋商会议日期前十二个月任意一个月缴纳社会保险的凭据（专用收据或社会保险缴纳清单或其他证明材料）（复印件加盖响应供应商公章）（依法不需要缴纳社会保障资金的响应供应商应提供相应文件证明）；</w:t>
            </w:r>
          </w:p>
          <w:p>
            <w:pPr>
              <w:spacing w:line="360" w:lineRule="auto"/>
              <w:rPr>
                <w:lang w:val="en-GB"/>
              </w:rPr>
            </w:pPr>
            <w:r>
              <w:rPr>
                <w:rFonts w:hint="eastAsia"/>
                <w:lang w:val="en-GB"/>
              </w:rPr>
              <w:t>2.2.</w:t>
            </w:r>
            <w:r>
              <w:rPr>
                <w:rFonts w:hint="eastAsia"/>
              </w:rPr>
              <w:t>2</w:t>
            </w:r>
            <w:r>
              <w:rPr>
                <w:rFonts w:hint="eastAsia"/>
                <w:lang w:val="en-GB"/>
              </w:rPr>
              <w:t>保证金汇款声明函</w:t>
            </w:r>
            <w:r>
              <w:rPr>
                <w:rFonts w:hint="eastAsia"/>
              </w:rPr>
              <w:t>/保函</w:t>
            </w:r>
            <w:r>
              <w:rPr>
                <w:rFonts w:hint="eastAsia"/>
                <w:lang w:val="en-GB"/>
              </w:rPr>
              <w:t>（</w:t>
            </w:r>
            <w:r>
              <w:rPr>
                <w:rFonts w:hint="eastAsia"/>
              </w:rPr>
              <w:t>格式</w:t>
            </w:r>
            <w:r>
              <w:rPr>
                <w:rFonts w:hint="eastAsia"/>
                <w:lang w:val="en-GB"/>
              </w:rPr>
              <w:t>）；</w:t>
            </w:r>
          </w:p>
          <w:p>
            <w:pPr>
              <w:spacing w:line="360" w:lineRule="auto"/>
            </w:pPr>
            <w:r>
              <w:rPr>
                <w:rFonts w:hint="eastAsia"/>
                <w:lang w:val="en-GB"/>
              </w:rPr>
              <w:t>2.2.</w:t>
            </w:r>
            <w:r>
              <w:rPr>
                <w:rFonts w:hint="eastAsia"/>
              </w:rPr>
              <w:t>3法定代表人授权书（法定代表人直接参加磋商会议须提交法定代表人证明书）（格式）；</w:t>
            </w:r>
          </w:p>
          <w:p>
            <w:pPr>
              <w:spacing w:line="360" w:lineRule="auto"/>
            </w:pPr>
            <w:r>
              <w:rPr>
                <w:rFonts w:hint="eastAsia"/>
              </w:rPr>
              <w:t>2.2.4</w:t>
            </w:r>
            <w:r>
              <w:rPr>
                <w:rFonts w:hint="eastAsia" w:ascii="宋体" w:hAnsi="宋体"/>
                <w:kern w:val="28"/>
              </w:rPr>
              <w:t>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7</w:t>
            </w:r>
          </w:p>
        </w:tc>
        <w:tc>
          <w:tcPr>
            <w:tcW w:w="829" w:type="dxa"/>
            <w:vAlign w:val="center"/>
          </w:tcPr>
          <w:p>
            <w:pPr>
              <w:spacing w:line="360" w:lineRule="auto"/>
              <w:jc w:val="center"/>
              <w:rPr>
                <w:b/>
              </w:rPr>
            </w:pPr>
            <w:r>
              <w:rPr>
                <w:rFonts w:hint="eastAsia"/>
                <w:b/>
              </w:rPr>
              <w:t>2.3</w:t>
            </w:r>
          </w:p>
        </w:tc>
        <w:tc>
          <w:tcPr>
            <w:tcW w:w="8364" w:type="dxa"/>
            <w:vAlign w:val="center"/>
          </w:tcPr>
          <w:p>
            <w:pPr>
              <w:spacing w:line="360" w:lineRule="auto"/>
              <w:rPr>
                <w:kern w:val="28"/>
                <w:u w:val="single"/>
              </w:rPr>
            </w:pPr>
            <w:r>
              <w:rPr>
                <w:rFonts w:hint="eastAsia"/>
                <w:kern w:val="28"/>
                <w:u w:val="single"/>
              </w:rPr>
              <w:t>2.3响应供应商递交响应文件时，必须同时提交以下资格证明文件证明材料原件，以证明其资格：</w:t>
            </w:r>
          </w:p>
          <w:p>
            <w:pPr>
              <w:spacing w:line="360" w:lineRule="auto"/>
              <w:rPr>
                <w:kern w:val="28"/>
              </w:rPr>
            </w:pPr>
            <w:r>
              <w:rPr>
                <w:rFonts w:hint="eastAsia"/>
                <w:kern w:val="28"/>
              </w:rPr>
              <w:t>2.3.1企业法人、其他组织营业执照副本或事业单位法人证书，自然人提供身份证明；</w:t>
            </w:r>
          </w:p>
          <w:p>
            <w:pPr>
              <w:spacing w:line="360" w:lineRule="auto"/>
            </w:pPr>
            <w:r>
              <w:rPr>
                <w:rFonts w:hint="eastAsia"/>
                <w:kern w:val="28"/>
              </w:rPr>
              <w:t>2.3.2授权代表身份证（法定代表人直接参加磋商会议提交法定代表人身份证）。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p>
        </w:tc>
        <w:tc>
          <w:tcPr>
            <w:tcW w:w="829" w:type="dxa"/>
            <w:vAlign w:val="center"/>
          </w:tcPr>
          <w:p>
            <w:pPr>
              <w:spacing w:line="360" w:lineRule="auto"/>
              <w:jc w:val="center"/>
              <w:rPr>
                <w:b/>
              </w:rPr>
            </w:pPr>
          </w:p>
        </w:tc>
        <w:tc>
          <w:tcPr>
            <w:tcW w:w="8364" w:type="dxa"/>
            <w:vAlign w:val="center"/>
          </w:tcPr>
          <w:p>
            <w:pPr>
              <w:spacing w:line="560" w:lineRule="exact"/>
              <w:jc w:val="center"/>
              <w:rPr>
                <w:rFonts w:hAnsi="宋体"/>
              </w:rPr>
            </w:pPr>
            <w:r>
              <w:rPr>
                <w:rFonts w:hint="eastAsia"/>
                <w:b/>
              </w:rPr>
              <w:t>二、竞争性磋商文件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8</w:t>
            </w:r>
          </w:p>
        </w:tc>
        <w:tc>
          <w:tcPr>
            <w:tcW w:w="829" w:type="dxa"/>
            <w:vAlign w:val="center"/>
          </w:tcPr>
          <w:p>
            <w:pPr>
              <w:spacing w:line="360" w:lineRule="auto"/>
              <w:jc w:val="center"/>
              <w:rPr>
                <w:b/>
              </w:rPr>
            </w:pPr>
            <w:r>
              <w:rPr>
                <w:rFonts w:hint="eastAsia"/>
                <w:b/>
              </w:rPr>
              <w:t>7</w:t>
            </w:r>
          </w:p>
        </w:tc>
        <w:tc>
          <w:tcPr>
            <w:tcW w:w="8364" w:type="dxa"/>
            <w:vAlign w:val="center"/>
          </w:tcPr>
          <w:p>
            <w:pPr>
              <w:tabs>
                <w:tab w:val="left" w:pos="315"/>
                <w:tab w:val="left" w:pos="1785"/>
                <w:tab w:val="left" w:pos="2310"/>
                <w:tab w:val="left" w:pos="8640"/>
              </w:tabs>
              <w:rPr>
                <w:bCs/>
              </w:rPr>
            </w:pPr>
            <w:r>
              <w:rPr>
                <w:rFonts w:hint="eastAsia"/>
                <w:bCs/>
              </w:rPr>
              <w:t>响应答疑会时间：无</w:t>
            </w:r>
          </w:p>
          <w:p>
            <w:pPr>
              <w:rPr>
                <w:rFonts w:hAnsi="宋体"/>
              </w:rPr>
            </w:pPr>
            <w:r>
              <w:rPr>
                <w:rFonts w:hint="eastAsia"/>
                <w:bCs/>
              </w:rPr>
              <w:t>响应答疑会地点：无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p>
        </w:tc>
        <w:tc>
          <w:tcPr>
            <w:tcW w:w="829" w:type="dxa"/>
            <w:vAlign w:val="center"/>
          </w:tcPr>
          <w:p>
            <w:pPr>
              <w:tabs>
                <w:tab w:val="left" w:pos="315"/>
                <w:tab w:val="left" w:pos="1785"/>
                <w:tab w:val="left" w:pos="2310"/>
                <w:tab w:val="left" w:pos="8640"/>
              </w:tabs>
              <w:spacing w:line="360" w:lineRule="auto"/>
              <w:jc w:val="center"/>
              <w:rPr>
                <w:b/>
              </w:rPr>
            </w:pPr>
          </w:p>
        </w:tc>
        <w:tc>
          <w:tcPr>
            <w:tcW w:w="8364" w:type="dxa"/>
            <w:vAlign w:val="center"/>
          </w:tcPr>
          <w:p>
            <w:pPr>
              <w:tabs>
                <w:tab w:val="left" w:pos="315"/>
                <w:tab w:val="left" w:pos="1785"/>
                <w:tab w:val="left" w:pos="2310"/>
                <w:tab w:val="left" w:pos="8640"/>
              </w:tabs>
              <w:spacing w:line="360" w:lineRule="auto"/>
              <w:jc w:val="center"/>
              <w:rPr>
                <w:b/>
              </w:rPr>
            </w:pPr>
            <w:r>
              <w:rPr>
                <w:rFonts w:hint="eastAsia"/>
                <w:b/>
              </w:rPr>
              <w:t>三、响应文件的编制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9</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13.1</w:t>
            </w:r>
          </w:p>
        </w:tc>
        <w:tc>
          <w:tcPr>
            <w:tcW w:w="8364" w:type="dxa"/>
            <w:vAlign w:val="center"/>
          </w:tcPr>
          <w:p>
            <w:pPr>
              <w:spacing w:line="360" w:lineRule="auto"/>
              <w:rPr>
                <w:b/>
              </w:rPr>
            </w:pPr>
            <w:r>
              <w:rPr>
                <w:rFonts w:hint="eastAsia"/>
                <w:kern w:val="28"/>
                <w:u w:val="single"/>
              </w:rPr>
              <w:t>本次磋商活动需交纳保证金为</w:t>
            </w:r>
            <w:r>
              <w:rPr>
                <w:rFonts w:hint="eastAsia"/>
                <w:kern w:val="28"/>
              </w:rPr>
              <w:t>：</w:t>
            </w:r>
            <w:r>
              <w:rPr>
                <w:rFonts w:hint="eastAsia" w:ascii="宋体" w:hAnsi="宋体"/>
                <w:b/>
                <w:bCs/>
                <w:kern w:val="28"/>
              </w:rPr>
              <w:t>壹万贰仟元整（12,000.00元）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10</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13.2</w:t>
            </w:r>
          </w:p>
        </w:tc>
        <w:tc>
          <w:tcPr>
            <w:tcW w:w="8364" w:type="dxa"/>
            <w:vAlign w:val="center"/>
          </w:tcPr>
          <w:p>
            <w:pPr>
              <w:spacing w:line="360" w:lineRule="auto"/>
              <w:rPr>
                <w:kern w:val="28"/>
              </w:rPr>
            </w:pPr>
            <w:r>
              <w:rPr>
                <w:rFonts w:hint="eastAsia"/>
                <w:kern w:val="28"/>
                <w:u w:val="single"/>
              </w:rPr>
              <w:t>磋商保证金应为人民币，可采用下列任何一种形式支付</w:t>
            </w:r>
            <w:r>
              <w:rPr>
                <w:rFonts w:hint="eastAsia"/>
                <w:kern w:val="28"/>
              </w:rPr>
              <w:t>：</w:t>
            </w:r>
          </w:p>
          <w:p>
            <w:pPr>
              <w:spacing w:line="360" w:lineRule="auto"/>
              <w:rPr>
                <w:kern w:val="28"/>
              </w:rPr>
            </w:pPr>
            <w:r>
              <w:rPr>
                <w:rFonts w:hint="eastAsia"/>
                <w:kern w:val="28"/>
              </w:rPr>
              <w:t xml:space="preserve">  1.银行转账</w:t>
            </w:r>
          </w:p>
          <w:p>
            <w:pPr>
              <w:spacing w:line="360" w:lineRule="auto"/>
              <w:rPr>
                <w:kern w:val="28"/>
              </w:rPr>
            </w:pPr>
            <w:r>
              <w:rPr>
                <w:rFonts w:hint="eastAsia"/>
                <w:kern w:val="28"/>
              </w:rPr>
              <w:t xml:space="preserve">  2.电汇</w:t>
            </w:r>
          </w:p>
          <w:p>
            <w:pPr>
              <w:spacing w:line="360" w:lineRule="auto"/>
              <w:rPr>
                <w:kern w:val="28"/>
              </w:rPr>
            </w:pPr>
            <w:r>
              <w:rPr>
                <w:rFonts w:hint="eastAsia"/>
                <w:kern w:val="28"/>
              </w:rPr>
              <w:t xml:space="preserve">  3.保函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11</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13.3</w:t>
            </w:r>
          </w:p>
        </w:tc>
        <w:tc>
          <w:tcPr>
            <w:tcW w:w="8364" w:type="dxa"/>
            <w:vAlign w:val="center"/>
          </w:tcPr>
          <w:p>
            <w:pPr>
              <w:spacing w:line="360" w:lineRule="auto"/>
              <w:rPr>
                <w:kern w:val="28"/>
              </w:rPr>
            </w:pPr>
            <w:r>
              <w:rPr>
                <w:rFonts w:hint="eastAsia"/>
                <w:kern w:val="28"/>
                <w:u w:val="single"/>
              </w:rPr>
              <w:t>磋商保证金必须在磋商会议前到达采购代理机构指定的账户</w:t>
            </w:r>
            <w:r>
              <w:rPr>
                <w:rFonts w:hint="eastAsia"/>
                <w:kern w:val="28"/>
              </w:rPr>
              <w:t>。</w:t>
            </w:r>
          </w:p>
          <w:p>
            <w:pPr>
              <w:spacing w:line="360" w:lineRule="auto"/>
              <w:rPr>
                <w:kern w:val="28"/>
              </w:rPr>
            </w:pPr>
            <w:r>
              <w:rPr>
                <w:rFonts w:hint="eastAsia"/>
                <w:kern w:val="28"/>
              </w:rPr>
              <w:t xml:space="preserve">  开户名称：陕西德勤招标有限公司</w:t>
            </w:r>
          </w:p>
          <w:p>
            <w:pPr>
              <w:spacing w:line="360" w:lineRule="auto"/>
              <w:rPr>
                <w:kern w:val="28"/>
              </w:rPr>
            </w:pPr>
            <w:r>
              <w:rPr>
                <w:rFonts w:hint="eastAsia"/>
                <w:kern w:val="28"/>
              </w:rPr>
              <w:t xml:space="preserve">  账  号：52880188000025295</w:t>
            </w:r>
          </w:p>
          <w:p>
            <w:pPr>
              <w:spacing w:line="360" w:lineRule="auto"/>
              <w:rPr>
                <w:kern w:val="28"/>
              </w:rPr>
            </w:pPr>
            <w:r>
              <w:rPr>
                <w:rFonts w:hint="eastAsia"/>
                <w:kern w:val="28"/>
              </w:rPr>
              <w:t xml:space="preserve">  开户行：光大银行西安丈八东路支行</w:t>
            </w:r>
          </w:p>
          <w:p>
            <w:pPr>
              <w:spacing w:line="360" w:lineRule="auto"/>
              <w:rPr>
                <w:b/>
              </w:rPr>
            </w:pPr>
            <w:r>
              <w:rPr>
                <w:rFonts w:hint="eastAsia"/>
                <w:kern w:val="28"/>
              </w:rPr>
              <w:t xml:space="preserve">  转账事由：DQ-2022042-CS项目磋商保证金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12</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14.1</w:t>
            </w:r>
          </w:p>
        </w:tc>
        <w:tc>
          <w:tcPr>
            <w:tcW w:w="8364" w:type="dxa"/>
            <w:vAlign w:val="center"/>
          </w:tcPr>
          <w:p>
            <w:pPr>
              <w:spacing w:line="360" w:lineRule="auto"/>
              <w:rPr>
                <w:b/>
              </w:rPr>
            </w:pPr>
            <w:r>
              <w:rPr>
                <w:rFonts w:hint="eastAsia"/>
                <w:kern w:val="28"/>
                <w:u w:val="single"/>
              </w:rPr>
              <w:t>响应文件有效期</w:t>
            </w:r>
            <w:r>
              <w:rPr>
                <w:rFonts w:hint="eastAsia"/>
                <w:kern w:val="28"/>
              </w:rPr>
              <w:t>为自磋商之日起算九十（90）个日历日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p>
        </w:tc>
        <w:tc>
          <w:tcPr>
            <w:tcW w:w="829" w:type="dxa"/>
            <w:vAlign w:val="center"/>
          </w:tcPr>
          <w:p>
            <w:pPr>
              <w:tabs>
                <w:tab w:val="left" w:pos="315"/>
                <w:tab w:val="left" w:pos="1785"/>
                <w:tab w:val="left" w:pos="2310"/>
                <w:tab w:val="left" w:pos="8640"/>
              </w:tabs>
              <w:spacing w:line="360" w:lineRule="auto"/>
              <w:jc w:val="center"/>
              <w:rPr>
                <w:b/>
              </w:rPr>
            </w:pPr>
          </w:p>
        </w:tc>
        <w:tc>
          <w:tcPr>
            <w:tcW w:w="8364" w:type="dxa"/>
            <w:vAlign w:val="center"/>
          </w:tcPr>
          <w:p>
            <w:pPr>
              <w:tabs>
                <w:tab w:val="left" w:pos="315"/>
                <w:tab w:val="left" w:pos="1785"/>
                <w:tab w:val="left" w:pos="2310"/>
                <w:tab w:val="left" w:pos="8640"/>
              </w:tabs>
              <w:spacing w:line="360" w:lineRule="auto"/>
              <w:jc w:val="center"/>
              <w:rPr>
                <w:b/>
              </w:rPr>
            </w:pPr>
            <w:r>
              <w:rPr>
                <w:rFonts w:hint="eastAsia"/>
                <w:b/>
              </w:rPr>
              <w:t>四、响应文件密封、递交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13</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15.1</w:t>
            </w:r>
          </w:p>
        </w:tc>
        <w:tc>
          <w:tcPr>
            <w:tcW w:w="8364" w:type="dxa"/>
            <w:vAlign w:val="center"/>
          </w:tcPr>
          <w:p>
            <w:pPr>
              <w:spacing w:line="360" w:lineRule="auto"/>
              <w:rPr>
                <w:b/>
              </w:rPr>
            </w:pPr>
            <w:r>
              <w:rPr>
                <w:rFonts w:hint="eastAsia"/>
                <w:kern w:val="28"/>
                <w:u w:val="single"/>
              </w:rPr>
              <w:t>响应文件</w:t>
            </w:r>
            <w:r>
              <w:rPr>
                <w:rFonts w:hint="eastAsia"/>
                <w:kern w:val="28"/>
              </w:rPr>
              <w:t>正本壹份、副本叁份，电子版本壹份（以U盘形式提供，文件格式包含.doc/.docx格式及正本盖章后扫描的.pdf格式），共伍份。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14</w:t>
            </w:r>
          </w:p>
        </w:tc>
        <w:tc>
          <w:tcPr>
            <w:tcW w:w="829" w:type="dxa"/>
            <w:vAlign w:val="center"/>
          </w:tcPr>
          <w:p>
            <w:pPr>
              <w:tabs>
                <w:tab w:val="left" w:pos="315"/>
                <w:tab w:val="left" w:pos="1785"/>
                <w:tab w:val="left" w:pos="2310"/>
                <w:tab w:val="left" w:pos="8640"/>
              </w:tabs>
              <w:spacing w:line="360" w:lineRule="auto"/>
              <w:jc w:val="center"/>
              <w:rPr>
                <w:rFonts w:hint="eastAsia" w:eastAsia="宋体"/>
                <w:b/>
                <w:lang w:eastAsia="zh-CN"/>
              </w:rPr>
            </w:pPr>
            <w:r>
              <w:rPr>
                <w:rFonts w:hint="eastAsia"/>
                <w:b/>
              </w:rPr>
              <w:t>15.</w:t>
            </w:r>
            <w:r>
              <w:rPr>
                <w:rFonts w:hint="eastAsia"/>
                <w:b/>
                <w:lang w:val="en-US" w:eastAsia="zh-CN"/>
              </w:rPr>
              <w:t>3</w:t>
            </w:r>
          </w:p>
        </w:tc>
        <w:tc>
          <w:tcPr>
            <w:tcW w:w="8364" w:type="dxa"/>
            <w:vAlign w:val="center"/>
          </w:tcPr>
          <w:p>
            <w:pPr>
              <w:spacing w:line="360" w:lineRule="auto"/>
              <w:rPr>
                <w:b/>
              </w:rPr>
            </w:pPr>
            <w:r>
              <w:rPr>
                <w:rFonts w:hint="eastAsia"/>
                <w:kern w:val="28"/>
                <w:u w:val="single"/>
              </w:rPr>
              <w:t>“首次报价一览表”</w:t>
            </w:r>
            <w:r>
              <w:rPr>
                <w:rFonts w:hint="eastAsia"/>
                <w:kern w:val="28"/>
              </w:rPr>
              <w:t>除在响应文件内装订外，另制作一份单独放在一个信封中。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15</w:t>
            </w:r>
          </w:p>
        </w:tc>
        <w:tc>
          <w:tcPr>
            <w:tcW w:w="829" w:type="dxa"/>
            <w:vAlign w:val="center"/>
          </w:tcPr>
          <w:p>
            <w:pPr>
              <w:tabs>
                <w:tab w:val="left" w:pos="315"/>
                <w:tab w:val="left" w:pos="1785"/>
                <w:tab w:val="left" w:pos="2310"/>
                <w:tab w:val="left" w:pos="8640"/>
              </w:tabs>
              <w:spacing w:line="360" w:lineRule="auto"/>
              <w:jc w:val="center"/>
              <w:rPr>
                <w:rFonts w:hint="eastAsia" w:eastAsia="宋体"/>
                <w:b/>
                <w:lang w:eastAsia="zh-CN"/>
              </w:rPr>
            </w:pPr>
            <w:r>
              <w:rPr>
                <w:rFonts w:hint="eastAsia"/>
                <w:b/>
              </w:rPr>
              <w:t>15.</w:t>
            </w:r>
            <w:r>
              <w:rPr>
                <w:rFonts w:hint="eastAsia"/>
                <w:b/>
                <w:lang w:val="en-US" w:eastAsia="zh-CN"/>
              </w:rPr>
              <w:t>4</w:t>
            </w:r>
          </w:p>
        </w:tc>
        <w:tc>
          <w:tcPr>
            <w:tcW w:w="8364" w:type="dxa"/>
            <w:vAlign w:val="center"/>
          </w:tcPr>
          <w:p>
            <w:pPr>
              <w:spacing w:line="360" w:lineRule="auto"/>
              <w:rPr>
                <w:b/>
              </w:rPr>
            </w:pPr>
            <w:r>
              <w:rPr>
                <w:rFonts w:hint="eastAsia"/>
                <w:kern w:val="28"/>
                <w:u w:val="single"/>
              </w:rPr>
              <w:t>“资格证明文件证明材料原件”</w:t>
            </w:r>
            <w:r>
              <w:rPr>
                <w:rFonts w:hint="eastAsia"/>
                <w:kern w:val="28"/>
              </w:rPr>
              <w:t>按照本须知2.3条要求内容组成。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16</w:t>
            </w:r>
          </w:p>
        </w:tc>
        <w:tc>
          <w:tcPr>
            <w:tcW w:w="829" w:type="dxa"/>
            <w:vAlign w:val="center"/>
          </w:tcPr>
          <w:p>
            <w:pPr>
              <w:tabs>
                <w:tab w:val="left" w:pos="315"/>
                <w:tab w:val="left" w:pos="1785"/>
                <w:tab w:val="left" w:pos="2310"/>
                <w:tab w:val="left" w:pos="8640"/>
              </w:tabs>
              <w:spacing w:line="360" w:lineRule="auto"/>
              <w:jc w:val="center"/>
              <w:rPr>
                <w:rFonts w:hint="eastAsia" w:eastAsia="宋体"/>
                <w:b/>
                <w:lang w:eastAsia="zh-CN"/>
              </w:rPr>
            </w:pPr>
            <w:r>
              <w:rPr>
                <w:rFonts w:hint="eastAsia"/>
                <w:b/>
              </w:rPr>
              <w:t>15.</w:t>
            </w:r>
            <w:r>
              <w:rPr>
                <w:rFonts w:hint="eastAsia"/>
                <w:b/>
                <w:lang w:val="en-US" w:eastAsia="zh-CN"/>
              </w:rPr>
              <w:t>5</w:t>
            </w:r>
          </w:p>
        </w:tc>
        <w:tc>
          <w:tcPr>
            <w:tcW w:w="8364" w:type="dxa"/>
            <w:vAlign w:val="center"/>
          </w:tcPr>
          <w:p>
            <w:pPr>
              <w:spacing w:line="360" w:lineRule="auto"/>
              <w:rPr>
                <w:b/>
              </w:rPr>
            </w:pPr>
            <w:r>
              <w:rPr>
                <w:rFonts w:hint="eastAsia"/>
                <w:kern w:val="28"/>
                <w:u w:val="single"/>
              </w:rPr>
              <w:t>“评审证明材料”</w:t>
            </w:r>
            <w:r>
              <w:rPr>
                <w:rFonts w:hint="eastAsia"/>
                <w:kern w:val="28"/>
              </w:rPr>
              <w:t>（如果有）按照评审表要求内容组成。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17</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17</w:t>
            </w:r>
          </w:p>
        </w:tc>
        <w:tc>
          <w:tcPr>
            <w:tcW w:w="8364" w:type="dxa"/>
            <w:vAlign w:val="center"/>
          </w:tcPr>
          <w:p>
            <w:pPr>
              <w:spacing w:line="360" w:lineRule="auto"/>
              <w:rPr>
                <w:kern w:val="28"/>
              </w:rPr>
            </w:pPr>
            <w:r>
              <w:rPr>
                <w:rFonts w:hint="eastAsia"/>
                <w:kern w:val="28"/>
                <w:u w:val="single"/>
              </w:rPr>
              <w:t>响应截止时间</w:t>
            </w:r>
            <w:r>
              <w:rPr>
                <w:rFonts w:hint="eastAsia"/>
                <w:kern w:val="28"/>
              </w:rPr>
              <w:t>：2022年</w:t>
            </w:r>
            <w:r>
              <w:rPr>
                <w:rFonts w:hint="eastAsia"/>
                <w:kern w:val="28"/>
                <w:lang w:val="en-US" w:eastAsia="zh-CN"/>
              </w:rPr>
              <w:t>8</w:t>
            </w:r>
            <w:r>
              <w:rPr>
                <w:rFonts w:hint="eastAsia"/>
                <w:kern w:val="28"/>
              </w:rPr>
              <w:t>月</w:t>
            </w:r>
            <w:r>
              <w:rPr>
                <w:rFonts w:hint="eastAsia"/>
                <w:kern w:val="28"/>
                <w:lang w:val="en-US" w:eastAsia="zh-CN"/>
              </w:rPr>
              <w:t>30</w:t>
            </w:r>
            <w:r>
              <w:rPr>
                <w:rFonts w:hint="eastAsia"/>
                <w:kern w:val="28"/>
              </w:rPr>
              <w:t>日</w:t>
            </w:r>
            <w:r>
              <w:rPr>
                <w:rFonts w:hint="eastAsia"/>
                <w:kern w:val="28"/>
                <w:lang w:val="en-US" w:eastAsia="zh-CN"/>
              </w:rPr>
              <w:t>14</w:t>
            </w:r>
            <w:r>
              <w:rPr>
                <w:rFonts w:hint="eastAsia"/>
                <w:kern w:val="28"/>
              </w:rPr>
              <w:t>时30分止</w:t>
            </w:r>
          </w:p>
          <w:p>
            <w:pPr>
              <w:spacing w:line="360" w:lineRule="auto"/>
              <w:rPr>
                <w:kern w:val="28"/>
              </w:rPr>
            </w:pPr>
            <w:r>
              <w:rPr>
                <w:rFonts w:hint="eastAsia"/>
                <w:kern w:val="28"/>
                <w:u w:val="single"/>
              </w:rPr>
              <w:t>响应文件送达地点为</w:t>
            </w:r>
            <w:r>
              <w:rPr>
                <w:rFonts w:hint="eastAsia"/>
                <w:kern w:val="28"/>
              </w:rPr>
              <w:t>：陕西省西安市高新区丈八北路1号陕西宾馆会议中心（原陕西大会堂）2-8会议室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p>
        </w:tc>
        <w:tc>
          <w:tcPr>
            <w:tcW w:w="829" w:type="dxa"/>
            <w:vAlign w:val="center"/>
          </w:tcPr>
          <w:p>
            <w:pPr>
              <w:tabs>
                <w:tab w:val="left" w:pos="315"/>
                <w:tab w:val="left" w:pos="1785"/>
                <w:tab w:val="left" w:pos="2310"/>
                <w:tab w:val="left" w:pos="8640"/>
              </w:tabs>
              <w:spacing w:line="360" w:lineRule="auto"/>
              <w:jc w:val="center"/>
              <w:rPr>
                <w:b/>
              </w:rPr>
            </w:pPr>
          </w:p>
        </w:tc>
        <w:tc>
          <w:tcPr>
            <w:tcW w:w="8364" w:type="dxa"/>
            <w:vAlign w:val="center"/>
          </w:tcPr>
          <w:p>
            <w:pPr>
              <w:spacing w:line="360" w:lineRule="auto"/>
              <w:jc w:val="center"/>
              <w:rPr>
                <w:kern w:val="28"/>
              </w:rPr>
            </w:pPr>
            <w:bookmarkStart w:id="15" w:name="_Toc32497"/>
            <w:bookmarkStart w:id="16" w:name="_Toc24731"/>
            <w:bookmarkStart w:id="17" w:name="_Toc12646"/>
            <w:bookmarkStart w:id="18" w:name="_Toc26930"/>
            <w:r>
              <w:rPr>
                <w:rFonts w:hint="eastAsia"/>
                <w:b/>
              </w:rPr>
              <w:t>五、磋商、评审和</w:t>
            </w:r>
            <w:bookmarkEnd w:id="15"/>
            <w:r>
              <w:rPr>
                <w:rFonts w:hint="eastAsia"/>
                <w:b/>
              </w:rPr>
              <w:t>成交</w:t>
            </w:r>
            <w:bookmarkEnd w:id="16"/>
            <w:bookmarkEnd w:id="17"/>
            <w:bookmarkEnd w:id="18"/>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18</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19</w:t>
            </w:r>
          </w:p>
        </w:tc>
        <w:tc>
          <w:tcPr>
            <w:tcW w:w="8364" w:type="dxa"/>
            <w:vAlign w:val="center"/>
          </w:tcPr>
          <w:p>
            <w:pPr>
              <w:spacing w:line="360" w:lineRule="auto"/>
              <w:jc w:val="left"/>
              <w:rPr>
                <w:kern w:val="28"/>
                <w:u w:val="single"/>
              </w:rPr>
            </w:pPr>
            <w:bookmarkStart w:id="19" w:name="_Toc24424"/>
            <w:bookmarkStart w:id="20" w:name="_Toc2283"/>
            <w:bookmarkStart w:id="21" w:name="_Toc16496"/>
            <w:bookmarkStart w:id="22" w:name="_Toc7080"/>
            <w:r>
              <w:rPr>
                <w:rFonts w:hint="eastAsia"/>
                <w:kern w:val="28"/>
                <w:u w:val="single"/>
              </w:rPr>
              <w:t>磋商、评审、成交</w:t>
            </w:r>
            <w:r>
              <w:rPr>
                <w:rFonts w:hint="eastAsia"/>
                <w:kern w:val="28"/>
              </w:rPr>
              <w:t>：见磋商文件第四部分。</w:t>
            </w:r>
            <w:bookmarkEnd w:id="19"/>
            <w:bookmarkEnd w:id="20"/>
            <w:bookmarkEnd w:id="21"/>
            <w:bookmarkEnd w:id="2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p>
        </w:tc>
        <w:tc>
          <w:tcPr>
            <w:tcW w:w="829" w:type="dxa"/>
            <w:vAlign w:val="center"/>
          </w:tcPr>
          <w:p>
            <w:pPr>
              <w:tabs>
                <w:tab w:val="left" w:pos="315"/>
                <w:tab w:val="left" w:pos="1785"/>
                <w:tab w:val="left" w:pos="2310"/>
                <w:tab w:val="left" w:pos="8640"/>
              </w:tabs>
              <w:spacing w:line="360" w:lineRule="auto"/>
              <w:jc w:val="center"/>
              <w:rPr>
                <w:b/>
              </w:rPr>
            </w:pPr>
          </w:p>
        </w:tc>
        <w:tc>
          <w:tcPr>
            <w:tcW w:w="8364" w:type="dxa"/>
            <w:vAlign w:val="center"/>
          </w:tcPr>
          <w:p>
            <w:pPr>
              <w:spacing w:line="360" w:lineRule="auto"/>
              <w:jc w:val="center"/>
              <w:rPr>
                <w:kern w:val="28"/>
                <w:u w:val="single"/>
              </w:rPr>
            </w:pPr>
            <w:bookmarkStart w:id="23" w:name="_Toc19704"/>
            <w:bookmarkStart w:id="24" w:name="_Toc7244"/>
            <w:bookmarkStart w:id="25" w:name="_Toc164"/>
            <w:r>
              <w:rPr>
                <w:rFonts w:hint="eastAsia"/>
                <w:b/>
              </w:rPr>
              <w:t>七、询问、质疑、投诉</w:t>
            </w:r>
            <w:bookmarkEnd w:id="23"/>
            <w:bookmarkEnd w:id="24"/>
            <w:bookmarkEnd w:id="25"/>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19</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21.2</w:t>
            </w:r>
          </w:p>
        </w:tc>
        <w:tc>
          <w:tcPr>
            <w:tcW w:w="8364" w:type="dxa"/>
            <w:vAlign w:val="center"/>
          </w:tcPr>
          <w:p>
            <w:pPr>
              <w:spacing w:line="360" w:lineRule="auto"/>
              <w:jc w:val="left"/>
              <w:rPr>
                <w:kern w:val="28"/>
                <w:u w:val="single"/>
              </w:rPr>
            </w:pPr>
            <w:bookmarkStart w:id="26" w:name="_Toc19703"/>
            <w:bookmarkStart w:id="27" w:name="_Toc3466"/>
            <w:bookmarkStart w:id="28" w:name="_Toc4970"/>
            <w:r>
              <w:rPr>
                <w:rFonts w:hint="eastAsia"/>
                <w:kern w:val="28"/>
                <w:u w:val="single"/>
              </w:rPr>
              <w:t>询问（陕西德勤招标有限公司）联系方式：</w:t>
            </w:r>
            <w:bookmarkEnd w:id="26"/>
            <w:bookmarkEnd w:id="27"/>
            <w:bookmarkEnd w:id="28"/>
          </w:p>
          <w:p>
            <w:pPr>
              <w:spacing w:line="360" w:lineRule="auto"/>
              <w:jc w:val="left"/>
              <w:rPr>
                <w:kern w:val="28"/>
                <w:u w:val="single"/>
              </w:rPr>
            </w:pPr>
            <w:bookmarkStart w:id="29" w:name="_Toc650"/>
            <w:bookmarkStart w:id="30" w:name="_Toc29335"/>
            <w:bookmarkStart w:id="31" w:name="_Toc2749"/>
            <w:r>
              <w:rPr>
                <w:rFonts w:hint="eastAsia"/>
                <w:kern w:val="28"/>
                <w:u w:val="single"/>
              </w:rPr>
              <w:t>联系人</w:t>
            </w:r>
            <w:r>
              <w:rPr>
                <w:rFonts w:hint="eastAsia"/>
                <w:kern w:val="28"/>
              </w:rPr>
              <w:t>：</w:t>
            </w:r>
            <w:bookmarkEnd w:id="29"/>
            <w:bookmarkEnd w:id="30"/>
            <w:bookmarkEnd w:id="31"/>
            <w:r>
              <w:rPr>
                <w:rFonts w:hint="eastAsia"/>
                <w:kern w:val="28"/>
              </w:rPr>
              <w:t>李浩</w:t>
            </w:r>
          </w:p>
          <w:p>
            <w:pPr>
              <w:spacing w:line="360" w:lineRule="auto"/>
              <w:jc w:val="left"/>
              <w:rPr>
                <w:kern w:val="28"/>
              </w:rPr>
            </w:pPr>
            <w:bookmarkStart w:id="32" w:name="_Toc4537"/>
            <w:bookmarkStart w:id="33" w:name="_Toc32111"/>
            <w:bookmarkStart w:id="34" w:name="_Toc12192"/>
            <w:r>
              <w:rPr>
                <w:rFonts w:hint="eastAsia"/>
                <w:kern w:val="28"/>
                <w:u w:val="single"/>
              </w:rPr>
              <w:t>联系电话（传真）</w:t>
            </w:r>
            <w:r>
              <w:rPr>
                <w:rFonts w:hint="eastAsia"/>
                <w:kern w:val="28"/>
              </w:rPr>
              <w:t>：</w:t>
            </w:r>
            <w:bookmarkEnd w:id="32"/>
            <w:bookmarkEnd w:id="33"/>
            <w:bookmarkEnd w:id="34"/>
            <w:r>
              <w:rPr>
                <w:rFonts w:hint="eastAsia"/>
                <w:kern w:val="28"/>
              </w:rPr>
              <w:t>029-81106093</w:t>
            </w:r>
          </w:p>
          <w:p>
            <w:pPr>
              <w:spacing w:line="360" w:lineRule="auto"/>
              <w:jc w:val="left"/>
              <w:rPr>
                <w:kern w:val="28"/>
                <w:u w:val="single"/>
              </w:rPr>
            </w:pPr>
            <w:bookmarkStart w:id="35" w:name="_Toc23207"/>
            <w:bookmarkStart w:id="36" w:name="_Toc3908"/>
            <w:bookmarkStart w:id="37" w:name="_Toc17850"/>
            <w:r>
              <w:rPr>
                <w:rFonts w:hint="eastAsia"/>
                <w:kern w:val="28"/>
                <w:u w:val="single"/>
              </w:rPr>
              <w:t>电子邮箱</w:t>
            </w:r>
            <w:r>
              <w:rPr>
                <w:rFonts w:hint="eastAsia"/>
                <w:kern w:val="28"/>
              </w:rPr>
              <w:t>：deqinjxm@126.com</w:t>
            </w:r>
            <w:bookmarkEnd w:id="35"/>
            <w:bookmarkEnd w:id="36"/>
            <w:bookmarkEnd w:id="37"/>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20</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22.1</w:t>
            </w:r>
          </w:p>
        </w:tc>
        <w:tc>
          <w:tcPr>
            <w:tcW w:w="8364" w:type="dxa"/>
            <w:vAlign w:val="center"/>
          </w:tcPr>
          <w:p>
            <w:pPr>
              <w:spacing w:line="360" w:lineRule="auto"/>
              <w:jc w:val="left"/>
              <w:rPr>
                <w:kern w:val="28"/>
                <w:u w:val="single"/>
              </w:rPr>
            </w:pPr>
            <w:bookmarkStart w:id="38" w:name="_Toc28752"/>
            <w:bookmarkStart w:id="39" w:name="_Toc51"/>
            <w:bookmarkStart w:id="40" w:name="_Toc14070"/>
            <w:r>
              <w:rPr>
                <w:rFonts w:hint="eastAsia"/>
                <w:kern w:val="28"/>
                <w:u w:val="single"/>
              </w:rPr>
              <w:t>质疑（陕西德勤招标有限公司）联系方式：</w:t>
            </w:r>
            <w:bookmarkEnd w:id="38"/>
            <w:bookmarkEnd w:id="39"/>
            <w:bookmarkEnd w:id="40"/>
          </w:p>
          <w:p>
            <w:pPr>
              <w:spacing w:line="360" w:lineRule="auto"/>
              <w:jc w:val="left"/>
              <w:rPr>
                <w:kern w:val="28"/>
                <w:u w:val="single"/>
              </w:rPr>
            </w:pPr>
            <w:bookmarkStart w:id="41" w:name="_Toc19853"/>
            <w:bookmarkStart w:id="42" w:name="_Toc28799"/>
            <w:bookmarkStart w:id="43" w:name="_Toc17771"/>
            <w:r>
              <w:rPr>
                <w:rFonts w:hint="eastAsia"/>
                <w:kern w:val="28"/>
                <w:u w:val="single"/>
              </w:rPr>
              <w:t>联系人</w:t>
            </w:r>
            <w:r>
              <w:rPr>
                <w:rFonts w:hint="eastAsia"/>
                <w:kern w:val="28"/>
              </w:rPr>
              <w:t>：</w:t>
            </w:r>
            <w:bookmarkEnd w:id="41"/>
            <w:bookmarkEnd w:id="42"/>
            <w:bookmarkEnd w:id="43"/>
            <w:r>
              <w:rPr>
                <w:rFonts w:hint="eastAsia"/>
                <w:kern w:val="28"/>
              </w:rPr>
              <w:t>李浩</w:t>
            </w:r>
          </w:p>
          <w:p>
            <w:pPr>
              <w:spacing w:line="360" w:lineRule="auto"/>
              <w:jc w:val="left"/>
              <w:rPr>
                <w:kern w:val="28"/>
              </w:rPr>
            </w:pPr>
            <w:bookmarkStart w:id="44" w:name="_Toc2750"/>
            <w:bookmarkStart w:id="45" w:name="_Toc3463"/>
            <w:bookmarkStart w:id="46" w:name="_Toc14700"/>
            <w:r>
              <w:rPr>
                <w:rFonts w:hint="eastAsia"/>
                <w:kern w:val="28"/>
                <w:u w:val="single"/>
              </w:rPr>
              <w:t>联系电话（传真）</w:t>
            </w:r>
            <w:r>
              <w:rPr>
                <w:rFonts w:hint="eastAsia"/>
                <w:kern w:val="28"/>
              </w:rPr>
              <w:t>：</w:t>
            </w:r>
            <w:bookmarkEnd w:id="44"/>
            <w:bookmarkEnd w:id="45"/>
            <w:bookmarkEnd w:id="46"/>
            <w:r>
              <w:rPr>
                <w:rFonts w:hint="eastAsia"/>
                <w:kern w:val="28"/>
              </w:rPr>
              <w:t>029-81106093</w:t>
            </w:r>
          </w:p>
          <w:p>
            <w:pPr>
              <w:spacing w:line="360" w:lineRule="auto"/>
              <w:jc w:val="left"/>
              <w:rPr>
                <w:kern w:val="28"/>
                <w:u w:val="single"/>
              </w:rPr>
            </w:pPr>
            <w:bookmarkStart w:id="47" w:name="_Toc14395"/>
            <w:bookmarkStart w:id="48" w:name="_Toc478"/>
            <w:bookmarkStart w:id="49" w:name="_Toc4702"/>
            <w:r>
              <w:rPr>
                <w:rFonts w:hint="eastAsia"/>
                <w:kern w:val="28"/>
                <w:u w:val="single"/>
              </w:rPr>
              <w:t>电子邮箱</w:t>
            </w:r>
            <w:r>
              <w:rPr>
                <w:rFonts w:hint="eastAsia"/>
                <w:kern w:val="28"/>
              </w:rPr>
              <w:t>：deqinjxm@126.com</w:t>
            </w:r>
            <w:bookmarkEnd w:id="47"/>
            <w:bookmarkEnd w:id="48"/>
            <w:bookmarkEnd w:id="49"/>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p>
        </w:tc>
        <w:tc>
          <w:tcPr>
            <w:tcW w:w="829" w:type="dxa"/>
            <w:vAlign w:val="center"/>
          </w:tcPr>
          <w:p>
            <w:pPr>
              <w:tabs>
                <w:tab w:val="left" w:pos="315"/>
                <w:tab w:val="left" w:pos="1785"/>
                <w:tab w:val="left" w:pos="2310"/>
                <w:tab w:val="left" w:pos="8640"/>
              </w:tabs>
              <w:spacing w:line="360" w:lineRule="auto"/>
              <w:jc w:val="center"/>
              <w:rPr>
                <w:b/>
              </w:rPr>
            </w:pPr>
          </w:p>
        </w:tc>
        <w:tc>
          <w:tcPr>
            <w:tcW w:w="8364" w:type="dxa"/>
            <w:vAlign w:val="center"/>
          </w:tcPr>
          <w:p>
            <w:pPr>
              <w:spacing w:line="360" w:lineRule="auto"/>
              <w:jc w:val="center"/>
              <w:rPr>
                <w:kern w:val="28"/>
                <w:u w:val="single"/>
              </w:rPr>
            </w:pPr>
            <w:bookmarkStart w:id="50" w:name="_Toc28950"/>
            <w:bookmarkStart w:id="51" w:name="_Toc5636"/>
            <w:bookmarkStart w:id="52" w:name="_Toc16509"/>
            <w:r>
              <w:rPr>
                <w:rFonts w:hint="eastAsia"/>
                <w:b/>
              </w:rPr>
              <w:t>八、合同的签订及履行</w:t>
            </w:r>
            <w:bookmarkEnd w:id="50"/>
            <w:bookmarkEnd w:id="51"/>
            <w:bookmarkEnd w:id="5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21</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24.1</w:t>
            </w:r>
          </w:p>
        </w:tc>
        <w:tc>
          <w:tcPr>
            <w:tcW w:w="8364" w:type="dxa"/>
            <w:vAlign w:val="center"/>
          </w:tcPr>
          <w:p>
            <w:pPr>
              <w:spacing w:line="360" w:lineRule="auto"/>
              <w:rPr>
                <w:kern w:val="28"/>
                <w:u w:val="single"/>
              </w:rPr>
            </w:pPr>
            <w:r>
              <w:rPr>
                <w:rFonts w:hint="eastAsia"/>
                <w:kern w:val="28"/>
              </w:rPr>
              <w:t>在合同签订前，成交供应商须提供营业执照、税务登记证和在响应文件中提供的资质证明文件、业绩合同等主要证明文件的原件给采购人进行核对。如响应文件中复印件与原件不符，采购人有权取消其成交资格。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p>
        </w:tc>
        <w:tc>
          <w:tcPr>
            <w:tcW w:w="829" w:type="dxa"/>
            <w:vAlign w:val="center"/>
          </w:tcPr>
          <w:p>
            <w:pPr>
              <w:tabs>
                <w:tab w:val="left" w:pos="315"/>
                <w:tab w:val="left" w:pos="1785"/>
                <w:tab w:val="left" w:pos="2310"/>
                <w:tab w:val="left" w:pos="8640"/>
              </w:tabs>
              <w:spacing w:line="360" w:lineRule="auto"/>
              <w:jc w:val="center"/>
              <w:rPr>
                <w:b/>
              </w:rPr>
            </w:pPr>
          </w:p>
        </w:tc>
        <w:tc>
          <w:tcPr>
            <w:tcW w:w="8364" w:type="dxa"/>
            <w:vAlign w:val="center"/>
          </w:tcPr>
          <w:p>
            <w:pPr>
              <w:spacing w:line="360" w:lineRule="auto"/>
              <w:jc w:val="center"/>
              <w:rPr>
                <w:kern w:val="28"/>
                <w:u w:val="single"/>
              </w:rPr>
            </w:pPr>
            <w:bookmarkStart w:id="53" w:name="_Toc6808"/>
            <w:bookmarkStart w:id="54" w:name="_Toc9562"/>
            <w:bookmarkStart w:id="55" w:name="_Toc16510"/>
            <w:r>
              <w:rPr>
                <w:rFonts w:hint="eastAsia"/>
                <w:b/>
              </w:rPr>
              <w:t>九、采购代理服务费</w:t>
            </w:r>
            <w:bookmarkEnd w:id="53"/>
            <w:bookmarkEnd w:id="54"/>
            <w:bookmarkEnd w:id="55"/>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22</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26.1</w:t>
            </w:r>
          </w:p>
        </w:tc>
        <w:tc>
          <w:tcPr>
            <w:tcW w:w="8364" w:type="dxa"/>
            <w:vAlign w:val="center"/>
          </w:tcPr>
          <w:p>
            <w:pPr>
              <w:spacing w:line="360" w:lineRule="auto"/>
              <w:jc w:val="left"/>
              <w:rPr>
                <w:kern w:val="28"/>
                <w:u w:val="single"/>
              </w:rPr>
            </w:pPr>
            <w:bookmarkStart w:id="56" w:name="_Toc7419"/>
            <w:r>
              <w:rPr>
                <w:rFonts w:hint="eastAsia"/>
                <w:kern w:val="28"/>
              </w:rPr>
              <w:t>采购代理服务费按约定由成交供应商支付，采购代理服务费不在响应报价中单列。</w:t>
            </w:r>
            <w:bookmarkEnd w:id="56"/>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spacing w:line="360" w:lineRule="auto"/>
              <w:jc w:val="center"/>
              <w:rPr>
                <w:b/>
              </w:rPr>
            </w:pPr>
            <w:r>
              <w:rPr>
                <w:rFonts w:hint="eastAsia"/>
                <w:b/>
              </w:rPr>
              <w:t>23</w:t>
            </w:r>
          </w:p>
        </w:tc>
        <w:tc>
          <w:tcPr>
            <w:tcW w:w="829" w:type="dxa"/>
            <w:vAlign w:val="center"/>
          </w:tcPr>
          <w:p>
            <w:pPr>
              <w:tabs>
                <w:tab w:val="left" w:pos="315"/>
                <w:tab w:val="left" w:pos="1785"/>
                <w:tab w:val="left" w:pos="2310"/>
                <w:tab w:val="left" w:pos="8640"/>
              </w:tabs>
              <w:spacing w:line="360" w:lineRule="auto"/>
              <w:jc w:val="center"/>
              <w:rPr>
                <w:b/>
              </w:rPr>
            </w:pPr>
            <w:r>
              <w:rPr>
                <w:rFonts w:hint="eastAsia"/>
                <w:b/>
              </w:rPr>
              <w:t>26.2</w:t>
            </w:r>
          </w:p>
        </w:tc>
        <w:tc>
          <w:tcPr>
            <w:tcW w:w="8364" w:type="dxa"/>
            <w:vAlign w:val="center"/>
          </w:tcPr>
          <w:p>
            <w:pPr>
              <w:spacing w:line="360" w:lineRule="auto"/>
              <w:jc w:val="left"/>
              <w:rPr>
                <w:kern w:val="28"/>
              </w:rPr>
            </w:pPr>
            <w:bookmarkStart w:id="57" w:name="_Toc438"/>
            <w:r>
              <w:rPr>
                <w:rFonts w:hint="eastAsia"/>
                <w:kern w:val="28"/>
              </w:rPr>
              <w:t>采购代理服务费按以下标准下浮20%计取：</w:t>
            </w:r>
            <w:bookmarkEnd w:id="57"/>
          </w:p>
          <w:tbl>
            <w:tblPr>
              <w:tblStyle w:val="22"/>
              <w:tblW w:w="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vAlign w:val="center"/>
                </w:tcPr>
                <w:p>
                  <w:pPr>
                    <w:tabs>
                      <w:tab w:val="left" w:pos="547"/>
                    </w:tabs>
                    <w:spacing w:line="360" w:lineRule="auto"/>
                    <w:jc w:val="center"/>
                    <w:rPr>
                      <w:rFonts w:ascii="宋体" w:cs="Times New Roman"/>
                    </w:rPr>
                  </w:pPr>
                  <w:r>
                    <w:rPr>
                      <w:rFonts w:hint="eastAsia" w:ascii="宋体" w:hAnsi="宋体"/>
                    </w:rPr>
                    <w:t>成交金额（万元）</w:t>
                  </w:r>
                </w:p>
              </w:tc>
              <w:tc>
                <w:tcPr>
                  <w:tcW w:w="1883" w:type="dxa"/>
                  <w:vAlign w:val="center"/>
                </w:tcPr>
                <w:p>
                  <w:pPr>
                    <w:tabs>
                      <w:tab w:val="left" w:pos="547"/>
                    </w:tabs>
                    <w:spacing w:line="360" w:lineRule="auto"/>
                    <w:jc w:val="center"/>
                    <w:rPr>
                      <w:rFonts w:ascii="宋体" w:cs="Times New Roman"/>
                    </w:rPr>
                  </w:pPr>
                  <w:r>
                    <w:rPr>
                      <w:rFonts w:hint="eastAsia" w:ascii="宋体" w:hAnsi="宋体"/>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vAlign w:val="center"/>
                </w:tcPr>
                <w:p>
                  <w:pPr>
                    <w:tabs>
                      <w:tab w:val="left" w:pos="547"/>
                    </w:tabs>
                    <w:spacing w:line="360" w:lineRule="auto"/>
                    <w:jc w:val="center"/>
                    <w:rPr>
                      <w:rFonts w:ascii="宋体" w:cs="Times New Roman"/>
                    </w:rPr>
                  </w:pPr>
                  <w:r>
                    <w:rPr>
                      <w:rFonts w:ascii="宋体" w:hAnsi="宋体"/>
                    </w:rPr>
                    <w:t>100</w:t>
                  </w:r>
                  <w:r>
                    <w:rPr>
                      <w:rFonts w:hint="eastAsia" w:ascii="宋体" w:hAnsi="宋体"/>
                    </w:rPr>
                    <w:t>以下</w:t>
                  </w:r>
                </w:p>
              </w:tc>
              <w:tc>
                <w:tcPr>
                  <w:tcW w:w="1883" w:type="dxa"/>
                  <w:vAlign w:val="center"/>
                </w:tcPr>
                <w:p>
                  <w:pPr>
                    <w:tabs>
                      <w:tab w:val="left" w:pos="547"/>
                    </w:tabs>
                    <w:spacing w:line="360" w:lineRule="auto"/>
                    <w:jc w:val="center"/>
                    <w:rPr>
                      <w:rFonts w:ascii="宋体" w:hAnsi="宋体"/>
                    </w:rPr>
                  </w:pPr>
                  <w:r>
                    <w:rPr>
                      <w:rFonts w:ascii="宋体" w:hAnsi="宋体"/>
                    </w:rPr>
                    <w:t>1.5%</w:t>
                  </w:r>
                </w:p>
              </w:tc>
            </w:tr>
          </w:tbl>
          <w:p>
            <w:pPr>
              <w:spacing w:line="360" w:lineRule="auto"/>
              <w:jc w:val="left"/>
              <w:rPr>
                <w:kern w:val="28"/>
                <w:u w:val="single"/>
              </w:rPr>
            </w:pPr>
            <w:bookmarkStart w:id="58" w:name="_Toc31526"/>
            <w:r>
              <w:rPr>
                <w:rFonts w:hint="eastAsia"/>
                <w:kern w:val="28"/>
              </w:rPr>
              <w:t>注：采购代理服务费收费按差额定率累进法计算。</w:t>
            </w:r>
            <w:bookmarkEnd w:id="58"/>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pPr>
              <w:tabs>
                <w:tab w:val="left" w:pos="315"/>
                <w:tab w:val="left" w:pos="1785"/>
                <w:tab w:val="left" w:pos="2310"/>
                <w:tab w:val="left" w:pos="8640"/>
              </w:tabs>
              <w:spacing w:line="360" w:lineRule="auto"/>
              <w:jc w:val="center"/>
              <w:rPr>
                <w:b/>
              </w:rPr>
            </w:pPr>
            <w:r>
              <w:rPr>
                <w:rFonts w:hint="eastAsia"/>
                <w:b/>
              </w:rPr>
              <w:t>24</w:t>
            </w:r>
          </w:p>
        </w:tc>
        <w:tc>
          <w:tcPr>
            <w:tcW w:w="829" w:type="dxa"/>
            <w:vAlign w:val="center"/>
          </w:tcPr>
          <w:p>
            <w:pPr>
              <w:tabs>
                <w:tab w:val="left" w:pos="315"/>
                <w:tab w:val="left" w:pos="1785"/>
                <w:tab w:val="left" w:pos="2310"/>
                <w:tab w:val="left" w:pos="8640"/>
              </w:tabs>
              <w:spacing w:line="360" w:lineRule="auto"/>
              <w:jc w:val="center"/>
              <w:rPr>
                <w:b/>
              </w:rPr>
            </w:pPr>
          </w:p>
        </w:tc>
        <w:tc>
          <w:tcPr>
            <w:tcW w:w="8364" w:type="dxa"/>
            <w:vAlign w:val="center"/>
          </w:tcPr>
          <w:p>
            <w:pPr>
              <w:tabs>
                <w:tab w:val="left" w:pos="315"/>
                <w:tab w:val="left" w:pos="1785"/>
                <w:tab w:val="left" w:pos="2310"/>
                <w:tab w:val="left" w:pos="8640"/>
              </w:tabs>
              <w:spacing w:line="360" w:lineRule="auto"/>
              <w:rPr>
                <w:b/>
              </w:rPr>
            </w:pPr>
            <w:r>
              <w:rPr>
                <w:rFonts w:hint="eastAsia"/>
              </w:rPr>
              <w:t>成交结果公告媒体：</w:t>
            </w:r>
            <w:r>
              <w:rPr>
                <w:rFonts w:hint="eastAsia" w:ascii="BatangChe" w:hAnsi="BatangChe"/>
              </w:rPr>
              <w:t>陕西省政府采购网(http://www.ccgp-shaanxi.gov.cn/）。</w:t>
            </w:r>
          </w:p>
        </w:tc>
      </w:tr>
    </w:tbl>
    <w:p>
      <w:pPr>
        <w:spacing w:line="360" w:lineRule="auto"/>
        <w:ind w:firstLine="481"/>
        <w:jc w:val="left"/>
        <w:rPr>
          <w:rFonts w:ascii="宋体" w:hAnsi="宋体"/>
          <w:sz w:val="24"/>
        </w:rPr>
      </w:pPr>
      <w:r>
        <w:rPr>
          <w:rFonts w:hint="eastAsia" w:ascii="宋体" w:hAnsi="宋体"/>
          <w:sz w:val="24"/>
        </w:rPr>
        <w:br w:type="page"/>
      </w:r>
    </w:p>
    <w:p>
      <w:pPr>
        <w:spacing w:line="360" w:lineRule="auto"/>
        <w:ind w:firstLine="481"/>
        <w:jc w:val="left"/>
        <w:rPr>
          <w:rFonts w:ascii="宋体" w:hAnsi="宋体"/>
          <w:sz w:val="24"/>
        </w:rPr>
      </w:pPr>
      <w:bookmarkStart w:id="59" w:name="_Toc5476"/>
      <w:r>
        <w:rPr>
          <w:rFonts w:hint="eastAsia" w:ascii="宋体" w:hAnsi="宋体"/>
          <w:sz w:val="24"/>
        </w:rPr>
        <w:t>本次采购活动依据《中华人民共和国政府采购法》及其配套的法规、规章及政策执行。</w:t>
      </w:r>
      <w:bookmarkEnd w:id="12"/>
      <w:bookmarkEnd w:id="13"/>
      <w:bookmarkEnd w:id="14"/>
      <w:bookmarkEnd w:id="59"/>
    </w:p>
    <w:p>
      <w:pPr>
        <w:spacing w:line="360" w:lineRule="auto"/>
        <w:ind w:firstLine="481"/>
        <w:jc w:val="left"/>
        <w:outlineLvl w:val="1"/>
        <w:rPr>
          <w:rFonts w:ascii="黑体" w:hAnsi="黑体" w:eastAsia="黑体" w:cs="黑体"/>
          <w:b/>
          <w:sz w:val="24"/>
        </w:rPr>
      </w:pPr>
      <w:bookmarkStart w:id="60" w:name="_Toc11778"/>
      <w:bookmarkStart w:id="61" w:name="_Toc21459"/>
      <w:bookmarkStart w:id="62" w:name="_Toc14458"/>
      <w:r>
        <w:rPr>
          <w:rFonts w:hint="eastAsia" w:ascii="黑体" w:hAnsi="黑体" w:eastAsia="黑体" w:cs="黑体"/>
          <w:b/>
          <w:sz w:val="24"/>
        </w:rPr>
        <w:t>一、总则</w:t>
      </w:r>
      <w:bookmarkEnd w:id="60"/>
      <w:bookmarkEnd w:id="61"/>
      <w:bookmarkEnd w:id="62"/>
    </w:p>
    <w:p>
      <w:pPr>
        <w:spacing w:line="360" w:lineRule="auto"/>
        <w:ind w:firstLine="482" w:firstLineChars="200"/>
        <w:rPr>
          <w:rFonts w:ascii="宋体" w:hAnsi="宋体"/>
          <w:b/>
          <w:bCs/>
          <w:sz w:val="24"/>
        </w:rPr>
      </w:pPr>
      <w:r>
        <w:rPr>
          <w:rFonts w:hint="eastAsia" w:ascii="宋体" w:hAnsi="宋体"/>
          <w:b/>
          <w:bCs/>
          <w:sz w:val="24"/>
        </w:rPr>
        <w:t>1.定义</w:t>
      </w:r>
    </w:p>
    <w:p>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“本项目”系指磋商邀请函中所描述项目。</w:t>
      </w:r>
    </w:p>
    <w:p>
      <w:pPr>
        <w:spacing w:line="360" w:lineRule="auto"/>
        <w:ind w:firstLine="480" w:firstLineChars="200"/>
        <w:rPr>
          <w:rFonts w:ascii="宋体" w:cs="Times New Roman"/>
          <w:sz w:val="24"/>
        </w:rPr>
      </w:pPr>
      <w:r>
        <w:rPr>
          <w:rFonts w:ascii="宋体" w:hAnsi="宋体"/>
          <w:sz w:val="24"/>
        </w:rPr>
        <w:t>1.2</w:t>
      </w:r>
      <w:r>
        <w:rPr>
          <w:rFonts w:hint="eastAsia" w:ascii="宋体" w:hAnsi="宋体"/>
          <w:sz w:val="24"/>
        </w:rPr>
        <w:t>“采购人”系指磋商邀请函中所指采购人，亦指甲方、业主；</w:t>
      </w:r>
    </w:p>
    <w:p>
      <w:pPr>
        <w:spacing w:line="360" w:lineRule="auto"/>
        <w:ind w:firstLine="480" w:firstLineChars="200"/>
        <w:rPr>
          <w:rFonts w:ascii="宋体" w:cs="Times New Roman"/>
          <w:sz w:val="24"/>
        </w:rPr>
      </w:pPr>
      <w:r>
        <w:rPr>
          <w:rFonts w:ascii="宋体" w:hAnsi="宋体"/>
          <w:sz w:val="24"/>
        </w:rPr>
        <w:t>1.3</w:t>
      </w:r>
      <w:r>
        <w:rPr>
          <w:rFonts w:hint="eastAsia" w:ascii="宋体" w:hAnsi="宋体"/>
          <w:sz w:val="24"/>
        </w:rPr>
        <w:t>“监督机构”系财政主管部门及采购人纪检监察部门；</w:t>
      </w:r>
    </w:p>
    <w:p>
      <w:pPr>
        <w:spacing w:line="360" w:lineRule="auto"/>
        <w:ind w:firstLine="480" w:firstLineChars="200"/>
        <w:rPr>
          <w:rFonts w:ascii="宋体" w:cs="Times New Roman"/>
          <w:sz w:val="24"/>
        </w:rPr>
      </w:pPr>
      <w:r>
        <w:rPr>
          <w:rFonts w:ascii="宋体" w:hAnsi="宋体"/>
          <w:sz w:val="24"/>
        </w:rPr>
        <w:t>1.4</w:t>
      </w:r>
      <w:r>
        <w:rPr>
          <w:rFonts w:hint="eastAsia" w:ascii="宋体" w:hAnsi="宋体"/>
          <w:sz w:val="24"/>
        </w:rPr>
        <w:t>“采购代理机构”系陕西德勤招标有限公司；</w:t>
      </w:r>
    </w:p>
    <w:p>
      <w:pPr>
        <w:spacing w:line="360" w:lineRule="auto"/>
        <w:ind w:firstLine="480" w:firstLineChars="200"/>
        <w:rPr>
          <w:rFonts w:ascii="宋体" w:cs="Times New Roman"/>
          <w:sz w:val="24"/>
        </w:rPr>
      </w:pPr>
      <w:r>
        <w:rPr>
          <w:rFonts w:ascii="宋体" w:hAnsi="宋体"/>
          <w:sz w:val="24"/>
        </w:rPr>
        <w:t>1.5</w:t>
      </w:r>
      <w:r>
        <w:rPr>
          <w:rFonts w:hint="eastAsia" w:ascii="宋体" w:hAnsi="宋体"/>
          <w:sz w:val="24"/>
        </w:rPr>
        <w:t>“采购单位”系采购人及采购代理机构的统称；</w:t>
      </w:r>
    </w:p>
    <w:p>
      <w:pPr>
        <w:spacing w:line="360" w:lineRule="auto"/>
        <w:ind w:firstLine="480" w:firstLineChars="200"/>
        <w:rPr>
          <w:rFonts w:ascii="宋体" w:cs="Times New Roman"/>
          <w:sz w:val="24"/>
        </w:rPr>
      </w:pPr>
      <w:r>
        <w:rPr>
          <w:rFonts w:ascii="宋体" w:hAnsi="宋体"/>
          <w:sz w:val="24"/>
        </w:rPr>
        <w:t>1.</w:t>
      </w:r>
      <w:r>
        <w:rPr>
          <w:rFonts w:hint="eastAsia" w:ascii="宋体" w:hAnsi="宋体"/>
          <w:sz w:val="24"/>
        </w:rPr>
        <w:t>6“响应供应商”系指购买了磋商文件拟向采购人提供服务，并拟参加磋商会议的供应商；</w:t>
      </w:r>
    </w:p>
    <w:p>
      <w:pPr>
        <w:spacing w:line="360" w:lineRule="auto"/>
        <w:ind w:firstLine="480" w:firstLineChars="200"/>
        <w:rPr>
          <w:rFonts w:ascii="宋体" w:hAnsi="宋体"/>
          <w:sz w:val="24"/>
        </w:rPr>
      </w:pPr>
      <w:r>
        <w:rPr>
          <w:rFonts w:hint="eastAsia" w:ascii="宋体" w:hAnsi="宋体"/>
          <w:sz w:val="24"/>
        </w:rPr>
        <w:t>1.7“日期”指公历日</w:t>
      </w:r>
      <w:r>
        <w:rPr>
          <w:rFonts w:ascii="宋体"/>
          <w:sz w:val="24"/>
        </w:rPr>
        <w:t>,</w:t>
      </w:r>
      <w:r>
        <w:rPr>
          <w:rFonts w:hint="eastAsia" w:ascii="宋体" w:hAnsi="宋体"/>
          <w:sz w:val="24"/>
        </w:rPr>
        <w:t>“时间”指北京时间。</w:t>
      </w:r>
    </w:p>
    <w:p>
      <w:pPr>
        <w:spacing w:line="360" w:lineRule="auto"/>
        <w:ind w:firstLine="482" w:firstLineChars="200"/>
        <w:rPr>
          <w:rFonts w:ascii="宋体" w:hAnsi="宋体"/>
          <w:b/>
          <w:bCs/>
          <w:sz w:val="24"/>
        </w:rPr>
      </w:pPr>
      <w:r>
        <w:rPr>
          <w:rFonts w:hint="eastAsia" w:ascii="宋体" w:hAnsi="宋体"/>
          <w:b/>
          <w:bCs/>
          <w:sz w:val="24"/>
        </w:rPr>
        <w:t>2.合格供应商</w:t>
      </w:r>
    </w:p>
    <w:p>
      <w:pPr>
        <w:spacing w:line="360" w:lineRule="auto"/>
        <w:ind w:firstLine="480" w:firstLineChars="200"/>
        <w:rPr>
          <w:rFonts w:ascii="宋体" w:hAnsi="宋体"/>
          <w:sz w:val="24"/>
        </w:rPr>
      </w:pPr>
      <w:bookmarkStart w:id="63" w:name="_Toc29049"/>
      <w:bookmarkStart w:id="64" w:name="_Toc12615"/>
      <w:bookmarkStart w:id="65" w:name="_Toc6060"/>
      <w:bookmarkStart w:id="66" w:name="_Toc30806"/>
      <w:r>
        <w:rPr>
          <w:rFonts w:hint="eastAsia" w:ascii="宋体" w:hAnsi="宋体"/>
          <w:sz w:val="24"/>
        </w:rPr>
        <w:t>2.1符合《第一部分 磋商邀请函》中“供应商资格要求”、有能力提供本项目所需服务的供应商。</w:t>
      </w:r>
      <w:bookmarkEnd w:id="63"/>
      <w:bookmarkEnd w:id="64"/>
      <w:bookmarkEnd w:id="65"/>
      <w:bookmarkEnd w:id="66"/>
    </w:p>
    <w:p>
      <w:pPr>
        <w:spacing w:line="360" w:lineRule="auto"/>
        <w:ind w:firstLine="480" w:firstLineChars="200"/>
        <w:rPr>
          <w:rFonts w:ascii="宋体" w:hAnsi="宋体"/>
          <w:sz w:val="24"/>
        </w:rPr>
      </w:pPr>
      <w:bookmarkStart w:id="67" w:name="_Toc29147"/>
      <w:bookmarkStart w:id="68" w:name="_Toc27950"/>
      <w:bookmarkStart w:id="69" w:name="_Toc1112"/>
      <w:bookmarkStart w:id="70" w:name="_Toc24392"/>
      <w:r>
        <w:rPr>
          <w:rFonts w:hint="eastAsia" w:ascii="宋体" w:hAnsi="宋体"/>
          <w:sz w:val="24"/>
        </w:rPr>
        <w:t>2.2供应商应在响应文件中提交以下文件以证明其资格：</w:t>
      </w:r>
      <w:bookmarkEnd w:id="67"/>
      <w:bookmarkEnd w:id="68"/>
      <w:bookmarkEnd w:id="69"/>
      <w:bookmarkEnd w:id="70"/>
    </w:p>
    <w:p>
      <w:pPr>
        <w:spacing w:line="360" w:lineRule="auto"/>
        <w:ind w:firstLine="480" w:firstLineChars="200"/>
        <w:rPr>
          <w:rFonts w:ascii="宋体" w:hAnsi="宋体"/>
          <w:sz w:val="24"/>
        </w:rPr>
      </w:pPr>
      <w:r>
        <w:rPr>
          <w:rFonts w:hint="eastAsia" w:ascii="宋体" w:hAnsi="宋体"/>
          <w:sz w:val="24"/>
        </w:rPr>
        <w:t>2.2.1供应商资格声明（格式）；</w:t>
      </w:r>
    </w:p>
    <w:p>
      <w:pPr>
        <w:spacing w:line="360" w:lineRule="auto"/>
        <w:ind w:firstLine="480" w:firstLineChars="200"/>
        <w:rPr>
          <w:rFonts w:ascii="宋体" w:hAnsi="宋体"/>
          <w:sz w:val="24"/>
        </w:rPr>
      </w:pPr>
      <w:r>
        <w:rPr>
          <w:rFonts w:hint="eastAsia" w:ascii="宋体" w:hAnsi="宋体"/>
          <w:sz w:val="24"/>
        </w:rPr>
        <w:t>1）企业法人、其他组织营业执照副本或事业单位法人证书，自然人提供身份证明（复印件加盖响应供应商公章）；</w:t>
      </w:r>
    </w:p>
    <w:p>
      <w:pPr>
        <w:spacing w:line="360" w:lineRule="auto"/>
        <w:ind w:firstLine="480" w:firstLineChars="200"/>
        <w:rPr>
          <w:rFonts w:ascii="宋体" w:hAnsi="宋体"/>
          <w:sz w:val="24"/>
        </w:rPr>
      </w:pPr>
      <w:r>
        <w:rPr>
          <w:rFonts w:hint="eastAsia" w:ascii="宋体" w:hAnsi="宋体"/>
          <w:sz w:val="24"/>
        </w:rPr>
        <w:t>2）2020年度或2021年度经审计的财务报告（成立时间至磋商会议日期不足一年的响应供应商可提供成立后任意时段的资产负债表）（复印件加盖响应供应商公章）；</w:t>
      </w:r>
    </w:p>
    <w:p>
      <w:pPr>
        <w:spacing w:line="360" w:lineRule="auto"/>
        <w:ind w:firstLine="480" w:firstLineChars="200"/>
        <w:rPr>
          <w:rFonts w:ascii="宋体" w:hAnsi="宋体"/>
          <w:sz w:val="24"/>
        </w:rPr>
      </w:pPr>
      <w:r>
        <w:rPr>
          <w:rFonts w:hint="eastAsia" w:ascii="宋体" w:hAnsi="宋体"/>
          <w:sz w:val="24"/>
        </w:rPr>
        <w:t>或在磋商会议日期前六个月内其基本存款账户开户银行出具的资信证明（原件）；</w:t>
      </w:r>
    </w:p>
    <w:p>
      <w:pPr>
        <w:spacing w:line="360" w:lineRule="auto"/>
        <w:ind w:firstLine="480" w:firstLineChars="200"/>
        <w:rPr>
          <w:rFonts w:ascii="宋体" w:hAnsi="宋体"/>
          <w:sz w:val="24"/>
        </w:rPr>
      </w:pPr>
      <w:r>
        <w:rPr>
          <w:rFonts w:hint="eastAsia" w:ascii="宋体" w:hAnsi="宋体"/>
          <w:sz w:val="24"/>
        </w:rPr>
        <w:t>或在磋商会议日期前六个月内信用担保机构出具的投标担保函（原件）；</w:t>
      </w:r>
    </w:p>
    <w:p>
      <w:pPr>
        <w:spacing w:line="360" w:lineRule="auto"/>
        <w:ind w:firstLine="480" w:firstLineChars="200"/>
        <w:rPr>
          <w:rFonts w:ascii="宋体" w:hAnsi="宋体"/>
          <w:sz w:val="24"/>
        </w:rPr>
      </w:pPr>
      <w:r>
        <w:rPr>
          <w:rFonts w:hint="eastAsia" w:ascii="宋体" w:hAnsi="宋体"/>
          <w:sz w:val="24"/>
        </w:rPr>
        <w:t>（以上三种形式的资料提供任何一种即可）</w:t>
      </w:r>
    </w:p>
    <w:p>
      <w:pPr>
        <w:spacing w:line="360" w:lineRule="auto"/>
        <w:ind w:firstLine="480" w:firstLineChars="200"/>
        <w:rPr>
          <w:rFonts w:ascii="宋体" w:hAnsi="宋体"/>
          <w:sz w:val="24"/>
        </w:rPr>
      </w:pPr>
      <w:r>
        <w:rPr>
          <w:rFonts w:hint="eastAsia" w:ascii="宋体" w:hAnsi="宋体"/>
          <w:sz w:val="24"/>
        </w:rPr>
        <w:t>3）磋商会议日期前十二个月内任意一个月缴税凭据（复印件加盖供应商公章）（依法免税的供应商应提供相应文件证明）；</w:t>
      </w:r>
    </w:p>
    <w:p>
      <w:pPr>
        <w:spacing w:line="360" w:lineRule="auto"/>
        <w:ind w:firstLine="480" w:firstLineChars="200"/>
        <w:rPr>
          <w:rFonts w:ascii="宋体" w:hAnsi="宋体"/>
          <w:sz w:val="24"/>
        </w:rPr>
      </w:pPr>
      <w:r>
        <w:rPr>
          <w:rFonts w:hint="eastAsia" w:ascii="宋体" w:hAnsi="宋体"/>
          <w:sz w:val="24"/>
        </w:rPr>
        <w:t>4）磋商会议日期前十二个月内任意一个月缴纳社会保险的凭据（专用收据或社会保险缴纳清单）（复印件加盖供应商公章）（依法不需要缴纳社会保障资金的供应商应提供相应文件证明）；</w:t>
      </w:r>
    </w:p>
    <w:p>
      <w:pPr>
        <w:spacing w:line="360" w:lineRule="auto"/>
        <w:ind w:firstLine="480" w:firstLineChars="200"/>
        <w:rPr>
          <w:rFonts w:ascii="宋体" w:hAnsi="宋体"/>
          <w:sz w:val="24"/>
        </w:rPr>
      </w:pPr>
      <w:r>
        <w:rPr>
          <w:rFonts w:hint="eastAsia" w:ascii="宋体" w:hAnsi="宋体"/>
          <w:sz w:val="24"/>
        </w:rPr>
        <w:t>2.2.2保证金汇款声明函/保函（格式）；</w:t>
      </w:r>
    </w:p>
    <w:p>
      <w:pPr>
        <w:spacing w:line="360" w:lineRule="auto"/>
        <w:ind w:firstLine="480" w:firstLineChars="200"/>
        <w:rPr>
          <w:rFonts w:ascii="宋体" w:hAnsi="宋体"/>
          <w:sz w:val="24"/>
        </w:rPr>
      </w:pPr>
      <w:r>
        <w:rPr>
          <w:rFonts w:hint="eastAsia" w:ascii="宋体" w:hAnsi="宋体"/>
          <w:sz w:val="24"/>
        </w:rPr>
        <w:t>2.2.3法定代表人授权书（法定代表人直接参加磋商会议须提交法定代表人证明书）（格式）；</w:t>
      </w:r>
    </w:p>
    <w:p>
      <w:pPr>
        <w:spacing w:line="360" w:lineRule="auto"/>
        <w:ind w:firstLine="480" w:firstLineChars="200"/>
        <w:rPr>
          <w:rFonts w:ascii="宋体" w:hAnsi="宋体"/>
          <w:sz w:val="24"/>
        </w:rPr>
      </w:pPr>
      <w:r>
        <w:rPr>
          <w:rFonts w:hint="eastAsia" w:ascii="宋体" w:hAnsi="宋体"/>
          <w:sz w:val="24"/>
        </w:rPr>
        <w:t>2.2.4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p>
      <w:pPr>
        <w:spacing w:line="360" w:lineRule="auto"/>
        <w:ind w:firstLine="482" w:firstLineChars="200"/>
        <w:rPr>
          <w:rFonts w:ascii="宋体" w:cs="Times New Roman"/>
          <w:b/>
          <w:bCs/>
          <w:sz w:val="24"/>
          <w:u w:val="single"/>
        </w:rPr>
      </w:pPr>
      <w:r>
        <w:rPr>
          <w:rFonts w:hint="eastAsia" w:ascii="宋体" w:cs="Times New Roman"/>
          <w:b/>
          <w:bCs/>
          <w:sz w:val="24"/>
          <w:u w:val="single"/>
        </w:rPr>
        <w:t>备注：（1）</w:t>
      </w:r>
      <w:r>
        <w:rPr>
          <w:rFonts w:hint="eastAsia" w:ascii="宋体" w:hAnsi="宋体"/>
          <w:b/>
          <w:bCs/>
          <w:sz w:val="24"/>
          <w:u w:val="single"/>
        </w:rPr>
        <w:t>以上文件为必备资格证明</w:t>
      </w:r>
      <w:r>
        <w:rPr>
          <w:rFonts w:hint="eastAsia" w:ascii="宋体" w:cs="Times New Roman"/>
          <w:b/>
          <w:bCs/>
          <w:sz w:val="24"/>
          <w:u w:val="single"/>
        </w:rPr>
        <w:t>，需提供相关证明文件并加盖响应供应商公章（如相关证明材料由第三方出具，应有第三方公章），缺少其中任何一项，其响应文件视为无效文件。</w:t>
      </w:r>
    </w:p>
    <w:p>
      <w:pPr>
        <w:spacing w:line="360" w:lineRule="auto"/>
        <w:ind w:firstLine="482" w:firstLineChars="200"/>
        <w:rPr>
          <w:rFonts w:ascii="宋体" w:cs="Times New Roman"/>
          <w:b/>
          <w:bCs/>
          <w:sz w:val="24"/>
          <w:u w:val="single"/>
        </w:rPr>
      </w:pPr>
      <w:r>
        <w:rPr>
          <w:rFonts w:hint="eastAsia" w:ascii="宋体" w:cs="Times New Roman"/>
          <w:b/>
          <w:bCs/>
          <w:sz w:val="24"/>
          <w:u w:val="single"/>
        </w:rPr>
        <w:t>（2）《供应商资格声明》、《</w:t>
      </w:r>
      <w:r>
        <w:rPr>
          <w:rFonts w:hint="eastAsia" w:ascii="宋体" w:cs="Times New Roman"/>
          <w:b/>
          <w:bCs/>
          <w:sz w:val="24"/>
          <w:u w:val="single"/>
          <w:lang w:val="en-GB"/>
        </w:rPr>
        <w:t>保证金汇款声明函</w:t>
      </w:r>
      <w:r>
        <w:rPr>
          <w:rFonts w:hint="eastAsia" w:ascii="宋体" w:cs="Times New Roman"/>
          <w:b/>
          <w:bCs/>
          <w:sz w:val="24"/>
          <w:u w:val="single"/>
        </w:rPr>
        <w:t>》、《法定代表人授权书/法定代表人证明书》应按磋商文件第六部分给定的格式填写。</w:t>
      </w:r>
    </w:p>
    <w:p>
      <w:pPr>
        <w:spacing w:line="360" w:lineRule="auto"/>
        <w:ind w:firstLine="482" w:firstLineChars="200"/>
        <w:rPr>
          <w:rFonts w:ascii="宋体" w:cs="Times New Roman"/>
          <w:b/>
          <w:bCs/>
          <w:sz w:val="24"/>
          <w:u w:val="single"/>
        </w:rPr>
      </w:pPr>
      <w:r>
        <w:rPr>
          <w:rFonts w:hint="eastAsia" w:ascii="宋体" w:cs="Times New Roman"/>
          <w:b/>
          <w:bCs/>
          <w:sz w:val="24"/>
          <w:u w:val="single"/>
        </w:rPr>
        <w:t>（3）分支机构参与磋商时，响应文件中应附法人出具的授权书。法人只能授权一家分支机构参与磋商，且不能与分支机构同时参与磋商。分支机构须提供自己的资格要求证明文件。</w:t>
      </w:r>
    </w:p>
    <w:p>
      <w:pPr>
        <w:spacing w:line="360" w:lineRule="auto"/>
        <w:ind w:firstLine="482" w:firstLineChars="200"/>
        <w:rPr>
          <w:rFonts w:ascii="宋体" w:hAnsi="宋体"/>
          <w:b/>
          <w:bCs/>
          <w:sz w:val="24"/>
          <w:u w:val="single"/>
        </w:rPr>
      </w:pPr>
      <w:r>
        <w:rPr>
          <w:rFonts w:hint="eastAsia" w:ascii="宋体" w:cs="Times New Roman"/>
          <w:b/>
          <w:bCs/>
          <w:sz w:val="24"/>
          <w:u w:val="single"/>
        </w:rPr>
        <w:t>（4）事业单位法人参与磋商可不提供财务状况报告和社会保障资金缴纳证明及税收缴纳证明。</w:t>
      </w:r>
    </w:p>
    <w:p>
      <w:pPr>
        <w:spacing w:line="360" w:lineRule="auto"/>
        <w:ind w:firstLine="480" w:firstLineChars="200"/>
        <w:rPr>
          <w:rFonts w:ascii="宋体" w:hAnsi="宋体"/>
          <w:sz w:val="24"/>
        </w:rPr>
      </w:pPr>
      <w:r>
        <w:rPr>
          <w:rFonts w:hint="eastAsia" w:ascii="宋体" w:hAnsi="宋体"/>
          <w:sz w:val="24"/>
        </w:rPr>
        <w:t>2.3供应商递交响应文件时，必须同时提交以下资格证明文件证明材料原件，以证明其资格：</w:t>
      </w:r>
    </w:p>
    <w:p>
      <w:pPr>
        <w:spacing w:line="360" w:lineRule="auto"/>
        <w:ind w:firstLine="480" w:firstLineChars="200"/>
        <w:rPr>
          <w:rFonts w:ascii="宋体" w:hAnsi="宋体"/>
          <w:sz w:val="24"/>
        </w:rPr>
      </w:pPr>
      <w:r>
        <w:rPr>
          <w:rFonts w:hint="eastAsia" w:ascii="宋体" w:hAnsi="宋体"/>
          <w:sz w:val="24"/>
        </w:rPr>
        <w:t>2.3.1企业法人、其他组织营业执照副本或事业单位法人证书，自然人提供身份证明；</w:t>
      </w:r>
    </w:p>
    <w:p>
      <w:pPr>
        <w:spacing w:line="360" w:lineRule="auto"/>
        <w:ind w:firstLine="480" w:firstLineChars="200"/>
        <w:rPr>
          <w:rFonts w:ascii="宋体" w:hAnsi="宋体"/>
          <w:sz w:val="24"/>
        </w:rPr>
      </w:pPr>
      <w:r>
        <w:rPr>
          <w:rFonts w:hint="eastAsia" w:ascii="宋体" w:hAnsi="宋体"/>
          <w:sz w:val="24"/>
        </w:rPr>
        <w:t>2.3.2授权代表身份证（法定代表人直接参加谈判提交法定代表人身份证）；</w:t>
      </w:r>
    </w:p>
    <w:p>
      <w:pPr>
        <w:spacing w:line="360" w:lineRule="auto"/>
        <w:ind w:firstLine="482" w:firstLineChars="200"/>
        <w:rPr>
          <w:rFonts w:ascii="宋体" w:hAnsi="宋体"/>
          <w:color w:val="0000FF"/>
          <w:sz w:val="24"/>
        </w:rPr>
      </w:pPr>
      <w:r>
        <w:rPr>
          <w:rFonts w:hint="eastAsia" w:ascii="宋体" w:hAnsi="宋体"/>
          <w:b/>
          <w:bCs/>
          <w:sz w:val="24"/>
          <w:u w:val="single"/>
        </w:rPr>
        <w:t>以上材料提供原件，附于“资格证明文件证明材料原件”（无需密封），资格审查结束后退还，供应商若不能全部提供，其响应将被拒绝。</w:t>
      </w:r>
    </w:p>
    <w:p>
      <w:pPr>
        <w:spacing w:line="360" w:lineRule="auto"/>
        <w:ind w:firstLine="480" w:firstLineChars="200"/>
        <w:rPr>
          <w:rFonts w:ascii="宋体" w:hAnsi="宋体"/>
          <w:sz w:val="24"/>
        </w:rPr>
      </w:pPr>
      <w:bookmarkStart w:id="71" w:name="OLE_LINK43"/>
      <w:r>
        <w:rPr>
          <w:rFonts w:hint="eastAsia" w:ascii="宋体" w:hAnsi="宋体"/>
          <w:sz w:val="24"/>
        </w:rPr>
        <w:t>2.4关于信用记录的查询和使用</w:t>
      </w:r>
    </w:p>
    <w:p>
      <w:pPr>
        <w:spacing w:line="360" w:lineRule="auto"/>
        <w:ind w:firstLine="480" w:firstLineChars="200"/>
        <w:rPr>
          <w:rFonts w:ascii="宋体" w:hAnsi="宋体"/>
          <w:sz w:val="24"/>
        </w:rPr>
      </w:pPr>
      <w:r>
        <w:rPr>
          <w:rFonts w:hint="eastAsia" w:ascii="宋体" w:hAnsi="宋体"/>
          <w:sz w:val="24"/>
        </w:rPr>
        <w:t>2.4.1采购代理机构将在资格审查阶段通过【信用中国（www.creditchina.gov.cn）】、【中国政府采购网（www.ccgp.gov.cn）】网站对供应商的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2016〕125 号）的第二条第（三）款规定，其磋商或成交资格将被取消。</w:t>
      </w:r>
    </w:p>
    <w:p>
      <w:pPr>
        <w:spacing w:line="360" w:lineRule="auto"/>
        <w:ind w:firstLine="480" w:firstLineChars="200"/>
        <w:rPr>
          <w:rFonts w:ascii="宋体" w:hAnsi="宋体"/>
          <w:sz w:val="24"/>
        </w:rPr>
      </w:pPr>
      <w:r>
        <w:rPr>
          <w:rFonts w:hint="eastAsia" w:ascii="宋体" w:hAnsi="宋体"/>
          <w:sz w:val="24"/>
        </w:rPr>
        <w:t>2.4.2供应商在参加政府采购活动前3年内因违法经营被禁止在一定期限内参加政府采购活动，期限届满的，可以参加政府采购活动的，但供应商应提供相关证明材料。</w:t>
      </w:r>
    </w:p>
    <w:p>
      <w:pPr>
        <w:spacing w:line="360" w:lineRule="auto"/>
        <w:ind w:firstLine="480" w:firstLineChars="200"/>
        <w:rPr>
          <w:rFonts w:ascii="宋体" w:hAnsi="宋体"/>
          <w:sz w:val="24"/>
        </w:rPr>
      </w:pPr>
      <w:r>
        <w:rPr>
          <w:rFonts w:hint="eastAsia" w:ascii="宋体" w:hAnsi="宋体"/>
          <w:sz w:val="24"/>
        </w:rPr>
        <w:t>2.4.3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80" w:firstLineChars="200"/>
        <w:rPr>
          <w:rFonts w:ascii="宋体" w:hAnsi="宋体"/>
          <w:sz w:val="24"/>
        </w:rPr>
      </w:pPr>
      <w:r>
        <w:rPr>
          <w:rFonts w:hint="eastAsia" w:ascii="宋体" w:hAnsi="宋体"/>
          <w:sz w:val="24"/>
        </w:rPr>
        <w:t>2.5落实的政府采购政策</w:t>
      </w:r>
    </w:p>
    <w:p>
      <w:pPr>
        <w:spacing w:line="360" w:lineRule="auto"/>
        <w:ind w:firstLine="480" w:firstLineChars="200"/>
        <w:rPr>
          <w:rFonts w:ascii="宋体" w:hAnsi="宋体"/>
          <w:sz w:val="24"/>
        </w:rPr>
      </w:pPr>
      <w:r>
        <w:rPr>
          <w:rFonts w:hint="eastAsia" w:ascii="宋体" w:hAnsi="宋体"/>
          <w:sz w:val="24"/>
        </w:rPr>
        <w:t>2.5.1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pacing w:line="360" w:lineRule="auto"/>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pPr>
        <w:spacing w:line="360" w:lineRule="auto"/>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sz w:val="24"/>
        </w:rPr>
      </w:pPr>
      <w:r>
        <w:rPr>
          <w:rFonts w:hint="eastAsia" w:ascii="宋体" w:hAnsi="宋体"/>
          <w:sz w:val="24"/>
        </w:rPr>
        <w:t>参加政府采购活动的中小企业应提供《中小企业声明函》（格式）。</w:t>
      </w:r>
    </w:p>
    <w:p>
      <w:pPr>
        <w:spacing w:line="360" w:lineRule="auto"/>
        <w:ind w:firstLine="480" w:firstLineChars="200"/>
        <w:rPr>
          <w:rFonts w:ascii="宋体" w:hAnsi="宋体"/>
          <w:sz w:val="24"/>
        </w:rPr>
      </w:pPr>
      <w:r>
        <w:rPr>
          <w:rFonts w:hint="eastAsia" w:ascii="宋体" w:hAnsi="宋体"/>
          <w:sz w:val="24"/>
        </w:rPr>
        <w:t>2.5.2监狱企业应符合《财政部 司法部关于政府采购支持监狱企业发展有关问题的通知》（财库〔2014〕68 号）文件规定，并提供由省级以上监狱管理局、戒毒管理局(含新疆生产建设兵团)出具的属于监狱企业的证明文件复印件，监狱和戒毒企业视同小型、微型企业。</w:t>
      </w:r>
    </w:p>
    <w:p>
      <w:pPr>
        <w:spacing w:line="360" w:lineRule="auto"/>
        <w:ind w:firstLine="480" w:firstLineChars="200"/>
        <w:rPr>
          <w:rFonts w:ascii="宋体" w:hAnsi="宋体"/>
          <w:sz w:val="24"/>
        </w:rPr>
      </w:pPr>
      <w:r>
        <w:rPr>
          <w:rFonts w:hint="eastAsia" w:ascii="宋体" w:hAnsi="宋体"/>
          <w:sz w:val="24"/>
        </w:rPr>
        <w:t>2.5.3根据财政部、民政部、中国残疾人联合会下发的《关于促进残疾人就业政府采购政策的通知》（财库〔2017〕141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360" w:lineRule="auto"/>
        <w:ind w:firstLine="480" w:firstLineChars="200"/>
        <w:rPr>
          <w:rFonts w:ascii="宋体" w:hAnsi="宋体"/>
          <w:sz w:val="24"/>
        </w:rPr>
      </w:pPr>
      <w:r>
        <w:rPr>
          <w:rFonts w:hint="eastAsia" w:ascii="宋体" w:hAnsi="宋体"/>
          <w:sz w:val="24"/>
        </w:rPr>
        <w:t>参加政府采购活动的残疾人单位应提供《残疾人福利性单位声明函》（格式）。</w:t>
      </w:r>
    </w:p>
    <w:p>
      <w:pPr>
        <w:spacing w:line="360" w:lineRule="auto"/>
        <w:ind w:firstLine="480" w:firstLineChars="200"/>
        <w:rPr>
          <w:rFonts w:ascii="宋体" w:hAnsi="宋体"/>
          <w:sz w:val="24"/>
        </w:rPr>
      </w:pPr>
      <w:r>
        <w:rPr>
          <w:rFonts w:hint="eastAsia" w:ascii="宋体" w:hAnsi="宋体"/>
          <w:sz w:val="24"/>
        </w:rPr>
        <w:t>2.5.4根据财政部、国家发展改革委《关于印发〈节能产品政府采购实施意见〉的通知》（财库〔2004〕185号）规定“政府采购属于节能产品品目清单的，在技术、服务等指标同等条件下，应当优先采购节能品目清单的节能产品。”</w:t>
      </w:r>
    </w:p>
    <w:p>
      <w:pPr>
        <w:spacing w:line="360" w:lineRule="auto"/>
        <w:ind w:firstLine="480" w:firstLineChars="200"/>
        <w:rPr>
          <w:rFonts w:ascii="宋体" w:hAnsi="宋体"/>
          <w:sz w:val="24"/>
        </w:rPr>
      </w:pPr>
      <w:r>
        <w:rPr>
          <w:rFonts w:hint="eastAsia" w:ascii="宋体" w:hAnsi="宋体"/>
          <w:sz w:val="24"/>
        </w:rPr>
        <w:t>2.5.5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pPr>
        <w:spacing w:line="360" w:lineRule="auto"/>
        <w:ind w:firstLine="480" w:firstLineChars="200"/>
        <w:rPr>
          <w:rFonts w:ascii="宋体" w:hAnsi="宋体"/>
          <w:sz w:val="24"/>
        </w:rPr>
      </w:pPr>
      <w:r>
        <w:rPr>
          <w:rFonts w:hint="eastAsia" w:ascii="宋体" w:hAnsi="宋体"/>
          <w:sz w:val="24"/>
        </w:rPr>
        <w:t>2.5.6根据财政部、国家发改委、生态环境部、市场监管总局联合印发《关于调整优化节能产品、环境标志产品政府采购执行机制的通知》（财库〔2019〕9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80" w:firstLineChars="200"/>
        <w:rPr>
          <w:rFonts w:ascii="宋体" w:hAnsi="宋体"/>
          <w:sz w:val="24"/>
        </w:rPr>
      </w:pPr>
      <w:r>
        <w:rPr>
          <w:rFonts w:hint="eastAsia" w:ascii="宋体" w:hAnsi="宋体"/>
          <w:sz w:val="24"/>
        </w:rPr>
        <w:t>2.5.7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pPr>
        <w:spacing w:line="360" w:lineRule="auto"/>
        <w:ind w:firstLine="480" w:firstLineChars="200"/>
        <w:rPr>
          <w:rFonts w:ascii="宋体" w:hAnsi="宋体"/>
          <w:sz w:val="24"/>
        </w:rPr>
      </w:pPr>
      <w:r>
        <w:rPr>
          <w:rFonts w:hint="eastAsia" w:ascii="宋体" w:hAnsi="宋体"/>
          <w:sz w:val="24"/>
        </w:rPr>
        <w:t>2.5.8节能产品政府采购品目清单详见财政部、发展改革委《关于印发节能产品政府采购品目清单的通知》（财库〔2019〕19号）。</w:t>
      </w:r>
    </w:p>
    <w:p>
      <w:pPr>
        <w:spacing w:line="360" w:lineRule="auto"/>
        <w:ind w:firstLine="480" w:firstLineChars="200"/>
        <w:rPr>
          <w:rFonts w:ascii="宋体" w:hAnsi="宋体"/>
          <w:sz w:val="24"/>
        </w:rPr>
      </w:pPr>
      <w:r>
        <w:rPr>
          <w:rFonts w:hint="eastAsia" w:ascii="宋体" w:hAnsi="宋体"/>
          <w:sz w:val="24"/>
        </w:rPr>
        <w:t>2.5.9环境标志产品政府采购品目清单详见财政部、生态环境部《关于印发环境标志产品政府采购品目清单的通知》（财库〔2019〕18号）。</w:t>
      </w:r>
    </w:p>
    <w:p>
      <w:pPr>
        <w:spacing w:line="360" w:lineRule="auto"/>
        <w:ind w:firstLine="480" w:firstLineChars="200"/>
        <w:rPr>
          <w:rFonts w:ascii="宋体" w:hAnsi="宋体"/>
          <w:sz w:val="24"/>
        </w:rPr>
      </w:pPr>
      <w:r>
        <w:rPr>
          <w:rFonts w:hint="eastAsia" w:ascii="宋体" w:hAnsi="宋体"/>
          <w:sz w:val="24"/>
        </w:rPr>
        <w:t>2.5.10国家确定的节能产品、环境标志产品认证机构详见市场监管总局《关于发布参与实施政府采购节能产品、环境标志产品认证机构名录的公告》（2019年第16号）。</w:t>
      </w:r>
    </w:p>
    <w:p>
      <w:pPr>
        <w:spacing w:line="360" w:lineRule="auto"/>
        <w:ind w:firstLine="480" w:firstLineChars="200"/>
        <w:rPr>
          <w:rFonts w:ascii="宋体" w:hAnsi="宋体"/>
          <w:sz w:val="24"/>
        </w:rPr>
      </w:pPr>
      <w:r>
        <w:rPr>
          <w:rFonts w:hint="eastAsia" w:ascii="宋体" w:hAnsi="宋体"/>
          <w:sz w:val="24"/>
        </w:rPr>
        <w:t>2.6供应商提交的资格合格证明文件应使采购人满意。</w:t>
      </w:r>
    </w:p>
    <w:p>
      <w:pPr>
        <w:spacing w:line="360" w:lineRule="auto"/>
        <w:ind w:firstLine="480" w:firstLineChars="200"/>
        <w:rPr>
          <w:rFonts w:ascii="宋体" w:hAnsi="宋体"/>
          <w:sz w:val="24"/>
        </w:rPr>
      </w:pPr>
      <w:r>
        <w:rPr>
          <w:rFonts w:hint="eastAsia" w:ascii="宋体" w:hAnsi="宋体"/>
          <w:sz w:val="24"/>
        </w:rPr>
        <w:t>2.7供应商必须向采购代理机构购买磋商文件并登记备案，任何未从采购代理机构购买磋商文件并登记备案的潜在供应商均无资格参加磋商会议。</w:t>
      </w:r>
    </w:p>
    <w:p>
      <w:pPr>
        <w:spacing w:line="360" w:lineRule="auto"/>
        <w:ind w:firstLine="480" w:firstLineChars="200"/>
        <w:rPr>
          <w:rFonts w:ascii="宋体" w:hAnsi="宋体"/>
          <w:sz w:val="24"/>
        </w:rPr>
      </w:pPr>
      <w:r>
        <w:rPr>
          <w:rFonts w:hint="eastAsia" w:ascii="宋体" w:hAnsi="宋体"/>
          <w:sz w:val="24"/>
        </w:rPr>
        <w:t>2.8单位负责人为同一人或存在直接控股、管理关系的不同单位，不得同时参加同一合同项下的政府采购活动；</w:t>
      </w:r>
    </w:p>
    <w:p>
      <w:pPr>
        <w:spacing w:line="360" w:lineRule="auto"/>
        <w:ind w:firstLine="480" w:firstLineChars="200"/>
        <w:rPr>
          <w:rFonts w:ascii="宋体" w:hAnsi="宋体"/>
          <w:sz w:val="24"/>
        </w:rPr>
      </w:pPr>
      <w:r>
        <w:rPr>
          <w:rFonts w:hint="eastAsia" w:ascii="宋体" w:hAnsi="宋体"/>
          <w:sz w:val="24"/>
        </w:rPr>
        <w:t>“参加同一合同项下的政府采购活动”包括但不限于提交质疑书、提交投诉书、提交响应文件；</w:t>
      </w:r>
    </w:p>
    <w:p>
      <w:pPr>
        <w:spacing w:line="360" w:lineRule="auto"/>
        <w:ind w:firstLine="480" w:firstLineChars="200"/>
        <w:rPr>
          <w:rFonts w:ascii="宋体" w:hAnsi="宋体"/>
          <w:sz w:val="24"/>
        </w:rPr>
      </w:pPr>
      <w:r>
        <w:rPr>
          <w:rFonts w:hint="eastAsia" w:ascii="宋体" w:hAnsi="宋体"/>
          <w:sz w:val="24"/>
        </w:rPr>
        <w:t>如有发现，相关质疑、投诉、响应均无效。</w:t>
      </w:r>
    </w:p>
    <w:p>
      <w:pPr>
        <w:spacing w:line="360" w:lineRule="auto"/>
        <w:ind w:firstLine="480" w:firstLineChars="200"/>
        <w:rPr>
          <w:rFonts w:ascii="宋体" w:hAnsi="宋体"/>
          <w:sz w:val="24"/>
        </w:rPr>
      </w:pPr>
      <w:r>
        <w:rPr>
          <w:rFonts w:hint="eastAsia" w:ascii="宋体" w:hAnsi="宋体"/>
          <w:sz w:val="24"/>
        </w:rPr>
        <w:t>2.9为本项目提供整体设计、规范编制或者项目管理、监理、检测等服务的供应商，不得再参与本项目磋商。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480" w:firstLineChars="200"/>
        <w:rPr>
          <w:rFonts w:ascii="宋体" w:hAnsi="宋体"/>
          <w:sz w:val="24"/>
        </w:rPr>
      </w:pPr>
      <w:r>
        <w:rPr>
          <w:rFonts w:hint="eastAsia" w:ascii="宋体" w:hAnsi="宋体"/>
          <w:sz w:val="24"/>
        </w:rPr>
        <w:t>2.10供应商提供的所有货物及服务，其来源均应符合《中华人民共和国政府采购法》等相关法律法规的规定。</w:t>
      </w:r>
    </w:p>
    <w:p>
      <w:pPr>
        <w:spacing w:line="360" w:lineRule="auto"/>
        <w:ind w:firstLine="480" w:firstLineChars="200"/>
        <w:rPr>
          <w:rFonts w:ascii="宋体" w:hAnsi="宋体"/>
          <w:sz w:val="24"/>
        </w:rPr>
      </w:pPr>
      <w:r>
        <w:rPr>
          <w:rFonts w:hint="eastAsia" w:ascii="宋体" w:hAnsi="宋体"/>
          <w:sz w:val="24"/>
        </w:rPr>
        <w:t>2.11供应商</w:t>
      </w:r>
      <w:r>
        <w:rPr>
          <w:rFonts w:hint="eastAsia" w:ascii="宋体" w:hAnsi="宋体"/>
          <w:sz w:val="24"/>
          <w:lang w:val="en-GB"/>
        </w:rPr>
        <w:t>必须保证，采购人在中华人民共和国境内使用报价货物、资料、技术、服务或其任何一部分时，享有不受限制的无偿使用权，不会产生因第三方提出侵犯其专利权、商标权或其它知识产权而引起的法律或经济纠纷。如</w:t>
      </w:r>
      <w:r>
        <w:rPr>
          <w:rFonts w:hint="eastAsia" w:ascii="宋体" w:hAnsi="宋体"/>
          <w:sz w:val="24"/>
        </w:rPr>
        <w:t>供应商</w:t>
      </w:r>
      <w:r>
        <w:rPr>
          <w:rFonts w:hint="eastAsia" w:ascii="宋体" w:hAnsi="宋体"/>
          <w:sz w:val="24"/>
          <w:lang w:val="en-GB"/>
        </w:rPr>
        <w:t>不拥有相应的知识产权，则应由</w:t>
      </w:r>
      <w:r>
        <w:rPr>
          <w:rFonts w:hint="eastAsia" w:ascii="宋体" w:hAnsi="宋体"/>
          <w:sz w:val="24"/>
        </w:rPr>
        <w:t>供应商</w:t>
      </w:r>
      <w:r>
        <w:rPr>
          <w:rFonts w:hint="eastAsia" w:ascii="宋体" w:hAnsi="宋体"/>
          <w:sz w:val="24"/>
          <w:lang w:val="en-GB"/>
        </w:rPr>
        <w:t>负责获得并提供给采购人使用，其报价中必须包括合法获取该知识产权的一切相关费用，如</w:t>
      </w:r>
      <w:r>
        <w:rPr>
          <w:rFonts w:hint="eastAsia" w:ascii="宋体" w:hAnsi="宋体"/>
          <w:sz w:val="24"/>
        </w:rPr>
        <w:t>供应商</w:t>
      </w:r>
      <w:r>
        <w:rPr>
          <w:rFonts w:hint="eastAsia" w:ascii="宋体" w:hAnsi="宋体"/>
          <w:sz w:val="24"/>
          <w:lang w:val="en-GB"/>
        </w:rPr>
        <w:t>没有单独列出的，视为已包含在相应报价中</w:t>
      </w:r>
      <w:r>
        <w:rPr>
          <w:rFonts w:hint="eastAsia" w:ascii="宋体" w:hAnsi="宋体"/>
          <w:sz w:val="24"/>
        </w:rPr>
        <w:t>。一旦使用供应商提供的产品或服务，采购人不再</w:t>
      </w:r>
      <w:r>
        <w:rPr>
          <w:rFonts w:hint="eastAsia" w:ascii="宋体" w:hAnsi="宋体"/>
          <w:sz w:val="24"/>
          <w:lang w:val="en-GB"/>
        </w:rPr>
        <w:t>承担第三方提出侵犯其专利权、商标权或其它知识产权而引起的法律或经济纠纷，</w:t>
      </w:r>
      <w:r>
        <w:rPr>
          <w:rFonts w:hint="eastAsia" w:ascii="宋体" w:hAnsi="宋体"/>
          <w:sz w:val="24"/>
        </w:rPr>
        <w:t>以上法律或经济纠纷由供应商承担。</w:t>
      </w:r>
    </w:p>
    <w:p>
      <w:pPr>
        <w:spacing w:line="360" w:lineRule="auto"/>
        <w:ind w:firstLine="482" w:firstLineChars="200"/>
        <w:rPr>
          <w:rFonts w:ascii="宋体" w:hAnsi="宋体"/>
          <w:b/>
          <w:bCs/>
          <w:sz w:val="24"/>
        </w:rPr>
      </w:pPr>
      <w:r>
        <w:rPr>
          <w:rFonts w:hint="eastAsia" w:ascii="宋体" w:hAnsi="宋体"/>
          <w:b/>
          <w:bCs/>
          <w:sz w:val="24"/>
        </w:rPr>
        <w:t>3.磋商费用</w:t>
      </w:r>
    </w:p>
    <w:p>
      <w:pPr>
        <w:spacing w:line="360" w:lineRule="auto"/>
        <w:ind w:firstLine="480" w:firstLineChars="200"/>
        <w:rPr>
          <w:rFonts w:ascii="宋体" w:hAnsi="宋体"/>
          <w:sz w:val="24"/>
        </w:rPr>
      </w:pPr>
      <w:r>
        <w:rPr>
          <w:rFonts w:hint="eastAsia" w:ascii="宋体" w:hAnsi="宋体"/>
          <w:sz w:val="24"/>
        </w:rPr>
        <w:t>3.1供应商应承担所有与准备和参加磋商有关的费用。不论磋商的结果如何，采购人和采购代理机构均无义务和责任承担这些费用。</w:t>
      </w:r>
      <w:bookmarkEnd w:id="71"/>
    </w:p>
    <w:p>
      <w:pPr>
        <w:spacing w:line="360" w:lineRule="auto"/>
        <w:jc w:val="center"/>
        <w:rPr>
          <w:rFonts w:ascii="黑体" w:hAnsi="黑体" w:eastAsia="黑体" w:cs="黑体"/>
          <w:b/>
          <w:sz w:val="24"/>
        </w:rPr>
      </w:pPr>
    </w:p>
    <w:p>
      <w:pPr>
        <w:spacing w:line="360" w:lineRule="auto"/>
        <w:ind w:firstLine="481"/>
        <w:jc w:val="left"/>
        <w:outlineLvl w:val="1"/>
        <w:rPr>
          <w:rFonts w:ascii="黑体" w:hAnsi="黑体" w:eastAsia="黑体" w:cs="黑体"/>
          <w:b/>
          <w:sz w:val="24"/>
        </w:rPr>
      </w:pPr>
      <w:bookmarkStart w:id="72" w:name="_Toc29396"/>
      <w:bookmarkStart w:id="73" w:name="_Toc5008"/>
      <w:r>
        <w:rPr>
          <w:rFonts w:hint="eastAsia" w:ascii="黑体" w:hAnsi="黑体" w:eastAsia="黑体" w:cs="黑体"/>
          <w:b/>
          <w:sz w:val="24"/>
        </w:rPr>
        <w:t>二、磋商文件</w:t>
      </w:r>
      <w:bookmarkEnd w:id="72"/>
      <w:bookmarkEnd w:id="73"/>
    </w:p>
    <w:p>
      <w:pPr>
        <w:spacing w:line="360" w:lineRule="auto"/>
        <w:ind w:firstLine="482" w:firstLineChars="200"/>
        <w:rPr>
          <w:rFonts w:ascii="宋体" w:hAnsi="宋体"/>
          <w:b/>
          <w:bCs/>
          <w:sz w:val="24"/>
        </w:rPr>
      </w:pPr>
      <w:r>
        <w:rPr>
          <w:rFonts w:hint="eastAsia" w:ascii="宋体" w:hAnsi="宋体"/>
          <w:b/>
          <w:bCs/>
          <w:sz w:val="24"/>
        </w:rPr>
        <w:t>4.</w:t>
      </w:r>
      <w:bookmarkStart w:id="74" w:name="OLE_LINK45"/>
      <w:r>
        <w:rPr>
          <w:rFonts w:hint="eastAsia" w:ascii="宋体" w:hAnsi="宋体"/>
          <w:b/>
          <w:bCs/>
          <w:sz w:val="24"/>
        </w:rPr>
        <w:t>磋商文件的</w:t>
      </w:r>
      <w:bookmarkEnd w:id="74"/>
      <w:r>
        <w:rPr>
          <w:rFonts w:hint="eastAsia" w:ascii="宋体" w:hAnsi="宋体"/>
          <w:b/>
          <w:bCs/>
          <w:sz w:val="24"/>
        </w:rPr>
        <w:t>构成</w:t>
      </w:r>
    </w:p>
    <w:p>
      <w:pPr>
        <w:spacing w:line="360" w:lineRule="auto"/>
        <w:ind w:firstLine="480" w:firstLineChars="200"/>
        <w:rPr>
          <w:rFonts w:ascii="宋体" w:hAnsi="宋体"/>
          <w:sz w:val="24"/>
        </w:rPr>
      </w:pPr>
      <w:r>
        <w:rPr>
          <w:rFonts w:hint="eastAsia" w:ascii="宋体" w:hAnsi="宋体"/>
          <w:sz w:val="24"/>
        </w:rPr>
        <w:t>4.1磋商文件由下列文件以及在采购过程中发出的澄清及变更文件组成：</w:t>
      </w:r>
    </w:p>
    <w:p>
      <w:pPr>
        <w:spacing w:line="360" w:lineRule="auto"/>
        <w:ind w:firstLine="480" w:firstLineChars="200"/>
        <w:rPr>
          <w:rFonts w:ascii="宋体" w:hAnsi="宋体"/>
          <w:sz w:val="24"/>
        </w:rPr>
      </w:pPr>
      <w:r>
        <w:rPr>
          <w:rFonts w:hint="eastAsia" w:ascii="宋体" w:hAnsi="宋体"/>
          <w:sz w:val="24"/>
        </w:rPr>
        <w:t>4.1.1磋商邀请函</w:t>
      </w:r>
    </w:p>
    <w:p>
      <w:pPr>
        <w:spacing w:line="360" w:lineRule="auto"/>
        <w:ind w:firstLine="480" w:firstLineChars="200"/>
        <w:rPr>
          <w:rFonts w:ascii="宋体" w:hAnsi="宋体"/>
          <w:sz w:val="24"/>
        </w:rPr>
      </w:pPr>
      <w:r>
        <w:rPr>
          <w:rFonts w:hint="eastAsia" w:ascii="宋体" w:hAnsi="宋体"/>
          <w:sz w:val="24"/>
        </w:rPr>
        <w:t>4.1.2用户需求书</w:t>
      </w:r>
    </w:p>
    <w:p>
      <w:pPr>
        <w:spacing w:line="360" w:lineRule="auto"/>
        <w:ind w:firstLine="480" w:firstLineChars="200"/>
        <w:rPr>
          <w:rFonts w:ascii="宋体" w:hAnsi="宋体"/>
          <w:sz w:val="24"/>
        </w:rPr>
      </w:pPr>
      <w:r>
        <w:rPr>
          <w:rFonts w:hint="eastAsia" w:ascii="宋体" w:hAnsi="宋体"/>
          <w:sz w:val="24"/>
        </w:rPr>
        <w:t>4.1.3供应商须知</w:t>
      </w:r>
    </w:p>
    <w:p>
      <w:pPr>
        <w:spacing w:line="360" w:lineRule="auto"/>
        <w:ind w:firstLine="480" w:firstLineChars="200"/>
        <w:rPr>
          <w:rFonts w:ascii="宋体" w:hAnsi="宋体"/>
          <w:sz w:val="24"/>
        </w:rPr>
      </w:pPr>
      <w:r>
        <w:rPr>
          <w:rFonts w:hint="eastAsia" w:ascii="宋体" w:hAnsi="宋体"/>
          <w:sz w:val="24"/>
        </w:rPr>
        <w:t>4.1.4磋商、评审、成交</w:t>
      </w:r>
    </w:p>
    <w:p>
      <w:pPr>
        <w:spacing w:line="360" w:lineRule="auto"/>
        <w:ind w:firstLine="480" w:firstLineChars="200"/>
        <w:rPr>
          <w:rFonts w:ascii="宋体" w:hAnsi="宋体"/>
          <w:sz w:val="24"/>
        </w:rPr>
      </w:pPr>
      <w:r>
        <w:rPr>
          <w:rFonts w:hint="eastAsia" w:ascii="宋体" w:hAnsi="宋体"/>
          <w:sz w:val="24"/>
        </w:rPr>
        <w:t>4.1.5政府采购合同格式</w:t>
      </w:r>
    </w:p>
    <w:p>
      <w:pPr>
        <w:spacing w:line="360" w:lineRule="auto"/>
        <w:ind w:firstLine="480" w:firstLineChars="200"/>
        <w:rPr>
          <w:rFonts w:ascii="宋体" w:hAnsi="宋体"/>
          <w:sz w:val="24"/>
        </w:rPr>
      </w:pPr>
      <w:r>
        <w:rPr>
          <w:rFonts w:hint="eastAsia" w:ascii="宋体" w:hAnsi="宋体"/>
          <w:sz w:val="24"/>
        </w:rPr>
        <w:t xml:space="preserve">4.1.6响应文件格式 </w:t>
      </w:r>
    </w:p>
    <w:p>
      <w:pPr>
        <w:spacing w:line="360" w:lineRule="auto"/>
        <w:ind w:firstLine="480" w:firstLineChars="200"/>
        <w:rPr>
          <w:rFonts w:ascii="宋体" w:hAnsi="宋体"/>
          <w:sz w:val="24"/>
        </w:rPr>
      </w:pPr>
      <w:r>
        <w:rPr>
          <w:rFonts w:hint="eastAsia" w:ascii="宋体" w:hAnsi="宋体"/>
          <w:sz w:val="24"/>
        </w:rPr>
        <w:t>4.1.7在磋商过程中由采购代理机构发出的澄清及变更文件等。</w:t>
      </w:r>
    </w:p>
    <w:p>
      <w:pPr>
        <w:spacing w:line="360" w:lineRule="auto"/>
        <w:ind w:firstLine="482" w:firstLineChars="200"/>
        <w:rPr>
          <w:rFonts w:ascii="宋体" w:hAnsi="宋体"/>
          <w:b/>
          <w:bCs/>
          <w:sz w:val="24"/>
        </w:rPr>
      </w:pPr>
      <w:r>
        <w:rPr>
          <w:rFonts w:hint="eastAsia" w:ascii="宋体" w:hAnsi="宋体"/>
          <w:b/>
          <w:bCs/>
          <w:sz w:val="24"/>
        </w:rPr>
        <w:t>5.磋商文件的澄清</w:t>
      </w:r>
    </w:p>
    <w:p>
      <w:pPr>
        <w:spacing w:line="360" w:lineRule="auto"/>
        <w:ind w:firstLine="480" w:firstLineChars="200"/>
        <w:rPr>
          <w:rFonts w:ascii="宋体" w:hAnsi="宋体"/>
          <w:sz w:val="24"/>
        </w:rPr>
      </w:pPr>
      <w:r>
        <w:rPr>
          <w:rFonts w:hint="eastAsia" w:ascii="宋体" w:hAnsi="宋体"/>
          <w:sz w:val="24"/>
        </w:rPr>
        <w:t>5.1在响应截止期前，采购单位有权根据需求对磋商文件进行必要的澄清，澄清文件将以书面形式通知每一个购买磋商文件的供应商。</w:t>
      </w:r>
    </w:p>
    <w:p>
      <w:pPr>
        <w:spacing w:line="360" w:lineRule="auto"/>
        <w:ind w:firstLine="480" w:firstLineChars="200"/>
        <w:rPr>
          <w:rFonts w:ascii="宋体" w:hAnsi="宋体"/>
          <w:sz w:val="24"/>
        </w:rPr>
      </w:pPr>
      <w:r>
        <w:rPr>
          <w:rFonts w:hint="eastAsia" w:ascii="宋体" w:hAnsi="宋体"/>
          <w:sz w:val="24"/>
        </w:rPr>
        <w:t>该澄清的内容为磋商文件组成部分。</w:t>
      </w:r>
    </w:p>
    <w:p>
      <w:pPr>
        <w:spacing w:line="360" w:lineRule="auto"/>
        <w:ind w:firstLine="482" w:firstLineChars="200"/>
        <w:rPr>
          <w:rFonts w:ascii="宋体" w:hAnsi="宋体"/>
          <w:b/>
          <w:bCs/>
          <w:sz w:val="24"/>
        </w:rPr>
      </w:pPr>
      <w:r>
        <w:rPr>
          <w:rFonts w:hint="eastAsia" w:ascii="宋体" w:hAnsi="宋体"/>
          <w:b/>
          <w:bCs/>
          <w:sz w:val="24"/>
        </w:rPr>
        <w:t>6.磋商文件的修改</w:t>
      </w:r>
    </w:p>
    <w:p>
      <w:pPr>
        <w:spacing w:line="360" w:lineRule="auto"/>
        <w:ind w:firstLine="480" w:firstLineChars="200"/>
        <w:rPr>
          <w:rFonts w:ascii="宋体" w:hAnsi="宋体"/>
          <w:sz w:val="24"/>
        </w:rPr>
      </w:pPr>
      <w:r>
        <w:rPr>
          <w:rFonts w:hint="eastAsia" w:ascii="宋体" w:hAnsi="宋体"/>
          <w:sz w:val="24"/>
        </w:rPr>
        <w:t>6.1在响应截止期前，采购单位有权根据需求对磋商文件进行必要的修改，对磋商文件的修改将以变更公告形式在陕西省政府采购网上发布，并将以书面形式通知每一个购买磋商文件的供应商。</w:t>
      </w:r>
    </w:p>
    <w:p>
      <w:pPr>
        <w:spacing w:line="360" w:lineRule="auto"/>
        <w:ind w:firstLine="480" w:firstLineChars="200"/>
        <w:rPr>
          <w:rFonts w:ascii="宋体" w:hAnsi="宋体"/>
          <w:sz w:val="24"/>
        </w:rPr>
      </w:pPr>
      <w:r>
        <w:rPr>
          <w:rFonts w:hint="eastAsia" w:ascii="宋体" w:hAnsi="宋体"/>
          <w:sz w:val="24"/>
        </w:rPr>
        <w:t>该修改的内容为磋商文件组成部分。</w:t>
      </w:r>
    </w:p>
    <w:p>
      <w:pPr>
        <w:spacing w:line="360" w:lineRule="auto"/>
        <w:ind w:firstLine="480" w:firstLineChars="200"/>
        <w:rPr>
          <w:rFonts w:ascii="宋体" w:hAnsi="宋体"/>
          <w:sz w:val="24"/>
        </w:rPr>
      </w:pPr>
      <w:r>
        <w:rPr>
          <w:rFonts w:hint="eastAsia" w:ascii="宋体" w:hAnsi="宋体"/>
          <w:sz w:val="24"/>
        </w:rPr>
        <w:t>6.2为使供应商准备响应时有充分时间对磋商文件的修改部分进行研究，采购单位有权适当延长响应截止期。</w:t>
      </w:r>
    </w:p>
    <w:p>
      <w:pPr>
        <w:spacing w:line="360" w:lineRule="auto"/>
        <w:ind w:firstLine="480" w:firstLineChars="200"/>
        <w:rPr>
          <w:rFonts w:ascii="宋体" w:hAnsi="宋体"/>
          <w:sz w:val="24"/>
        </w:rPr>
      </w:pPr>
      <w:r>
        <w:rPr>
          <w:rFonts w:hint="eastAsia" w:ascii="宋体" w:hAnsi="宋体"/>
          <w:sz w:val="24"/>
        </w:rPr>
        <w:t>延期公告将以6.1所述方式通知每一个购买磋商文件的供应商。</w:t>
      </w:r>
    </w:p>
    <w:p>
      <w:pPr>
        <w:spacing w:line="360" w:lineRule="auto"/>
        <w:ind w:firstLine="480" w:firstLineChars="200"/>
        <w:rPr>
          <w:rFonts w:ascii="宋体" w:hAnsi="宋体"/>
          <w:sz w:val="24"/>
        </w:rPr>
      </w:pPr>
      <w:r>
        <w:rPr>
          <w:rFonts w:hint="eastAsia" w:ascii="宋体" w:hAnsi="宋体"/>
          <w:sz w:val="24"/>
        </w:rPr>
        <w:t>6.3供应商在收到上述通知后，应在通知规定的时间内向采购代理机构回函确认。</w:t>
      </w:r>
    </w:p>
    <w:p>
      <w:pPr>
        <w:spacing w:line="360" w:lineRule="auto"/>
        <w:ind w:firstLine="482" w:firstLineChars="200"/>
        <w:rPr>
          <w:rFonts w:ascii="宋体" w:hAnsi="宋体"/>
          <w:b/>
          <w:bCs/>
          <w:sz w:val="24"/>
        </w:rPr>
      </w:pPr>
      <w:bookmarkStart w:id="75" w:name="_Toc208848971"/>
      <w:bookmarkStart w:id="76" w:name="_Toc217446041"/>
      <w:r>
        <w:rPr>
          <w:rFonts w:hint="eastAsia" w:ascii="宋体" w:hAnsi="宋体"/>
          <w:b/>
          <w:bCs/>
          <w:sz w:val="24"/>
        </w:rPr>
        <w:t>7.答疑会和现场考察</w:t>
      </w:r>
      <w:bookmarkEnd w:id="75"/>
      <w:bookmarkEnd w:id="76"/>
    </w:p>
    <w:p>
      <w:pPr>
        <w:spacing w:line="360" w:lineRule="auto"/>
        <w:ind w:firstLine="480" w:firstLineChars="200"/>
        <w:rPr>
          <w:rFonts w:ascii="宋体" w:hAnsi="宋体"/>
          <w:sz w:val="24"/>
        </w:rPr>
      </w:pPr>
      <w:r>
        <w:rPr>
          <w:rFonts w:hint="eastAsia" w:ascii="宋体" w:hAnsi="宋体"/>
          <w:sz w:val="24"/>
        </w:rPr>
        <w:t>7.1根据采购项目特点或具体情况，采购单位认为有必要，可以在磋商文件提供期限截止后，组织已获取磋商文件的潜在供应商现场考察或者召开开标前答疑会。</w:t>
      </w:r>
    </w:p>
    <w:p>
      <w:pPr>
        <w:spacing w:line="360" w:lineRule="auto"/>
        <w:ind w:firstLine="480" w:firstLineChars="200"/>
        <w:rPr>
          <w:rFonts w:ascii="宋体" w:hAnsi="宋体"/>
          <w:sz w:val="24"/>
        </w:rPr>
      </w:pPr>
      <w:r>
        <w:rPr>
          <w:rFonts w:hint="eastAsia" w:ascii="宋体" w:hAnsi="宋体"/>
          <w:sz w:val="24"/>
        </w:rPr>
        <w:t>如需组织现场考察或者召开答疑会的，采购单位将以书面形式通知所有获取磋商文件的潜在供应商参加。</w:t>
      </w:r>
    </w:p>
    <w:p>
      <w:pPr>
        <w:spacing w:line="360" w:lineRule="auto"/>
        <w:ind w:firstLine="480" w:firstLineChars="200"/>
        <w:rPr>
          <w:rFonts w:ascii="宋体" w:hAnsi="宋体"/>
          <w:sz w:val="24"/>
        </w:rPr>
      </w:pPr>
      <w:r>
        <w:rPr>
          <w:rFonts w:hint="eastAsia" w:ascii="宋体" w:hAnsi="宋体"/>
          <w:sz w:val="24"/>
        </w:rPr>
        <w:t>7.2供应商考察现场所发生的一切费用由供应商自己承担。</w:t>
      </w:r>
    </w:p>
    <w:p>
      <w:pPr>
        <w:spacing w:line="360" w:lineRule="auto"/>
        <w:ind w:firstLine="482" w:firstLineChars="200"/>
        <w:rPr>
          <w:rFonts w:ascii="宋体" w:hAnsi="宋体"/>
          <w:b/>
          <w:bCs/>
          <w:sz w:val="24"/>
        </w:rPr>
      </w:pPr>
      <w:r>
        <w:rPr>
          <w:rFonts w:hint="eastAsia" w:ascii="宋体" w:hAnsi="宋体"/>
          <w:b/>
          <w:bCs/>
          <w:sz w:val="24"/>
        </w:rPr>
        <w:t>8.磋商文件的解释权归属</w:t>
      </w:r>
    </w:p>
    <w:p>
      <w:pPr>
        <w:spacing w:line="360" w:lineRule="auto"/>
        <w:ind w:firstLine="480" w:firstLineChars="200"/>
        <w:rPr>
          <w:rFonts w:ascii="宋体" w:hAnsi="宋体"/>
          <w:sz w:val="24"/>
        </w:rPr>
      </w:pPr>
      <w:r>
        <w:rPr>
          <w:rFonts w:hint="eastAsia" w:ascii="宋体" w:hAnsi="宋体"/>
          <w:sz w:val="24"/>
        </w:rPr>
        <w:t>本磋商文件的解释权归采购代理机构。</w:t>
      </w:r>
    </w:p>
    <w:p>
      <w:pPr>
        <w:spacing w:line="360" w:lineRule="auto"/>
        <w:ind w:firstLine="480" w:firstLineChars="200"/>
        <w:rPr>
          <w:rFonts w:ascii="宋体" w:hAnsi="宋体"/>
          <w:sz w:val="24"/>
        </w:rPr>
      </w:pPr>
    </w:p>
    <w:p>
      <w:pPr>
        <w:spacing w:line="360" w:lineRule="auto"/>
        <w:ind w:firstLine="481"/>
        <w:jc w:val="left"/>
        <w:outlineLvl w:val="1"/>
        <w:rPr>
          <w:rFonts w:ascii="黑体" w:hAnsi="黑体" w:eastAsia="黑体" w:cs="黑体"/>
          <w:b/>
          <w:sz w:val="24"/>
        </w:rPr>
      </w:pPr>
      <w:bookmarkStart w:id="77" w:name="_Toc17031"/>
      <w:bookmarkStart w:id="78" w:name="_Toc18767"/>
      <w:bookmarkStart w:id="79" w:name="_Toc31824"/>
      <w:r>
        <w:rPr>
          <w:rFonts w:hint="eastAsia" w:ascii="黑体" w:hAnsi="黑体" w:eastAsia="黑体" w:cs="黑体"/>
          <w:b/>
          <w:sz w:val="24"/>
        </w:rPr>
        <w:t>三、响应文件的编制</w:t>
      </w:r>
      <w:bookmarkEnd w:id="77"/>
      <w:bookmarkEnd w:id="78"/>
      <w:bookmarkEnd w:id="79"/>
    </w:p>
    <w:p>
      <w:pPr>
        <w:spacing w:line="360" w:lineRule="auto"/>
        <w:ind w:firstLine="482" w:firstLineChars="200"/>
        <w:rPr>
          <w:rFonts w:ascii="宋体" w:hAnsi="宋体"/>
          <w:b/>
          <w:sz w:val="24"/>
        </w:rPr>
      </w:pPr>
      <w:r>
        <w:rPr>
          <w:rFonts w:hint="eastAsia" w:ascii="宋体" w:hAnsi="宋体"/>
          <w:b/>
          <w:sz w:val="24"/>
        </w:rPr>
        <w:t>9.响应文件的编制要求</w:t>
      </w:r>
    </w:p>
    <w:p>
      <w:pPr>
        <w:spacing w:line="360" w:lineRule="auto"/>
        <w:ind w:firstLine="480" w:firstLineChars="200"/>
        <w:rPr>
          <w:rFonts w:ascii="宋体" w:hAnsi="宋体"/>
          <w:sz w:val="24"/>
        </w:rPr>
      </w:pPr>
      <w:r>
        <w:rPr>
          <w:rFonts w:hint="eastAsia" w:ascii="宋体" w:hAnsi="宋体"/>
          <w:sz w:val="24"/>
        </w:rPr>
        <w:t>9.1响应文件的构成应符合法律法规及磋商文件的要求。</w:t>
      </w:r>
    </w:p>
    <w:p>
      <w:pPr>
        <w:spacing w:line="360" w:lineRule="auto"/>
        <w:ind w:firstLine="480" w:firstLineChars="200"/>
        <w:rPr>
          <w:rFonts w:ascii="宋体" w:hAnsi="宋体"/>
          <w:sz w:val="24"/>
        </w:rPr>
      </w:pPr>
      <w:bookmarkStart w:id="80" w:name="OLE_LINK46"/>
      <w:r>
        <w:rPr>
          <w:rFonts w:hint="eastAsia" w:ascii="宋体" w:hAnsi="宋体"/>
          <w:sz w:val="24"/>
        </w:rPr>
        <w:t>9.2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响应没有对磋商文件在各方面都作出实质性响应是供应商的风险，有可能导致其响应被拒绝，或被认定为无效响应或被确定为响应无效。</w:t>
      </w:r>
    </w:p>
    <w:p>
      <w:pPr>
        <w:spacing w:line="360" w:lineRule="auto"/>
        <w:ind w:firstLine="480" w:firstLineChars="200"/>
        <w:rPr>
          <w:rFonts w:ascii="宋体" w:hAnsi="宋体"/>
          <w:sz w:val="24"/>
        </w:rPr>
      </w:pPr>
      <w:r>
        <w:rPr>
          <w:rFonts w:hint="eastAsia" w:ascii="宋体" w:hAnsi="宋体"/>
          <w:sz w:val="24"/>
        </w:rPr>
        <w:t>9.3供应商必须对响应文件所提供的全部资料的真实性承担法律责任，并无条件接受采购人或采购代理机构及政府采购监督管理部门等对其中任何资料进行核实的要求。</w:t>
      </w:r>
    </w:p>
    <w:p>
      <w:pPr>
        <w:spacing w:line="360" w:lineRule="auto"/>
        <w:ind w:firstLine="480" w:firstLineChars="200"/>
        <w:rPr>
          <w:rFonts w:ascii="宋体" w:hAnsi="宋体"/>
          <w:sz w:val="24"/>
        </w:rPr>
      </w:pPr>
      <w:r>
        <w:rPr>
          <w:rFonts w:hint="eastAsia" w:ascii="宋体" w:hAnsi="宋体"/>
          <w:sz w:val="24"/>
        </w:rPr>
        <w:t>9.4如果因为供应商响应文件填报的内容不详，或没有提供磋商文件中所要求的全部资料及数据，由此造成的后果，其责任由供应商承担。</w:t>
      </w:r>
    </w:p>
    <w:p>
      <w:pPr>
        <w:spacing w:line="360" w:lineRule="auto"/>
        <w:ind w:firstLine="482" w:firstLineChars="200"/>
        <w:rPr>
          <w:rFonts w:ascii="宋体" w:hAnsi="宋体"/>
          <w:b/>
          <w:sz w:val="24"/>
        </w:rPr>
      </w:pPr>
      <w:r>
        <w:rPr>
          <w:rFonts w:hint="eastAsia" w:ascii="宋体" w:hAnsi="宋体"/>
          <w:b/>
          <w:sz w:val="24"/>
        </w:rPr>
        <w:t>10.响应的语言及计量单位</w:t>
      </w:r>
    </w:p>
    <w:p>
      <w:pPr>
        <w:spacing w:line="360" w:lineRule="auto"/>
        <w:ind w:firstLine="480" w:firstLineChars="200"/>
        <w:rPr>
          <w:rFonts w:ascii="宋体" w:hAnsi="宋体"/>
          <w:sz w:val="24"/>
        </w:rPr>
      </w:pPr>
      <w:r>
        <w:rPr>
          <w:rFonts w:hint="eastAsia" w:ascii="宋体" w:hAnsi="宋体"/>
          <w:sz w:val="24"/>
        </w:rPr>
        <w:t>10.1供应商提交的响应文件以及供应商与采购代理机构就有关响应的所有来往函电均应使用中文。供应商提交的支持文件或印刷的资料可以用另一种语言，但相应内容应附有中文翻译本，两种语言不一致时以中文翻译本为准。</w:t>
      </w:r>
    </w:p>
    <w:p>
      <w:pPr>
        <w:spacing w:line="360" w:lineRule="auto"/>
        <w:ind w:firstLine="480" w:firstLineChars="200"/>
        <w:rPr>
          <w:rFonts w:ascii="宋体" w:hAnsi="宋体"/>
          <w:sz w:val="24"/>
        </w:rPr>
      </w:pPr>
      <w:r>
        <w:rPr>
          <w:rFonts w:hint="eastAsia" w:ascii="宋体" w:hAnsi="宋体"/>
          <w:sz w:val="24"/>
        </w:rPr>
        <w:t>10.2除非磋商文件的技术规格中另有规定，供应商在响应文件中及其与采购人和采购代理机构的所有往来文件中的计量单位均应采用中华人民共和国法定计量单位。</w:t>
      </w:r>
    </w:p>
    <w:p>
      <w:pPr>
        <w:spacing w:line="360" w:lineRule="auto"/>
        <w:ind w:firstLine="482" w:firstLineChars="200"/>
        <w:rPr>
          <w:rFonts w:ascii="宋体" w:hAnsi="宋体"/>
          <w:b/>
          <w:sz w:val="24"/>
        </w:rPr>
      </w:pPr>
      <w:r>
        <w:rPr>
          <w:rFonts w:hint="eastAsia" w:ascii="宋体" w:hAnsi="宋体"/>
          <w:b/>
          <w:sz w:val="24"/>
        </w:rPr>
        <w:t>11.响应的报价</w:t>
      </w:r>
    </w:p>
    <w:p>
      <w:pPr>
        <w:spacing w:line="360" w:lineRule="auto"/>
        <w:ind w:firstLine="480" w:firstLineChars="200"/>
        <w:rPr>
          <w:rFonts w:ascii="宋体" w:hAnsi="宋体"/>
          <w:sz w:val="24"/>
        </w:rPr>
      </w:pPr>
      <w:r>
        <w:rPr>
          <w:rFonts w:hint="eastAsia" w:ascii="宋体" w:hAnsi="宋体"/>
          <w:sz w:val="24"/>
        </w:rPr>
        <w:t>11.1磋商报价是供应商响应磋商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pPr>
        <w:spacing w:line="360" w:lineRule="auto"/>
        <w:ind w:firstLine="480" w:firstLineChars="200"/>
        <w:rPr>
          <w:rFonts w:ascii="宋体" w:hAnsi="宋体"/>
          <w:sz w:val="24"/>
        </w:rPr>
      </w:pPr>
      <w:r>
        <w:rPr>
          <w:rFonts w:hint="eastAsia" w:ascii="宋体" w:hAnsi="宋体"/>
          <w:sz w:val="24"/>
        </w:rPr>
        <w:t>11.2供应商应按照《响应文件格式》中《首次报价一览表》中的相关要求填写需要响应的内容，首次报价超过采购预算或磋商文件规定的最高限价的，按无效响应处理。</w:t>
      </w:r>
    </w:p>
    <w:p>
      <w:pPr>
        <w:spacing w:line="360" w:lineRule="auto"/>
        <w:ind w:firstLine="480" w:firstLineChars="200"/>
        <w:rPr>
          <w:rFonts w:ascii="宋体" w:hAnsi="宋体"/>
          <w:sz w:val="24"/>
        </w:rPr>
      </w:pPr>
      <w:r>
        <w:rPr>
          <w:rFonts w:hint="eastAsia" w:ascii="宋体" w:hAnsi="宋体"/>
          <w:sz w:val="24"/>
        </w:rPr>
        <w:t>11.3磋商报价采取二轮报价的办法，最终报价作为计算价格分值的依据。供应商应在磋商当天，磋商小组规定的报价时间内，填写最终报价表，签名并递交采购代理机构。</w:t>
      </w:r>
    </w:p>
    <w:p>
      <w:pPr>
        <w:spacing w:line="360" w:lineRule="auto"/>
        <w:ind w:firstLine="480" w:firstLineChars="200"/>
        <w:rPr>
          <w:rFonts w:ascii="宋体" w:hAnsi="宋体"/>
          <w:sz w:val="24"/>
        </w:rPr>
      </w:pPr>
      <w:r>
        <w:rPr>
          <w:rFonts w:hint="eastAsia" w:ascii="宋体" w:hAnsi="宋体"/>
          <w:sz w:val="24"/>
        </w:rPr>
        <w:t>11.4如采购内容无实质性变更，各供应商的报价应逐次降低，本次报价超过采购预算或磋商文件规定的最高限价的，按无效响应处理；本次报价超过上次报价但未超过采购预算或磋商文件规定的最高限价的，或在规定时间内最终报价未提交、提交不成功的均为无效报价，按无效响应处理。</w:t>
      </w:r>
    </w:p>
    <w:p>
      <w:pPr>
        <w:spacing w:line="360" w:lineRule="auto"/>
        <w:ind w:firstLine="480" w:firstLineChars="200"/>
        <w:rPr>
          <w:rFonts w:ascii="宋体" w:hAnsi="宋体"/>
          <w:sz w:val="24"/>
        </w:rPr>
      </w:pPr>
      <w:r>
        <w:rPr>
          <w:rFonts w:hint="eastAsia" w:ascii="宋体" w:hAnsi="宋体"/>
          <w:sz w:val="24"/>
        </w:rPr>
        <w:t>“规定时间”由现场工作人员集体确定。供应商最终报价较首次报价降价的，成交后，签订合同时应按照成交价较首次报价的下浮比率修改分项报价表中的相应报价。</w:t>
      </w:r>
    </w:p>
    <w:p>
      <w:pPr>
        <w:spacing w:line="360" w:lineRule="auto"/>
        <w:ind w:firstLine="480" w:firstLineChars="200"/>
        <w:rPr>
          <w:rFonts w:ascii="宋体" w:hAnsi="宋体"/>
          <w:sz w:val="24"/>
        </w:rPr>
      </w:pPr>
      <w:r>
        <w:rPr>
          <w:rFonts w:hint="eastAsia" w:ascii="宋体" w:hAnsi="宋体"/>
          <w:sz w:val="24"/>
        </w:rPr>
        <w:t>11.6磋商报价货币：人民币；单位：元，保留</w:t>
      </w:r>
      <w:r>
        <w:rPr>
          <w:rFonts w:hint="eastAsia" w:ascii="宋体" w:hAnsi="宋体"/>
          <w:sz w:val="24"/>
          <w:lang w:eastAsia="zh-CN"/>
        </w:rPr>
        <w:t>小数点后两位</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11.7磋商报价大小写不一致的以大写为准。</w:t>
      </w:r>
    </w:p>
    <w:p>
      <w:pPr>
        <w:spacing w:line="360" w:lineRule="auto"/>
        <w:ind w:firstLine="480" w:firstLineChars="200"/>
        <w:rPr>
          <w:rFonts w:ascii="宋体" w:hAnsi="宋体"/>
          <w:sz w:val="24"/>
        </w:rPr>
      </w:pPr>
      <w:r>
        <w:rPr>
          <w:rFonts w:hint="eastAsia" w:ascii="宋体" w:hAnsi="宋体"/>
          <w:sz w:val="24"/>
        </w:rPr>
        <w:t>11.8因供应商对磋商文件理解不透、误解、疏漏或对市场行情了解不清造成的后果和风险，均由供应商自己负责。</w:t>
      </w:r>
    </w:p>
    <w:p>
      <w:pPr>
        <w:spacing w:line="360" w:lineRule="auto"/>
        <w:ind w:firstLine="482" w:firstLineChars="200"/>
        <w:rPr>
          <w:rFonts w:ascii="宋体" w:hAnsi="宋体"/>
          <w:b/>
          <w:sz w:val="24"/>
        </w:rPr>
      </w:pPr>
      <w:r>
        <w:rPr>
          <w:rFonts w:hint="eastAsia" w:ascii="宋体" w:hAnsi="宋体"/>
          <w:b/>
          <w:sz w:val="24"/>
        </w:rPr>
        <w:t>12.响应文件的制作和签署</w:t>
      </w:r>
    </w:p>
    <w:p>
      <w:pPr>
        <w:spacing w:line="360" w:lineRule="auto"/>
        <w:ind w:firstLine="480" w:firstLineChars="200"/>
        <w:rPr>
          <w:rFonts w:ascii="宋体" w:hAnsi="宋体"/>
          <w:sz w:val="24"/>
          <w:u w:val="single"/>
        </w:rPr>
      </w:pPr>
      <w:r>
        <w:rPr>
          <w:rFonts w:hint="eastAsia" w:ascii="宋体" w:hAnsi="宋体"/>
          <w:sz w:val="24"/>
          <w:u w:val="single"/>
        </w:rPr>
        <w:t>12.1为倡导节约用纸，规范响应文件编制，文件建议采用双面打印或复印，为避免个别供应商过于追求文件厚度而采用二号等超大号字体、超大字间距及行距等：</w:t>
      </w:r>
    </w:p>
    <w:p>
      <w:pPr>
        <w:spacing w:line="360" w:lineRule="auto"/>
        <w:ind w:firstLine="480" w:firstLineChars="200"/>
        <w:rPr>
          <w:rFonts w:ascii="宋体" w:hAnsi="宋体"/>
          <w:sz w:val="24"/>
          <w:u w:val="single"/>
        </w:rPr>
      </w:pPr>
      <w:r>
        <w:rPr>
          <w:rFonts w:hint="eastAsia" w:ascii="宋体" w:hAnsi="宋体"/>
          <w:sz w:val="24"/>
          <w:u w:val="single"/>
        </w:rPr>
        <w:t>1）建议响应文件（除特殊规格的图纸外）统一按照A4规格纸张制作；</w:t>
      </w:r>
    </w:p>
    <w:p>
      <w:pPr>
        <w:spacing w:line="360" w:lineRule="auto"/>
        <w:ind w:firstLine="480" w:firstLineChars="200"/>
        <w:rPr>
          <w:rFonts w:ascii="宋体" w:hAnsi="宋体"/>
          <w:sz w:val="24"/>
          <w:u w:val="single"/>
        </w:rPr>
      </w:pPr>
      <w:r>
        <w:rPr>
          <w:rFonts w:hint="eastAsia" w:ascii="宋体" w:hAnsi="宋体"/>
          <w:sz w:val="24"/>
          <w:u w:val="single"/>
        </w:rPr>
        <w:t>2）建议正文字体大小采用小四或不超过四号字体编制、小标题字体大小合理设置；</w:t>
      </w:r>
    </w:p>
    <w:p>
      <w:pPr>
        <w:spacing w:line="360" w:lineRule="auto"/>
        <w:ind w:firstLine="480" w:firstLineChars="200"/>
        <w:rPr>
          <w:rFonts w:ascii="宋体" w:hAnsi="宋体"/>
          <w:sz w:val="24"/>
          <w:u w:val="single"/>
        </w:rPr>
      </w:pPr>
      <w:r>
        <w:rPr>
          <w:rFonts w:hint="eastAsia" w:ascii="宋体" w:hAnsi="宋体"/>
          <w:sz w:val="24"/>
          <w:u w:val="single"/>
        </w:rPr>
        <w:t>3）合理设置段落间距，建议正文行距不超过2倍、段前段后不超过1行。</w:t>
      </w:r>
    </w:p>
    <w:p>
      <w:pPr>
        <w:spacing w:line="360" w:lineRule="auto"/>
        <w:ind w:firstLine="480" w:firstLineChars="200"/>
        <w:rPr>
          <w:rFonts w:ascii="宋体" w:hAnsi="宋体"/>
          <w:sz w:val="24"/>
        </w:rPr>
      </w:pPr>
      <w:r>
        <w:rPr>
          <w:rFonts w:hint="eastAsia" w:ascii="宋体" w:hAnsi="宋体"/>
          <w:sz w:val="24"/>
        </w:rPr>
        <w:t>12.2供应商编写响应文件时，请按照磋商文件提供的相应格式及顺序编排；并应编制目录，逐页标注连续页码，装订成册；不得缺少或留空任何磋商文件要求填写的表格或提交的资料。</w:t>
      </w:r>
    </w:p>
    <w:p>
      <w:pPr>
        <w:spacing w:line="360" w:lineRule="auto"/>
        <w:ind w:firstLine="480" w:firstLineChars="200"/>
        <w:rPr>
          <w:rFonts w:ascii="宋体" w:hAnsi="宋体"/>
          <w:sz w:val="24"/>
        </w:rPr>
      </w:pPr>
      <w:r>
        <w:rPr>
          <w:rFonts w:hint="eastAsia" w:ascii="宋体" w:hAnsi="宋体"/>
          <w:sz w:val="24"/>
        </w:rPr>
        <w:t>12.3响应文件的正本需打印，并由供应商的法定代表人或其授权代表签字，并加盖供应商公章。响应文件的副本可以采用正本的复印件。</w:t>
      </w:r>
    </w:p>
    <w:p>
      <w:pPr>
        <w:spacing w:line="360" w:lineRule="auto"/>
        <w:ind w:firstLine="480" w:firstLineChars="200"/>
        <w:rPr>
          <w:rFonts w:ascii="宋体" w:hAnsi="宋体"/>
          <w:sz w:val="24"/>
        </w:rPr>
      </w:pPr>
      <w:r>
        <w:rPr>
          <w:rFonts w:hint="eastAsia" w:ascii="宋体" w:hAnsi="宋体"/>
          <w:sz w:val="24"/>
        </w:rPr>
        <w:t>12.4除供应商对响应文件错处作必要修改外，响应文件不得行间插字、涂改和增删，如有修改，必须由供应商的法定代表人或其授权代表在修改处签字并加盖供应商公章后才有效。</w:t>
      </w:r>
    </w:p>
    <w:p>
      <w:pPr>
        <w:spacing w:line="360" w:lineRule="auto"/>
        <w:ind w:firstLine="480" w:firstLineChars="200"/>
        <w:rPr>
          <w:rFonts w:ascii="宋体" w:hAnsi="宋体"/>
          <w:sz w:val="24"/>
        </w:rPr>
      </w:pPr>
      <w:r>
        <w:rPr>
          <w:rFonts w:hint="eastAsia" w:ascii="宋体" w:hAnsi="宋体"/>
          <w:sz w:val="24"/>
        </w:rPr>
        <w:t>12.5响应文件因表述不清所引起的后果由供应商负责。</w:t>
      </w:r>
    </w:p>
    <w:p>
      <w:pPr>
        <w:spacing w:line="360" w:lineRule="auto"/>
        <w:ind w:firstLine="482" w:firstLineChars="200"/>
        <w:rPr>
          <w:rFonts w:ascii="宋体" w:hAnsi="宋体"/>
          <w:b/>
          <w:bCs/>
          <w:sz w:val="24"/>
        </w:rPr>
      </w:pPr>
      <w:r>
        <w:rPr>
          <w:rFonts w:hint="eastAsia" w:ascii="宋体" w:hAnsi="宋体"/>
          <w:b/>
          <w:bCs/>
          <w:sz w:val="24"/>
        </w:rPr>
        <w:t>13.</w:t>
      </w:r>
      <w:bookmarkEnd w:id="80"/>
      <w:r>
        <w:rPr>
          <w:rFonts w:hint="eastAsia" w:ascii="宋体" w:hAnsi="宋体"/>
          <w:b/>
          <w:bCs/>
          <w:sz w:val="24"/>
        </w:rPr>
        <w:t>磋商保证金</w:t>
      </w:r>
    </w:p>
    <w:p>
      <w:pPr>
        <w:spacing w:line="360" w:lineRule="auto"/>
        <w:ind w:firstLine="480" w:firstLineChars="200"/>
        <w:rPr>
          <w:rFonts w:ascii="宋体" w:hAnsi="宋体"/>
          <w:sz w:val="24"/>
        </w:rPr>
      </w:pPr>
      <w:r>
        <w:rPr>
          <w:rFonts w:hint="eastAsia" w:ascii="宋体" w:hAnsi="宋体"/>
          <w:sz w:val="24"/>
        </w:rPr>
        <w:t>13.1本次磋商活动需交纳保证金为：</w:t>
      </w:r>
      <w:r>
        <w:rPr>
          <w:rFonts w:hint="eastAsia" w:ascii="宋体" w:hAnsi="宋体"/>
          <w:b/>
          <w:bCs/>
          <w:sz w:val="24"/>
          <w:u w:val="single"/>
        </w:rPr>
        <w:t>壹万贰仟元整（12,000.00元）</w:t>
      </w:r>
    </w:p>
    <w:p>
      <w:pPr>
        <w:spacing w:line="360" w:lineRule="auto"/>
        <w:ind w:firstLine="480" w:firstLineChars="200"/>
        <w:rPr>
          <w:rFonts w:ascii="宋体" w:hAnsi="宋体"/>
          <w:sz w:val="24"/>
        </w:rPr>
      </w:pPr>
      <w:r>
        <w:rPr>
          <w:rFonts w:hint="eastAsia" w:ascii="宋体" w:hAnsi="宋体"/>
          <w:sz w:val="24"/>
        </w:rPr>
        <w:t>13.2保证金应为人民币，可采用下列任何一种形式支付：</w:t>
      </w:r>
    </w:p>
    <w:p>
      <w:pPr>
        <w:spacing w:line="360" w:lineRule="auto"/>
        <w:ind w:firstLine="480" w:firstLineChars="200"/>
        <w:rPr>
          <w:rFonts w:ascii="宋体" w:hAnsi="宋体"/>
          <w:sz w:val="24"/>
        </w:rPr>
      </w:pPr>
      <w:r>
        <w:rPr>
          <w:rFonts w:hint="eastAsia" w:ascii="宋体" w:hAnsi="宋体"/>
          <w:sz w:val="24"/>
        </w:rPr>
        <w:t xml:space="preserve">  13.2.1银行转账</w:t>
      </w:r>
    </w:p>
    <w:p>
      <w:pPr>
        <w:spacing w:line="360" w:lineRule="auto"/>
        <w:ind w:firstLine="480" w:firstLineChars="200"/>
        <w:rPr>
          <w:rFonts w:ascii="宋体" w:hAnsi="宋体"/>
          <w:sz w:val="24"/>
        </w:rPr>
      </w:pPr>
      <w:r>
        <w:rPr>
          <w:rFonts w:hint="eastAsia" w:ascii="宋体" w:hAnsi="宋体"/>
          <w:sz w:val="24"/>
        </w:rPr>
        <w:t xml:space="preserve">  13.2.2电汇</w:t>
      </w:r>
    </w:p>
    <w:p>
      <w:pPr>
        <w:spacing w:line="360" w:lineRule="auto"/>
        <w:ind w:firstLine="720" w:firstLineChars="300"/>
        <w:rPr>
          <w:rFonts w:ascii="宋体" w:hAnsi="宋体"/>
          <w:sz w:val="24"/>
        </w:rPr>
      </w:pPr>
      <w:r>
        <w:rPr>
          <w:rFonts w:hint="eastAsia" w:ascii="宋体" w:hAnsi="宋体"/>
          <w:sz w:val="24"/>
        </w:rPr>
        <w:t>13.2.3保函</w:t>
      </w:r>
    </w:p>
    <w:p>
      <w:pPr>
        <w:spacing w:line="360" w:lineRule="auto"/>
        <w:ind w:firstLine="480" w:firstLineChars="200"/>
        <w:rPr>
          <w:rFonts w:ascii="宋体" w:hAnsi="宋体"/>
          <w:sz w:val="24"/>
        </w:rPr>
      </w:pPr>
      <w:r>
        <w:rPr>
          <w:rFonts w:hint="eastAsia" w:ascii="宋体" w:hAnsi="宋体"/>
          <w:sz w:val="24"/>
        </w:rPr>
        <w:t>13.3磋商保证金必须在磋商会议前到达采购代理机构指定的账户。</w:t>
      </w:r>
    </w:p>
    <w:p>
      <w:pPr>
        <w:spacing w:line="360" w:lineRule="auto"/>
        <w:ind w:firstLine="482" w:firstLineChars="200"/>
        <w:rPr>
          <w:rFonts w:ascii="宋体" w:hAnsi="宋体"/>
          <w:b/>
          <w:sz w:val="24"/>
        </w:rPr>
      </w:pPr>
      <w:r>
        <w:rPr>
          <w:rFonts w:hint="eastAsia" w:ascii="宋体" w:hAnsi="宋体"/>
          <w:b/>
          <w:sz w:val="24"/>
        </w:rPr>
        <w:t xml:space="preserve">  开户名称：陕西德勤招标有限公司</w:t>
      </w:r>
    </w:p>
    <w:p>
      <w:pPr>
        <w:spacing w:line="360" w:lineRule="auto"/>
        <w:ind w:firstLine="482" w:firstLineChars="200"/>
        <w:rPr>
          <w:rFonts w:ascii="宋体" w:hAnsi="宋体"/>
          <w:b/>
          <w:sz w:val="24"/>
        </w:rPr>
      </w:pPr>
      <w:r>
        <w:rPr>
          <w:rFonts w:hint="eastAsia" w:ascii="宋体" w:hAnsi="宋体"/>
          <w:b/>
          <w:sz w:val="24"/>
        </w:rPr>
        <w:t xml:space="preserve">  账  号：52880188000025295</w:t>
      </w:r>
    </w:p>
    <w:p>
      <w:pPr>
        <w:spacing w:line="360" w:lineRule="auto"/>
        <w:ind w:firstLine="482" w:firstLineChars="200"/>
        <w:rPr>
          <w:rFonts w:ascii="宋体" w:hAnsi="宋体"/>
          <w:b/>
          <w:sz w:val="24"/>
        </w:rPr>
      </w:pPr>
      <w:r>
        <w:rPr>
          <w:rFonts w:hint="eastAsia" w:ascii="宋体" w:hAnsi="宋体"/>
          <w:b/>
          <w:sz w:val="24"/>
        </w:rPr>
        <w:t xml:space="preserve">  开户行：光大银行西安丈八东路支行</w:t>
      </w:r>
    </w:p>
    <w:p>
      <w:pPr>
        <w:spacing w:line="360" w:lineRule="auto"/>
        <w:rPr>
          <w:rFonts w:ascii="宋体" w:hAnsi="宋体"/>
          <w:b/>
          <w:sz w:val="24"/>
          <w:u w:val="single"/>
        </w:rPr>
      </w:pPr>
      <w:r>
        <w:rPr>
          <w:rFonts w:hint="eastAsia" w:ascii="宋体" w:hAnsi="宋体"/>
          <w:b/>
          <w:sz w:val="24"/>
        </w:rPr>
        <w:t xml:space="preserve">      </w:t>
      </w:r>
      <w:r>
        <w:rPr>
          <w:rFonts w:hint="eastAsia" w:ascii="宋体" w:hAnsi="宋体"/>
          <w:b/>
          <w:sz w:val="24"/>
          <w:u w:val="single"/>
        </w:rPr>
        <w:t>转账事由：DQ-2022042-CS项目磋商保证金</w:t>
      </w:r>
    </w:p>
    <w:p>
      <w:pPr>
        <w:spacing w:line="360" w:lineRule="auto"/>
        <w:ind w:firstLine="482" w:firstLineChars="200"/>
        <w:rPr>
          <w:rFonts w:ascii="宋体" w:hAnsi="宋体"/>
          <w:b/>
          <w:sz w:val="24"/>
        </w:rPr>
      </w:pPr>
      <w:r>
        <w:rPr>
          <w:rFonts w:hint="eastAsia" w:ascii="宋体" w:hAnsi="宋体"/>
          <w:b/>
          <w:sz w:val="24"/>
        </w:rPr>
        <w:t>备注：磋商保证金以供应商名称汇款,汇款凭证标明项目编号，如以个人汇款，视为无效。</w:t>
      </w:r>
    </w:p>
    <w:p>
      <w:pPr>
        <w:spacing w:line="360" w:lineRule="auto"/>
        <w:ind w:firstLine="480" w:firstLineChars="200"/>
        <w:rPr>
          <w:rFonts w:ascii="宋体" w:hAnsi="宋体"/>
          <w:sz w:val="24"/>
        </w:rPr>
      </w:pPr>
      <w:r>
        <w:rPr>
          <w:rFonts w:hint="eastAsia" w:ascii="宋体" w:hAnsi="宋体"/>
          <w:sz w:val="24"/>
        </w:rPr>
        <w:t>13.4供应商未交纳、未足额交纳或未按规定时间交纳磋商保证金的，将被视为自动放弃磋商权利。</w:t>
      </w:r>
    </w:p>
    <w:p>
      <w:pPr>
        <w:spacing w:line="360" w:lineRule="auto"/>
        <w:ind w:firstLine="480" w:firstLineChars="200"/>
        <w:rPr>
          <w:rFonts w:ascii="宋体" w:hAnsi="宋体"/>
          <w:sz w:val="24"/>
        </w:rPr>
      </w:pPr>
      <w:r>
        <w:rPr>
          <w:rFonts w:hint="eastAsia" w:ascii="宋体" w:hAnsi="宋体"/>
          <w:sz w:val="24"/>
        </w:rPr>
        <w:t>13.5磋商保证金的交付单位和供应商的名称必须一致，否则将视为响应无效。</w:t>
      </w:r>
    </w:p>
    <w:p>
      <w:pPr>
        <w:spacing w:line="360" w:lineRule="auto"/>
        <w:ind w:firstLine="480" w:firstLineChars="200"/>
        <w:rPr>
          <w:rFonts w:ascii="宋体" w:hAnsi="宋体"/>
          <w:sz w:val="24"/>
        </w:rPr>
      </w:pPr>
      <w:r>
        <w:rPr>
          <w:rFonts w:hint="eastAsia" w:ascii="宋体" w:hAnsi="宋体"/>
          <w:sz w:val="24"/>
        </w:rPr>
        <w:t>13.6项目废标后重新组织磋商的，保证金会退回原项目响应供应商账户，供应商需按照新的磋商文件要求</w:t>
      </w:r>
      <w:r>
        <w:rPr>
          <w:rFonts w:hint="eastAsia" w:ascii="宋体" w:hAnsi="宋体"/>
          <w:b/>
          <w:bCs/>
          <w:sz w:val="24"/>
        </w:rPr>
        <w:t>重新交纳保证金</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13.7磋商保证金退还</w:t>
      </w:r>
    </w:p>
    <w:p>
      <w:pPr>
        <w:spacing w:line="360" w:lineRule="auto"/>
        <w:ind w:firstLine="480" w:firstLineChars="200"/>
        <w:rPr>
          <w:rFonts w:ascii="宋体" w:hAnsi="宋体"/>
          <w:sz w:val="24"/>
        </w:rPr>
      </w:pPr>
      <w:r>
        <w:rPr>
          <w:rFonts w:hint="eastAsia" w:ascii="宋体" w:hAnsi="宋体"/>
          <w:sz w:val="24"/>
        </w:rPr>
        <w:t>13.7.1如无质疑或投诉，未成交供应商的磋商保证金，在成交通知书发出后5个工作日内原额、原账户无息退还；</w:t>
      </w:r>
    </w:p>
    <w:p>
      <w:pPr>
        <w:spacing w:line="360" w:lineRule="auto"/>
        <w:ind w:firstLine="480" w:firstLineChars="200"/>
        <w:rPr>
          <w:rFonts w:ascii="宋体" w:hAnsi="宋体"/>
          <w:sz w:val="24"/>
        </w:rPr>
      </w:pPr>
      <w:r>
        <w:rPr>
          <w:rFonts w:hint="eastAsia" w:ascii="宋体" w:hAnsi="宋体"/>
          <w:sz w:val="24"/>
        </w:rPr>
        <w:t>如有质疑或投诉，将在质疑和投诉处理完毕后5个工作日内原额、原账户无息退还。</w:t>
      </w:r>
    </w:p>
    <w:p>
      <w:pPr>
        <w:spacing w:line="360" w:lineRule="auto"/>
        <w:ind w:firstLine="482" w:firstLineChars="200"/>
        <w:rPr>
          <w:rFonts w:ascii="宋体" w:hAnsi="宋体"/>
          <w:b/>
          <w:bCs/>
          <w:sz w:val="24"/>
          <w:u w:val="single"/>
        </w:rPr>
      </w:pPr>
      <w:r>
        <w:rPr>
          <w:rFonts w:hint="eastAsia" w:ascii="宋体" w:hAnsi="宋体"/>
          <w:b/>
          <w:bCs/>
          <w:sz w:val="24"/>
          <w:u w:val="single"/>
        </w:rPr>
        <w:t>13.7.2成交供应商的磋商保证金,在成交供应商与采购人签订采购合同并将采购合同（一份）送达采购代理机构后5个工作日内原额、原账户无息退还。</w:t>
      </w:r>
    </w:p>
    <w:p>
      <w:pPr>
        <w:spacing w:line="360" w:lineRule="auto"/>
        <w:ind w:firstLine="480" w:firstLineChars="200"/>
        <w:rPr>
          <w:rFonts w:ascii="宋体" w:hAnsi="宋体"/>
          <w:sz w:val="24"/>
        </w:rPr>
      </w:pPr>
      <w:r>
        <w:rPr>
          <w:rFonts w:hint="eastAsia" w:ascii="宋体" w:hAnsi="宋体"/>
          <w:sz w:val="24"/>
        </w:rPr>
        <w:t>13.8供应商有下列情形之一的，采购代理机构不予退还其交纳的保证金；情节严重的，由财政部门将其列入不良行为记录名单，在一至三年内禁止参加政府采购活动，并予以通报：</w:t>
      </w:r>
    </w:p>
    <w:p>
      <w:pPr>
        <w:spacing w:line="360" w:lineRule="auto"/>
        <w:ind w:firstLine="480" w:firstLineChars="200"/>
        <w:rPr>
          <w:rFonts w:ascii="宋体" w:hAnsi="宋体"/>
          <w:sz w:val="24"/>
        </w:rPr>
      </w:pPr>
      <w:r>
        <w:rPr>
          <w:rFonts w:hint="eastAsia" w:ascii="宋体" w:hAnsi="宋体"/>
          <w:sz w:val="24"/>
        </w:rPr>
        <w:t>13.8.1开标后在磋商文件规定的响应有效期间，供应商撤回其所投响应文件；</w:t>
      </w:r>
    </w:p>
    <w:p>
      <w:pPr>
        <w:spacing w:line="360" w:lineRule="auto"/>
        <w:ind w:firstLine="480" w:firstLineChars="200"/>
        <w:rPr>
          <w:rFonts w:ascii="宋体" w:hAnsi="宋体"/>
          <w:sz w:val="24"/>
        </w:rPr>
      </w:pPr>
      <w:r>
        <w:rPr>
          <w:rFonts w:hint="eastAsia" w:ascii="宋体" w:hAnsi="宋体"/>
          <w:sz w:val="24"/>
        </w:rPr>
        <w:t>13.8.2成交供应商在收到成交通知书后，在磋商文件规定的时间内无正当理由不与采购人或者采购代理机构签订合同的；</w:t>
      </w:r>
    </w:p>
    <w:p>
      <w:pPr>
        <w:spacing w:line="360" w:lineRule="auto"/>
        <w:ind w:firstLine="480" w:firstLineChars="200"/>
        <w:rPr>
          <w:rFonts w:ascii="宋体" w:hAnsi="宋体"/>
          <w:sz w:val="24"/>
        </w:rPr>
      </w:pPr>
      <w:r>
        <w:rPr>
          <w:rFonts w:hint="eastAsia" w:ascii="宋体" w:hAnsi="宋体"/>
          <w:sz w:val="24"/>
        </w:rPr>
        <w:t>13.8.3成交供应商未按时缴付采购代理服务费；</w:t>
      </w:r>
    </w:p>
    <w:p>
      <w:pPr>
        <w:spacing w:line="360" w:lineRule="auto"/>
        <w:ind w:firstLine="480" w:firstLineChars="200"/>
        <w:rPr>
          <w:rFonts w:ascii="宋体" w:hAnsi="宋体"/>
          <w:sz w:val="24"/>
        </w:rPr>
      </w:pPr>
      <w:r>
        <w:rPr>
          <w:rFonts w:hint="eastAsia" w:ascii="宋体" w:hAnsi="宋体"/>
          <w:sz w:val="24"/>
        </w:rPr>
        <w:t>13.8.4成交供应商将成交项目转让给他人，或者在响应文件中未说明，且未经采购人同意，将成交项目分包给他人的；</w:t>
      </w:r>
    </w:p>
    <w:p>
      <w:pPr>
        <w:spacing w:line="360" w:lineRule="auto"/>
        <w:ind w:firstLine="480" w:firstLineChars="200"/>
        <w:rPr>
          <w:rFonts w:ascii="宋体" w:hAnsi="宋体"/>
          <w:sz w:val="24"/>
        </w:rPr>
      </w:pPr>
      <w:r>
        <w:rPr>
          <w:rFonts w:hint="eastAsia" w:ascii="宋体" w:hAnsi="宋体"/>
          <w:sz w:val="24"/>
        </w:rPr>
        <w:t>13.8.5成交供应商拒绝履行合同义务的；</w:t>
      </w:r>
    </w:p>
    <w:p>
      <w:pPr>
        <w:spacing w:line="360" w:lineRule="auto"/>
        <w:ind w:firstLine="480" w:firstLineChars="200"/>
        <w:rPr>
          <w:rFonts w:ascii="宋体" w:hAnsi="宋体"/>
          <w:sz w:val="24"/>
        </w:rPr>
      </w:pPr>
      <w:r>
        <w:rPr>
          <w:rFonts w:hint="eastAsia" w:ascii="宋体" w:hAnsi="宋体"/>
          <w:sz w:val="24"/>
        </w:rPr>
        <w:t>13.8.6其他违法、违规行为的。</w:t>
      </w:r>
    </w:p>
    <w:p>
      <w:pPr>
        <w:spacing w:line="360" w:lineRule="auto"/>
        <w:ind w:firstLine="482" w:firstLineChars="200"/>
        <w:rPr>
          <w:rFonts w:ascii="宋体" w:hAnsi="宋体"/>
          <w:b/>
          <w:bCs/>
          <w:sz w:val="24"/>
        </w:rPr>
      </w:pPr>
      <w:r>
        <w:rPr>
          <w:rFonts w:hint="eastAsia" w:ascii="宋体" w:hAnsi="宋体"/>
          <w:b/>
          <w:bCs/>
          <w:sz w:val="24"/>
        </w:rPr>
        <w:t>14.响应文件的有效期</w:t>
      </w:r>
    </w:p>
    <w:p>
      <w:pPr>
        <w:spacing w:line="360" w:lineRule="auto"/>
        <w:ind w:firstLine="480" w:firstLineChars="200"/>
        <w:rPr>
          <w:rFonts w:ascii="宋体" w:hAnsi="宋体"/>
          <w:sz w:val="24"/>
        </w:rPr>
      </w:pPr>
      <w:r>
        <w:rPr>
          <w:rFonts w:hint="eastAsia" w:ascii="宋体" w:hAnsi="宋体"/>
          <w:sz w:val="24"/>
        </w:rPr>
        <w:t>14.1响应文件有效期为自开标之日起算九十（90）个日历日；响应文件有效期短于磋商文件规定的响应有效期，按无效响应文件处理；成交供应商的响应文件有效期延长至合同执行完毕。</w:t>
      </w:r>
    </w:p>
    <w:p>
      <w:pPr>
        <w:spacing w:line="360" w:lineRule="auto"/>
        <w:ind w:firstLine="480" w:firstLineChars="200"/>
        <w:rPr>
          <w:rFonts w:ascii="宋体" w:hAnsi="宋体"/>
          <w:sz w:val="24"/>
        </w:rPr>
      </w:pPr>
      <w:r>
        <w:rPr>
          <w:rFonts w:hint="eastAsia" w:ascii="宋体" w:hAnsi="宋体"/>
          <w:sz w:val="24"/>
        </w:rPr>
        <w:t>14.2在特殊情况下，采购人可与供应商协商延长响应文件的有效期,这种要求和答复均应以书面形式进行。</w:t>
      </w:r>
    </w:p>
    <w:p>
      <w:pPr>
        <w:spacing w:line="360" w:lineRule="auto"/>
        <w:ind w:firstLine="480" w:firstLineChars="200"/>
        <w:rPr>
          <w:rFonts w:ascii="宋体" w:hAnsi="宋体"/>
          <w:sz w:val="24"/>
        </w:rPr>
      </w:pPr>
      <w:r>
        <w:rPr>
          <w:rFonts w:hint="eastAsia" w:ascii="宋体" w:hAnsi="宋体"/>
          <w:sz w:val="24"/>
        </w:rPr>
        <w:t>14.3供应商可拒绝接受延期要求而不会导致磋商保证金被没收，同意延长有效期的供应商不能修改响应文件。</w:t>
      </w:r>
      <w:bookmarkStart w:id="81" w:name="_Toc18934"/>
      <w:bookmarkStart w:id="82" w:name="_Toc6401"/>
    </w:p>
    <w:p>
      <w:pPr>
        <w:spacing w:line="360" w:lineRule="auto"/>
        <w:ind w:firstLine="481"/>
        <w:jc w:val="left"/>
        <w:outlineLvl w:val="1"/>
        <w:rPr>
          <w:rFonts w:ascii="黑体" w:hAnsi="黑体" w:eastAsia="黑体" w:cs="黑体"/>
          <w:b/>
          <w:sz w:val="24"/>
        </w:rPr>
      </w:pPr>
      <w:bookmarkStart w:id="83" w:name="_Toc29987"/>
      <w:bookmarkStart w:id="84" w:name="_Toc32350"/>
    </w:p>
    <w:p>
      <w:pPr>
        <w:spacing w:line="360" w:lineRule="auto"/>
        <w:ind w:firstLine="481"/>
        <w:jc w:val="left"/>
        <w:outlineLvl w:val="1"/>
        <w:rPr>
          <w:rFonts w:ascii="黑体" w:hAnsi="黑体" w:eastAsia="黑体" w:cs="黑体"/>
          <w:b/>
          <w:sz w:val="24"/>
        </w:rPr>
      </w:pPr>
      <w:r>
        <w:rPr>
          <w:rFonts w:hint="eastAsia" w:ascii="黑体" w:hAnsi="黑体" w:eastAsia="黑体" w:cs="黑体"/>
          <w:b/>
          <w:sz w:val="24"/>
        </w:rPr>
        <w:t>四、响应文件密封、递交</w:t>
      </w:r>
      <w:bookmarkEnd w:id="81"/>
      <w:bookmarkEnd w:id="82"/>
      <w:bookmarkEnd w:id="83"/>
      <w:bookmarkEnd w:id="84"/>
    </w:p>
    <w:p>
      <w:pPr>
        <w:spacing w:line="360" w:lineRule="auto"/>
        <w:ind w:firstLine="482" w:firstLineChars="200"/>
        <w:rPr>
          <w:rFonts w:ascii="宋体" w:hAnsi="宋体"/>
          <w:b/>
          <w:bCs/>
          <w:sz w:val="24"/>
        </w:rPr>
      </w:pPr>
      <w:r>
        <w:rPr>
          <w:rFonts w:hint="eastAsia" w:ascii="宋体" w:hAnsi="宋体"/>
          <w:b/>
          <w:bCs/>
          <w:sz w:val="24"/>
        </w:rPr>
        <w:t>15.响应文件的密封及标记</w:t>
      </w:r>
    </w:p>
    <w:p>
      <w:pPr>
        <w:spacing w:line="360" w:lineRule="auto"/>
        <w:ind w:firstLine="480" w:firstLineChars="200"/>
        <w:rPr>
          <w:rFonts w:ascii="宋体" w:hAnsi="宋体"/>
          <w:sz w:val="24"/>
        </w:rPr>
      </w:pPr>
      <w:r>
        <w:rPr>
          <w:rFonts w:hint="eastAsia" w:ascii="宋体" w:hAnsi="宋体"/>
          <w:sz w:val="24"/>
        </w:rPr>
        <w:t>15.1响应文件正本</w:t>
      </w:r>
      <w:r>
        <w:rPr>
          <w:rFonts w:hint="eastAsia" w:ascii="宋体" w:hAnsi="宋体"/>
          <w:b/>
          <w:bCs/>
          <w:sz w:val="24"/>
          <w:u w:val="single"/>
        </w:rPr>
        <w:t>壹</w:t>
      </w:r>
      <w:r>
        <w:rPr>
          <w:rFonts w:hint="eastAsia" w:ascii="宋体" w:hAnsi="宋体"/>
          <w:sz w:val="24"/>
        </w:rPr>
        <w:t>份、副本</w:t>
      </w:r>
      <w:r>
        <w:rPr>
          <w:rFonts w:hint="eastAsia" w:ascii="宋体" w:hAnsi="宋体"/>
          <w:b/>
          <w:bCs/>
          <w:sz w:val="24"/>
          <w:u w:val="single"/>
        </w:rPr>
        <w:t>叁</w:t>
      </w:r>
      <w:r>
        <w:rPr>
          <w:rFonts w:hint="eastAsia" w:ascii="宋体" w:hAnsi="宋体"/>
          <w:sz w:val="24"/>
        </w:rPr>
        <w:t>份。正、副本须分别胶装成册，正、副本分开密封。不允许活页夹装订，由于装订原因造成响应文件</w:t>
      </w:r>
      <w:r>
        <w:rPr>
          <w:rFonts w:hint="eastAsia" w:ascii="宋体" w:hAnsi="宋体"/>
          <w:sz w:val="24"/>
          <w:lang w:eastAsia="zh-CN"/>
        </w:rPr>
        <w:t>的</w:t>
      </w:r>
      <w:r>
        <w:rPr>
          <w:rFonts w:hint="eastAsia" w:ascii="宋体" w:hAnsi="宋体"/>
          <w:sz w:val="24"/>
        </w:rPr>
        <w:t>散落、丢失等，责任自负。</w:t>
      </w:r>
      <w:r>
        <w:rPr>
          <w:rFonts w:hint="eastAsia" w:ascii="宋体" w:hAnsi="宋体"/>
          <w:b/>
          <w:sz w:val="24"/>
        </w:rPr>
        <w:t>在封口处需由法定代表人或授权人代表签字，并加盖供应商公章。</w:t>
      </w:r>
      <w:r>
        <w:rPr>
          <w:rFonts w:hint="eastAsia" w:ascii="宋体" w:hAnsi="宋体"/>
          <w:sz w:val="24"/>
        </w:rPr>
        <w:t>封皮上写明采购项目名称、采购项目编号、供应商名称、标段（如果有）、包号（如果有），并注明</w:t>
      </w:r>
      <w:r>
        <w:rPr>
          <w:rFonts w:hint="eastAsia" w:ascii="宋体" w:hAnsi="宋体"/>
          <w:b/>
          <w:bCs/>
          <w:sz w:val="24"/>
          <w:u w:val="single"/>
        </w:rPr>
        <w:t>“响应文件正（副）本”、“非磋商会议不得启封”</w:t>
      </w:r>
      <w:r>
        <w:rPr>
          <w:rFonts w:hint="eastAsia" w:ascii="宋体" w:hAnsi="宋体"/>
          <w:sz w:val="24"/>
        </w:rPr>
        <w:t>字样。</w:t>
      </w:r>
    </w:p>
    <w:p>
      <w:pPr>
        <w:spacing w:line="360" w:lineRule="auto"/>
        <w:ind w:firstLine="480" w:firstLineChars="200"/>
        <w:rPr>
          <w:rFonts w:ascii="宋体" w:hAnsi="宋体"/>
          <w:sz w:val="24"/>
        </w:rPr>
      </w:pPr>
      <w:r>
        <w:rPr>
          <w:rFonts w:hint="eastAsia" w:ascii="宋体" w:hAnsi="宋体"/>
          <w:sz w:val="24"/>
        </w:rPr>
        <w:t>15.2响应文件电子版本</w:t>
      </w:r>
      <w:r>
        <w:rPr>
          <w:rFonts w:hint="eastAsia" w:ascii="宋体" w:hAnsi="宋体"/>
          <w:b/>
          <w:bCs/>
          <w:sz w:val="24"/>
          <w:u w:val="single"/>
        </w:rPr>
        <w:t>壹</w:t>
      </w:r>
      <w:r>
        <w:rPr>
          <w:rFonts w:hint="eastAsia" w:ascii="宋体" w:hAnsi="宋体"/>
          <w:sz w:val="24"/>
        </w:rPr>
        <w:t>份，所提交的电子版本应与响应文件正本内容相同（以U盘形式提供，文件格式包含.doc/.docx格式及正本盖章后扫描的.pdf格式）。</w:t>
      </w:r>
      <w:r>
        <w:rPr>
          <w:rFonts w:hint="eastAsia" w:ascii="宋体" w:hAnsi="宋体"/>
          <w:b/>
          <w:bCs/>
          <w:sz w:val="24"/>
        </w:rPr>
        <w:t>在封口处需由法定代表人或授权人代表签字，并加盖供应商公章。</w:t>
      </w:r>
      <w:r>
        <w:rPr>
          <w:rFonts w:hint="eastAsia" w:ascii="宋体" w:hAnsi="宋体"/>
          <w:sz w:val="24"/>
        </w:rPr>
        <w:t>封皮上写明采购项目名称、采购项目编号、供应商名称、标段（如果有）、包号（如果有），并注明</w:t>
      </w:r>
      <w:r>
        <w:rPr>
          <w:rFonts w:hint="eastAsia" w:ascii="宋体" w:hAnsi="宋体"/>
          <w:b/>
          <w:bCs/>
          <w:sz w:val="24"/>
          <w:u w:val="single"/>
        </w:rPr>
        <w:t>“响应文件（电子版本）”“非磋商会议不得启封”</w:t>
      </w:r>
      <w:r>
        <w:rPr>
          <w:rFonts w:hint="eastAsia" w:ascii="宋体" w:hAnsi="宋体"/>
          <w:sz w:val="24"/>
        </w:rPr>
        <w:t>字样。</w:t>
      </w:r>
    </w:p>
    <w:p>
      <w:pPr>
        <w:spacing w:line="360" w:lineRule="auto"/>
        <w:ind w:firstLine="480"/>
        <w:rPr>
          <w:rFonts w:ascii="宋体" w:hAnsi="宋体"/>
          <w:b/>
          <w:sz w:val="24"/>
        </w:rPr>
      </w:pPr>
      <w:r>
        <w:rPr>
          <w:rFonts w:hint="eastAsia" w:ascii="宋体" w:hAnsi="宋体"/>
          <w:sz w:val="24"/>
        </w:rPr>
        <w:t>15.3首次</w:t>
      </w:r>
      <w:r>
        <w:rPr>
          <w:rFonts w:hint="eastAsia" w:ascii="宋体" w:hAnsi="宋体"/>
          <w:bCs/>
          <w:sz w:val="24"/>
        </w:rPr>
        <w:t>报价一览表除在响应文件内装订外，另制作一份</w:t>
      </w:r>
      <w:r>
        <w:rPr>
          <w:rFonts w:hint="eastAsia" w:ascii="宋体" w:hAnsi="宋体"/>
          <w:b/>
          <w:sz w:val="24"/>
        </w:rPr>
        <w:t>单独</w:t>
      </w:r>
      <w:r>
        <w:rPr>
          <w:rFonts w:hint="eastAsia" w:ascii="宋体" w:hAnsi="宋体"/>
          <w:bCs/>
          <w:sz w:val="24"/>
        </w:rPr>
        <w:t>放在一个信封中。</w:t>
      </w:r>
      <w:r>
        <w:rPr>
          <w:rFonts w:hint="eastAsia" w:ascii="宋体" w:hAnsi="宋体"/>
          <w:b/>
          <w:sz w:val="24"/>
        </w:rPr>
        <w:t>封口处应有供应商法定代表人或授权人代表签字，并加盖供应商公章。</w:t>
      </w:r>
      <w:r>
        <w:rPr>
          <w:rFonts w:hint="eastAsia" w:ascii="宋体" w:hAnsi="宋体"/>
          <w:bCs/>
          <w:sz w:val="24"/>
        </w:rPr>
        <w:t>封皮上写明</w:t>
      </w:r>
      <w:r>
        <w:rPr>
          <w:rFonts w:hint="eastAsia" w:ascii="宋体" w:hAnsi="宋体"/>
          <w:sz w:val="24"/>
        </w:rPr>
        <w:t>采购项目名称、采购项目编号、供应商名称、标段（如果有）、包号（如果有）</w:t>
      </w:r>
      <w:r>
        <w:rPr>
          <w:rFonts w:hint="eastAsia" w:ascii="宋体" w:hAnsi="宋体"/>
          <w:b/>
          <w:sz w:val="24"/>
        </w:rPr>
        <w:t>，</w:t>
      </w:r>
      <w:r>
        <w:rPr>
          <w:rFonts w:hint="eastAsia" w:ascii="宋体" w:hAnsi="宋体"/>
          <w:bCs/>
          <w:sz w:val="24"/>
        </w:rPr>
        <w:t>并注明</w:t>
      </w:r>
      <w:r>
        <w:rPr>
          <w:rFonts w:hint="eastAsia" w:ascii="宋体" w:hAnsi="宋体"/>
          <w:b/>
          <w:bCs/>
          <w:sz w:val="24"/>
          <w:u w:val="single"/>
        </w:rPr>
        <w:t>“首次报价一览表”、“非磋商会议不得启封”</w:t>
      </w:r>
      <w:r>
        <w:rPr>
          <w:rFonts w:hint="eastAsia" w:ascii="宋体" w:hAnsi="宋体"/>
          <w:bCs/>
          <w:sz w:val="24"/>
        </w:rPr>
        <w:t>字样，响应时递交。</w:t>
      </w:r>
    </w:p>
    <w:p>
      <w:pPr>
        <w:spacing w:line="360" w:lineRule="auto"/>
        <w:ind w:firstLine="480"/>
        <w:rPr>
          <w:rFonts w:ascii="宋体" w:hAnsi="宋体"/>
          <w:sz w:val="24"/>
        </w:rPr>
      </w:pPr>
      <w:r>
        <w:rPr>
          <w:rFonts w:hint="eastAsia" w:ascii="宋体" w:hAnsi="宋体"/>
          <w:sz w:val="24"/>
        </w:rPr>
        <w:t>15.</w:t>
      </w:r>
      <w:bookmarkStart w:id="85" w:name="OLE_LINK3"/>
      <w:bookmarkStart w:id="86" w:name="OLE_LINK4"/>
      <w:r>
        <w:rPr>
          <w:rFonts w:hint="eastAsia" w:ascii="宋体" w:hAnsi="宋体"/>
          <w:sz w:val="24"/>
        </w:rPr>
        <w:t>4</w:t>
      </w:r>
      <w:r>
        <w:rPr>
          <w:rFonts w:hint="eastAsia" w:ascii="宋体" w:hAnsi="宋体"/>
          <w:b/>
          <w:bCs/>
          <w:sz w:val="24"/>
          <w:u w:val="single"/>
        </w:rPr>
        <w:t>“资格证明文件证明材料原件”</w:t>
      </w:r>
      <w:r>
        <w:rPr>
          <w:rFonts w:hint="eastAsia" w:ascii="宋体" w:hAnsi="宋体"/>
          <w:sz w:val="24"/>
        </w:rPr>
        <w:t>按照本须知2.3条要求内容组成。</w:t>
      </w:r>
      <w:r>
        <w:rPr>
          <w:rFonts w:hint="eastAsia" w:ascii="宋体" w:hAnsi="宋体"/>
          <w:b/>
          <w:bCs/>
          <w:sz w:val="24"/>
        </w:rPr>
        <w:t>“资格证明文件证明材料原件”</w:t>
      </w:r>
      <w:r>
        <w:rPr>
          <w:rFonts w:hint="eastAsia" w:ascii="宋体" w:hAnsi="宋体"/>
          <w:sz w:val="24"/>
        </w:rPr>
        <w:t>文件应汇总放置于在一个文件袋中</w:t>
      </w:r>
      <w:r>
        <w:rPr>
          <w:rFonts w:hint="eastAsia" w:ascii="宋体" w:hAnsi="宋体"/>
          <w:b/>
          <w:bCs/>
          <w:sz w:val="24"/>
        </w:rPr>
        <w:t>（无须密封）</w:t>
      </w:r>
      <w:r>
        <w:rPr>
          <w:rFonts w:hint="eastAsia" w:ascii="宋体" w:hAnsi="宋体"/>
          <w:sz w:val="24"/>
        </w:rPr>
        <w:t>，封皮上写明采购项目名称、采购项目编号、供应商名称、标段（如果有）、包号（如果有），并注明</w:t>
      </w:r>
      <w:r>
        <w:rPr>
          <w:rFonts w:hint="eastAsia" w:ascii="宋体" w:hAnsi="宋体"/>
          <w:b/>
          <w:sz w:val="24"/>
          <w:u w:val="single"/>
        </w:rPr>
        <w:t>“资格证明文件</w:t>
      </w:r>
      <w:r>
        <w:rPr>
          <w:rFonts w:hint="eastAsia" w:ascii="宋体" w:hAnsi="宋体"/>
          <w:b/>
          <w:bCs/>
          <w:sz w:val="24"/>
          <w:u w:val="single"/>
        </w:rPr>
        <w:t>证明材料原件</w:t>
      </w:r>
      <w:r>
        <w:rPr>
          <w:rFonts w:hint="eastAsia" w:ascii="宋体" w:hAnsi="宋体"/>
          <w:b/>
          <w:sz w:val="24"/>
          <w:u w:val="single"/>
        </w:rPr>
        <w:t>”</w:t>
      </w:r>
      <w:r>
        <w:rPr>
          <w:rFonts w:hint="eastAsia" w:ascii="宋体" w:hAnsi="宋体"/>
          <w:sz w:val="24"/>
        </w:rPr>
        <w:t>字样及</w:t>
      </w:r>
      <w:r>
        <w:rPr>
          <w:rFonts w:hint="eastAsia" w:ascii="宋体" w:hAnsi="宋体"/>
          <w:b/>
          <w:bCs/>
          <w:sz w:val="24"/>
          <w:u w:val="single"/>
        </w:rPr>
        <w:t>“清单目录”</w:t>
      </w:r>
      <w:r>
        <w:rPr>
          <w:rFonts w:hint="eastAsia" w:ascii="宋体" w:hAnsi="宋体"/>
          <w:sz w:val="24"/>
        </w:rPr>
        <w:t>，响应时递交，资格审查结束后退还。</w:t>
      </w:r>
    </w:p>
    <w:p>
      <w:pPr>
        <w:spacing w:line="360" w:lineRule="auto"/>
        <w:ind w:firstLine="480"/>
        <w:rPr>
          <w:rFonts w:ascii="宋体" w:hAnsi="宋体"/>
          <w:sz w:val="24"/>
        </w:rPr>
      </w:pPr>
      <w:r>
        <w:rPr>
          <w:rFonts w:hint="eastAsia" w:ascii="宋体" w:hAnsi="宋体"/>
          <w:b/>
          <w:bCs/>
          <w:sz w:val="24"/>
          <w:u w:val="single"/>
        </w:rPr>
        <w:t>供应商若不能按照本须知2.3条要求提供全部证明材料原件，其响应将被拒绝。</w:t>
      </w:r>
      <w:bookmarkEnd w:id="85"/>
    </w:p>
    <w:bookmarkEnd w:id="86"/>
    <w:p>
      <w:pPr>
        <w:spacing w:line="360" w:lineRule="auto"/>
        <w:ind w:firstLine="480"/>
        <w:rPr>
          <w:rFonts w:ascii="宋体" w:hAnsi="宋体"/>
          <w:b/>
          <w:bCs/>
          <w:sz w:val="24"/>
          <w:u w:val="single"/>
        </w:rPr>
      </w:pPr>
      <w:r>
        <w:rPr>
          <w:rFonts w:hint="eastAsia" w:ascii="宋体" w:hAnsi="宋体"/>
          <w:sz w:val="24"/>
        </w:rPr>
        <w:t>15.5</w:t>
      </w:r>
      <w:r>
        <w:rPr>
          <w:rFonts w:hint="eastAsia" w:ascii="宋体" w:hAnsi="宋体"/>
          <w:b/>
          <w:bCs/>
          <w:sz w:val="24"/>
          <w:u w:val="single"/>
        </w:rPr>
        <w:t>“评审证明材料”（如果有）</w:t>
      </w:r>
      <w:r>
        <w:rPr>
          <w:rFonts w:hint="eastAsia" w:ascii="宋体" w:hAnsi="宋体"/>
          <w:sz w:val="24"/>
        </w:rPr>
        <w:t>按照评审表要求内容组成，封口处应有供应商法定代表人或授权人代表签字及供应商公章。封皮上写明采购项目名称、采购项目编号、供应商名称、标段（如果有）、包号（如果有），并注明</w:t>
      </w:r>
      <w:r>
        <w:rPr>
          <w:rFonts w:hint="eastAsia" w:ascii="宋体" w:hAnsi="宋体"/>
          <w:b/>
          <w:bCs/>
          <w:sz w:val="24"/>
          <w:u w:val="single"/>
        </w:rPr>
        <w:t>“评审证明材料”</w:t>
      </w:r>
      <w:r>
        <w:rPr>
          <w:rFonts w:hint="eastAsia" w:ascii="宋体" w:hAnsi="宋体"/>
          <w:sz w:val="24"/>
        </w:rPr>
        <w:t>字样及</w:t>
      </w:r>
      <w:r>
        <w:rPr>
          <w:rFonts w:hint="eastAsia" w:ascii="宋体" w:hAnsi="宋体"/>
          <w:b/>
          <w:bCs/>
          <w:sz w:val="24"/>
          <w:u w:val="single"/>
        </w:rPr>
        <w:t>“清单目录”</w:t>
      </w:r>
      <w:r>
        <w:rPr>
          <w:rFonts w:hint="eastAsia" w:ascii="宋体" w:hAnsi="宋体"/>
          <w:sz w:val="24"/>
        </w:rPr>
        <w:t>，响应时递交，评审结束后退还。</w:t>
      </w:r>
    </w:p>
    <w:p>
      <w:pPr>
        <w:spacing w:line="360" w:lineRule="auto"/>
        <w:ind w:firstLine="480"/>
        <w:rPr>
          <w:rFonts w:ascii="宋体" w:hAnsi="宋体"/>
          <w:sz w:val="24"/>
        </w:rPr>
      </w:pPr>
      <w:r>
        <w:rPr>
          <w:rFonts w:hint="eastAsia" w:ascii="宋体" w:hAnsi="宋体"/>
          <w:sz w:val="24"/>
        </w:rPr>
        <w:t>15.6如果供应商未按上述要求密封及加写标记，将有可能导致响应无效。</w:t>
      </w:r>
    </w:p>
    <w:p>
      <w:pPr>
        <w:spacing w:line="360" w:lineRule="auto"/>
        <w:ind w:firstLine="482" w:firstLineChars="200"/>
        <w:rPr>
          <w:rFonts w:ascii="宋体" w:hAnsi="宋体"/>
          <w:b/>
          <w:bCs/>
          <w:sz w:val="24"/>
        </w:rPr>
      </w:pPr>
      <w:r>
        <w:rPr>
          <w:rFonts w:hint="eastAsia" w:ascii="宋体" w:hAnsi="宋体"/>
          <w:b/>
          <w:bCs/>
          <w:sz w:val="24"/>
        </w:rPr>
        <w:t>16.响应文件递交</w:t>
      </w:r>
    </w:p>
    <w:p>
      <w:pPr>
        <w:tabs>
          <w:tab w:val="left" w:pos="525"/>
        </w:tabs>
        <w:spacing w:line="360" w:lineRule="auto"/>
        <w:ind w:firstLine="480" w:firstLineChars="200"/>
        <w:rPr>
          <w:rFonts w:ascii="宋体" w:hAnsi="宋体"/>
          <w:sz w:val="24"/>
        </w:rPr>
      </w:pPr>
      <w:r>
        <w:rPr>
          <w:rFonts w:hint="eastAsia" w:ascii="宋体" w:hAnsi="宋体"/>
          <w:sz w:val="24"/>
        </w:rPr>
        <w:t>16.1供应商必须在磋商文件规定的时间和地点，将全部响应文件递交至磋商现场；</w:t>
      </w:r>
    </w:p>
    <w:p>
      <w:pPr>
        <w:tabs>
          <w:tab w:val="left" w:pos="525"/>
        </w:tabs>
        <w:spacing w:line="360" w:lineRule="auto"/>
        <w:ind w:firstLine="480" w:firstLineChars="200"/>
        <w:rPr>
          <w:rFonts w:ascii="宋体" w:hAnsi="宋体"/>
          <w:sz w:val="24"/>
        </w:rPr>
      </w:pPr>
      <w:r>
        <w:rPr>
          <w:rFonts w:hint="eastAsia" w:ascii="宋体" w:hAnsi="宋体"/>
          <w:sz w:val="24"/>
        </w:rPr>
        <w:t>16.2采购代理机构工作人员在磋商文件规定的响应文件递交截止时间前，只负责响应文件的接收、清点、造册登记工作，并请法定代表人或被授权人签字确认，对其有效性不负任何责任；</w:t>
      </w:r>
    </w:p>
    <w:p>
      <w:pPr>
        <w:tabs>
          <w:tab w:val="left" w:pos="525"/>
        </w:tabs>
        <w:spacing w:line="360" w:lineRule="auto"/>
        <w:ind w:firstLine="480" w:firstLineChars="200"/>
        <w:rPr>
          <w:rFonts w:ascii="宋体" w:hAnsi="宋体"/>
          <w:sz w:val="24"/>
        </w:rPr>
      </w:pPr>
      <w:r>
        <w:rPr>
          <w:rFonts w:hint="eastAsia" w:ascii="宋体" w:hAnsi="宋体"/>
          <w:sz w:val="24"/>
        </w:rPr>
        <w:t>16.3采购代理机构在宣布递交响应文件截止时间之后，拒绝接收任何人送达、递交的响应文件；</w:t>
      </w:r>
    </w:p>
    <w:p>
      <w:pPr>
        <w:tabs>
          <w:tab w:val="left" w:pos="525"/>
        </w:tabs>
        <w:spacing w:line="360" w:lineRule="auto"/>
        <w:ind w:firstLine="480" w:firstLineChars="200"/>
        <w:rPr>
          <w:rFonts w:ascii="宋体" w:hAnsi="宋体"/>
          <w:sz w:val="24"/>
        </w:rPr>
      </w:pPr>
      <w:r>
        <w:rPr>
          <w:rFonts w:hint="eastAsia" w:ascii="宋体" w:hAnsi="宋体"/>
          <w:sz w:val="24"/>
        </w:rPr>
        <w:t>16.4无论供应商成交与否或者响应无效，其响应文件恕不退还。</w:t>
      </w:r>
    </w:p>
    <w:p>
      <w:pPr>
        <w:spacing w:line="360" w:lineRule="auto"/>
        <w:ind w:firstLine="482" w:firstLineChars="200"/>
        <w:rPr>
          <w:rFonts w:ascii="宋体" w:hAnsi="宋体"/>
          <w:b/>
          <w:bCs/>
          <w:sz w:val="24"/>
        </w:rPr>
      </w:pPr>
      <w:r>
        <w:rPr>
          <w:rFonts w:hint="eastAsia" w:ascii="宋体" w:hAnsi="宋体"/>
          <w:b/>
          <w:bCs/>
          <w:sz w:val="24"/>
        </w:rPr>
        <w:t>17.响应截止时间</w:t>
      </w:r>
    </w:p>
    <w:p>
      <w:pPr>
        <w:tabs>
          <w:tab w:val="left" w:pos="525"/>
        </w:tabs>
        <w:spacing w:line="360" w:lineRule="auto"/>
        <w:ind w:firstLine="480" w:firstLineChars="200"/>
        <w:rPr>
          <w:rFonts w:ascii="宋体" w:hAnsi="宋体"/>
          <w:sz w:val="24"/>
        </w:rPr>
      </w:pPr>
      <w:r>
        <w:rPr>
          <w:rFonts w:hint="eastAsia" w:ascii="宋体" w:hAnsi="宋体"/>
          <w:sz w:val="24"/>
        </w:rPr>
        <w:t>17.1供应商必须在磋商文件规定的递交截止时间之前递交响应文件，采购代理机构在截止时间后拒绝接收任何响应文件。</w:t>
      </w:r>
    </w:p>
    <w:p>
      <w:pPr>
        <w:tabs>
          <w:tab w:val="left" w:pos="525"/>
        </w:tabs>
        <w:spacing w:line="360" w:lineRule="auto"/>
        <w:ind w:firstLine="480" w:firstLineChars="200"/>
        <w:rPr>
          <w:rFonts w:ascii="宋体" w:hAnsi="宋体"/>
          <w:sz w:val="24"/>
        </w:rPr>
      </w:pPr>
      <w:r>
        <w:rPr>
          <w:rFonts w:hint="eastAsia" w:ascii="宋体" w:hAnsi="宋体"/>
          <w:sz w:val="24"/>
        </w:rPr>
        <w:t>17.2因采购单位推迟响应截止时间时，采购代理机构应以书面（或传真）的形式,通知所有供应商；在这种情况下，采购代理机构和供应商的权利和义务将受到新的截止期的约束。</w:t>
      </w:r>
    </w:p>
    <w:p>
      <w:pPr>
        <w:spacing w:line="360" w:lineRule="auto"/>
        <w:ind w:firstLine="482" w:firstLineChars="200"/>
        <w:rPr>
          <w:rFonts w:ascii="宋体" w:hAnsi="宋体"/>
          <w:b/>
          <w:bCs/>
          <w:sz w:val="24"/>
        </w:rPr>
      </w:pPr>
      <w:r>
        <w:rPr>
          <w:rFonts w:hint="eastAsia" w:ascii="宋体" w:hAnsi="宋体"/>
          <w:b/>
          <w:bCs/>
          <w:sz w:val="24"/>
        </w:rPr>
        <w:t>18.响应文件的修改和撤回</w:t>
      </w:r>
    </w:p>
    <w:p>
      <w:pPr>
        <w:tabs>
          <w:tab w:val="left" w:pos="525"/>
        </w:tabs>
        <w:spacing w:line="360" w:lineRule="auto"/>
        <w:ind w:firstLine="480" w:firstLineChars="200"/>
        <w:rPr>
          <w:rFonts w:ascii="宋体" w:hAnsi="宋体"/>
          <w:sz w:val="24"/>
        </w:rPr>
      </w:pPr>
      <w:r>
        <w:rPr>
          <w:rFonts w:hint="eastAsia" w:ascii="宋体" w:hAnsi="宋体"/>
          <w:sz w:val="24"/>
        </w:rPr>
        <w:t>18.1响应文件递交后，如果供应商提出书面修改、补充和撤回响应文件要求，在响应截止时间前以书面形式送达采购代理机构；</w:t>
      </w:r>
    </w:p>
    <w:p>
      <w:pPr>
        <w:tabs>
          <w:tab w:val="left" w:pos="525"/>
        </w:tabs>
        <w:spacing w:line="360" w:lineRule="auto"/>
        <w:ind w:firstLine="480" w:firstLineChars="200"/>
        <w:rPr>
          <w:rFonts w:ascii="宋体" w:hAnsi="宋体"/>
          <w:sz w:val="24"/>
        </w:rPr>
      </w:pPr>
      <w:r>
        <w:rPr>
          <w:rFonts w:hint="eastAsia" w:ascii="宋体" w:hAnsi="宋体"/>
          <w:sz w:val="24"/>
        </w:rPr>
        <w:t>18.2供应商修改响应文件的书面材料，须密封送达采购代理机构，修改或补充的内容应按磋商文件要求签署、盖章、密封、标记，并作为响应文件的组成部分；</w:t>
      </w:r>
    </w:p>
    <w:p>
      <w:pPr>
        <w:tabs>
          <w:tab w:val="left" w:pos="525"/>
        </w:tabs>
        <w:spacing w:line="360" w:lineRule="auto"/>
        <w:ind w:firstLine="480" w:firstLineChars="200"/>
        <w:rPr>
          <w:rFonts w:ascii="宋体" w:hAnsi="宋体"/>
          <w:sz w:val="24"/>
        </w:rPr>
      </w:pPr>
      <w:r>
        <w:rPr>
          <w:rFonts w:hint="eastAsia" w:ascii="宋体" w:hAnsi="宋体"/>
          <w:sz w:val="24"/>
        </w:rPr>
        <w:t>18.3撤回响应文件应以书面形式通知采购代理机构；</w:t>
      </w:r>
    </w:p>
    <w:p>
      <w:pPr>
        <w:tabs>
          <w:tab w:val="left" w:pos="525"/>
        </w:tabs>
        <w:spacing w:line="360" w:lineRule="auto"/>
        <w:ind w:firstLine="480" w:firstLineChars="200"/>
        <w:rPr>
          <w:rFonts w:ascii="宋体" w:hAnsi="宋体"/>
          <w:sz w:val="24"/>
        </w:rPr>
      </w:pPr>
      <w:r>
        <w:rPr>
          <w:rFonts w:hint="eastAsia" w:ascii="宋体" w:hAnsi="宋体"/>
          <w:sz w:val="24"/>
        </w:rPr>
        <w:t>18.4在响应截止时间后到磋商文件规定的响应有效期满之间的这段时间内，供应商不得撤回其响应文件；</w:t>
      </w:r>
    </w:p>
    <w:p>
      <w:pPr>
        <w:spacing w:line="360" w:lineRule="auto"/>
        <w:ind w:firstLine="480" w:firstLineChars="200"/>
        <w:rPr>
          <w:rFonts w:ascii="宋体" w:hAnsi="宋体"/>
          <w:sz w:val="24"/>
        </w:rPr>
      </w:pPr>
      <w:r>
        <w:rPr>
          <w:rFonts w:hint="eastAsia" w:ascii="宋体" w:hAnsi="宋体"/>
          <w:sz w:val="24"/>
        </w:rPr>
        <w:t>18.5供应商在响应文件递交截止时间后，不得对其响应文件做任何修改。</w:t>
      </w:r>
      <w:bookmarkStart w:id="87" w:name="_Toc11068"/>
    </w:p>
    <w:p>
      <w:pPr>
        <w:spacing w:line="360" w:lineRule="auto"/>
        <w:ind w:firstLine="480" w:firstLineChars="200"/>
        <w:rPr>
          <w:rFonts w:ascii="仿宋_GB2312" w:hAnsi="仿宋" w:eastAsia="仿宋_GB2312" w:cs="仿宋"/>
          <w:sz w:val="24"/>
        </w:rPr>
      </w:pPr>
    </w:p>
    <w:p>
      <w:pPr>
        <w:spacing w:line="360" w:lineRule="auto"/>
        <w:ind w:firstLine="481"/>
        <w:jc w:val="left"/>
        <w:outlineLvl w:val="1"/>
        <w:rPr>
          <w:rFonts w:ascii="黑体" w:hAnsi="黑体" w:eastAsia="黑体" w:cs="黑体"/>
          <w:b/>
          <w:sz w:val="24"/>
        </w:rPr>
      </w:pPr>
      <w:bookmarkStart w:id="88" w:name="_Toc5241"/>
      <w:bookmarkStart w:id="89" w:name="_Toc23398"/>
      <w:r>
        <w:rPr>
          <w:rFonts w:hint="eastAsia" w:ascii="黑体" w:hAnsi="黑体" w:eastAsia="黑体" w:cs="黑体"/>
          <w:b/>
          <w:sz w:val="24"/>
        </w:rPr>
        <w:t>五、</w:t>
      </w:r>
      <w:bookmarkEnd w:id="87"/>
      <w:r>
        <w:rPr>
          <w:rFonts w:hint="eastAsia" w:ascii="黑体" w:hAnsi="黑体" w:eastAsia="黑体" w:cs="黑体"/>
          <w:b/>
          <w:sz w:val="24"/>
        </w:rPr>
        <w:t>磋商、评审、成交</w:t>
      </w:r>
      <w:bookmarkEnd w:id="88"/>
      <w:bookmarkEnd w:id="89"/>
    </w:p>
    <w:p>
      <w:pPr>
        <w:spacing w:line="360" w:lineRule="auto"/>
        <w:ind w:firstLine="481"/>
        <w:jc w:val="left"/>
        <w:rPr>
          <w:rFonts w:ascii="宋体" w:hAnsi="宋体"/>
          <w:b/>
          <w:bCs/>
          <w:sz w:val="24"/>
          <w:u w:val="single"/>
        </w:rPr>
      </w:pPr>
      <w:bookmarkStart w:id="90" w:name="_Toc14491"/>
      <w:bookmarkStart w:id="91" w:name="_Toc10941"/>
      <w:bookmarkStart w:id="92" w:name="_Toc13499"/>
      <w:r>
        <w:rPr>
          <w:rFonts w:hint="eastAsia" w:ascii="宋体" w:hAnsi="宋体"/>
          <w:b/>
          <w:bCs/>
          <w:sz w:val="24"/>
          <w:u w:val="single"/>
        </w:rPr>
        <w:t>19.见磋商文件第四部分。</w:t>
      </w:r>
      <w:bookmarkEnd w:id="90"/>
      <w:bookmarkEnd w:id="91"/>
      <w:bookmarkEnd w:id="92"/>
    </w:p>
    <w:p>
      <w:pPr>
        <w:spacing w:line="360" w:lineRule="auto"/>
        <w:ind w:firstLine="481"/>
        <w:jc w:val="left"/>
        <w:rPr>
          <w:rFonts w:ascii="仿宋_GB2312" w:hAnsi="仿宋" w:eastAsia="仿宋_GB2312" w:cs="仿宋"/>
          <w:b/>
          <w:bCs/>
          <w:sz w:val="24"/>
          <w:u w:val="single"/>
        </w:rPr>
      </w:pPr>
    </w:p>
    <w:p>
      <w:pPr>
        <w:spacing w:line="360" w:lineRule="auto"/>
        <w:ind w:firstLine="481"/>
        <w:jc w:val="left"/>
        <w:outlineLvl w:val="1"/>
        <w:rPr>
          <w:rFonts w:ascii="黑体" w:hAnsi="黑体" w:eastAsia="黑体" w:cs="黑体"/>
          <w:b/>
          <w:sz w:val="24"/>
        </w:rPr>
      </w:pPr>
      <w:bookmarkStart w:id="93" w:name="_Toc10860"/>
      <w:bookmarkStart w:id="94" w:name="_Toc22007"/>
      <w:r>
        <w:rPr>
          <w:rFonts w:hint="eastAsia" w:ascii="黑体" w:hAnsi="黑体" w:eastAsia="黑体" w:cs="黑体"/>
          <w:b/>
          <w:sz w:val="24"/>
        </w:rPr>
        <w:t>六、响应纪律要求</w:t>
      </w:r>
      <w:bookmarkEnd w:id="93"/>
      <w:bookmarkEnd w:id="94"/>
    </w:p>
    <w:p>
      <w:pPr>
        <w:spacing w:line="360" w:lineRule="auto"/>
        <w:ind w:firstLine="482" w:firstLineChars="200"/>
        <w:rPr>
          <w:rFonts w:ascii="宋体" w:hAnsi="宋体"/>
          <w:b/>
          <w:bCs/>
          <w:sz w:val="24"/>
        </w:rPr>
      </w:pPr>
      <w:bookmarkStart w:id="95" w:name="_Toc217446075"/>
      <w:bookmarkStart w:id="96" w:name="_Toc308164816"/>
      <w:r>
        <w:rPr>
          <w:rFonts w:hint="eastAsia" w:ascii="宋体" w:hAnsi="宋体"/>
          <w:b/>
          <w:bCs/>
          <w:sz w:val="24"/>
        </w:rPr>
        <w:t>20.供应商不得具有的情形</w:t>
      </w:r>
      <w:bookmarkEnd w:id="95"/>
      <w:bookmarkEnd w:id="96"/>
    </w:p>
    <w:p>
      <w:pPr>
        <w:tabs>
          <w:tab w:val="left" w:pos="525"/>
        </w:tabs>
        <w:spacing w:line="360" w:lineRule="auto"/>
        <w:ind w:firstLine="480" w:firstLineChars="200"/>
        <w:rPr>
          <w:rFonts w:ascii="宋体" w:hAnsi="宋体"/>
          <w:sz w:val="24"/>
        </w:rPr>
      </w:pPr>
      <w:r>
        <w:rPr>
          <w:rFonts w:hint="eastAsia" w:ascii="宋体" w:hAnsi="宋体"/>
          <w:sz w:val="24"/>
        </w:rPr>
        <w:t>供应商参加本项目响应不得有下列情形：</w:t>
      </w:r>
    </w:p>
    <w:p>
      <w:pPr>
        <w:tabs>
          <w:tab w:val="left" w:pos="525"/>
        </w:tabs>
        <w:spacing w:line="360" w:lineRule="auto"/>
        <w:ind w:firstLine="480" w:firstLineChars="200"/>
        <w:rPr>
          <w:rFonts w:ascii="宋体" w:hAnsi="宋体"/>
          <w:sz w:val="24"/>
        </w:rPr>
      </w:pPr>
      <w:r>
        <w:rPr>
          <w:rFonts w:hint="eastAsia" w:ascii="宋体" w:hAnsi="宋体"/>
          <w:sz w:val="24"/>
        </w:rPr>
        <w:t>20.1提供虚假材料谋取成交；</w:t>
      </w:r>
    </w:p>
    <w:p>
      <w:pPr>
        <w:tabs>
          <w:tab w:val="left" w:pos="525"/>
        </w:tabs>
        <w:spacing w:line="360" w:lineRule="auto"/>
        <w:ind w:firstLine="480" w:firstLineChars="200"/>
        <w:rPr>
          <w:rFonts w:ascii="宋体" w:hAnsi="宋体"/>
          <w:sz w:val="24"/>
        </w:rPr>
      </w:pPr>
      <w:r>
        <w:rPr>
          <w:rFonts w:hint="eastAsia" w:ascii="宋体" w:hAnsi="宋体"/>
          <w:sz w:val="24"/>
        </w:rPr>
        <w:t>20.2采取不正当手段诋毁、排挤其他供应商；</w:t>
      </w:r>
    </w:p>
    <w:p>
      <w:pPr>
        <w:tabs>
          <w:tab w:val="left" w:pos="525"/>
        </w:tabs>
        <w:spacing w:line="360" w:lineRule="auto"/>
        <w:ind w:firstLine="480" w:firstLineChars="200"/>
        <w:rPr>
          <w:rFonts w:ascii="宋体" w:hAnsi="宋体"/>
          <w:sz w:val="24"/>
        </w:rPr>
      </w:pPr>
      <w:r>
        <w:rPr>
          <w:rFonts w:hint="eastAsia" w:ascii="宋体" w:hAnsi="宋体"/>
          <w:sz w:val="24"/>
        </w:rPr>
        <w:t>20.3与采购单位、其他供应商恶意串通；</w:t>
      </w:r>
    </w:p>
    <w:p>
      <w:pPr>
        <w:tabs>
          <w:tab w:val="left" w:pos="525"/>
        </w:tabs>
        <w:spacing w:line="360" w:lineRule="auto"/>
        <w:ind w:firstLine="480" w:firstLineChars="200"/>
        <w:rPr>
          <w:rFonts w:ascii="宋体" w:hAnsi="宋体"/>
          <w:sz w:val="24"/>
        </w:rPr>
      </w:pPr>
      <w:r>
        <w:rPr>
          <w:rFonts w:hint="eastAsia" w:ascii="宋体" w:hAnsi="宋体"/>
          <w:sz w:val="24"/>
        </w:rPr>
        <w:t>20.4成交或者成交后无正当理由拒不与采购人签订政府采购合同；</w:t>
      </w:r>
    </w:p>
    <w:p>
      <w:pPr>
        <w:tabs>
          <w:tab w:val="left" w:pos="525"/>
        </w:tabs>
        <w:spacing w:line="360" w:lineRule="auto"/>
        <w:ind w:firstLine="480" w:firstLineChars="200"/>
        <w:rPr>
          <w:rFonts w:ascii="宋体" w:hAnsi="宋体"/>
          <w:sz w:val="24"/>
        </w:rPr>
      </w:pPr>
      <w:r>
        <w:rPr>
          <w:rFonts w:hint="eastAsia" w:ascii="宋体" w:hAnsi="宋体"/>
          <w:sz w:val="24"/>
        </w:rPr>
        <w:t>20.5未按照磋商文件确定的事项签订政府采购合同；</w:t>
      </w:r>
    </w:p>
    <w:p>
      <w:pPr>
        <w:tabs>
          <w:tab w:val="left" w:pos="525"/>
        </w:tabs>
        <w:spacing w:line="360" w:lineRule="auto"/>
        <w:ind w:firstLine="480" w:firstLineChars="200"/>
        <w:rPr>
          <w:rFonts w:ascii="宋体" w:hAnsi="宋体"/>
          <w:sz w:val="24"/>
        </w:rPr>
      </w:pPr>
      <w:r>
        <w:rPr>
          <w:rFonts w:hint="eastAsia" w:ascii="宋体" w:hAnsi="宋体"/>
          <w:sz w:val="24"/>
        </w:rPr>
        <w:t>20.6将政府采购合同转包或者违规分包；</w:t>
      </w:r>
    </w:p>
    <w:p>
      <w:pPr>
        <w:tabs>
          <w:tab w:val="left" w:pos="525"/>
        </w:tabs>
        <w:spacing w:line="360" w:lineRule="auto"/>
        <w:ind w:firstLine="480" w:firstLineChars="200"/>
        <w:rPr>
          <w:rFonts w:ascii="宋体" w:hAnsi="宋体"/>
          <w:sz w:val="24"/>
        </w:rPr>
      </w:pPr>
      <w:r>
        <w:rPr>
          <w:rFonts w:hint="eastAsia" w:ascii="宋体" w:hAnsi="宋体"/>
          <w:sz w:val="24"/>
        </w:rPr>
        <w:t>20.7提供假冒伪劣产品；</w:t>
      </w:r>
    </w:p>
    <w:p>
      <w:pPr>
        <w:tabs>
          <w:tab w:val="left" w:pos="525"/>
        </w:tabs>
        <w:spacing w:line="360" w:lineRule="auto"/>
        <w:ind w:firstLine="480" w:firstLineChars="200"/>
        <w:rPr>
          <w:rFonts w:ascii="宋体" w:hAnsi="宋体"/>
          <w:sz w:val="24"/>
        </w:rPr>
      </w:pPr>
      <w:r>
        <w:rPr>
          <w:rFonts w:hint="eastAsia" w:ascii="宋体" w:hAnsi="宋体"/>
          <w:sz w:val="24"/>
        </w:rPr>
        <w:t>20.8擅自变更、中止或者终止政府采购合同；</w:t>
      </w:r>
    </w:p>
    <w:p>
      <w:pPr>
        <w:tabs>
          <w:tab w:val="left" w:pos="525"/>
        </w:tabs>
        <w:spacing w:line="360" w:lineRule="auto"/>
        <w:ind w:firstLine="480" w:firstLineChars="200"/>
        <w:rPr>
          <w:rFonts w:ascii="宋体" w:hAnsi="宋体"/>
          <w:sz w:val="24"/>
        </w:rPr>
      </w:pPr>
      <w:r>
        <w:rPr>
          <w:rFonts w:hint="eastAsia" w:ascii="宋体" w:hAnsi="宋体"/>
          <w:sz w:val="24"/>
        </w:rPr>
        <w:t>20.9拒绝有关部门的监督检查或者向监督检查部门提供虚假情况；</w:t>
      </w:r>
    </w:p>
    <w:p>
      <w:pPr>
        <w:tabs>
          <w:tab w:val="left" w:pos="525"/>
        </w:tabs>
        <w:spacing w:line="360" w:lineRule="auto"/>
        <w:ind w:firstLine="480" w:firstLineChars="200"/>
        <w:rPr>
          <w:rFonts w:ascii="宋体" w:hAnsi="宋体"/>
          <w:sz w:val="24"/>
        </w:rPr>
      </w:pPr>
      <w:r>
        <w:rPr>
          <w:rFonts w:hint="eastAsia" w:ascii="宋体" w:hAnsi="宋体"/>
          <w:sz w:val="24"/>
        </w:rPr>
        <w:t>20.10法律法规规定的其他情形。</w:t>
      </w:r>
    </w:p>
    <w:p>
      <w:pPr>
        <w:tabs>
          <w:tab w:val="left" w:pos="525"/>
        </w:tabs>
        <w:spacing w:line="360" w:lineRule="auto"/>
        <w:ind w:firstLine="480" w:firstLineChars="200"/>
        <w:rPr>
          <w:rFonts w:ascii="宋体" w:hAnsi="宋体"/>
          <w:sz w:val="24"/>
        </w:rPr>
      </w:pPr>
      <w:r>
        <w:rPr>
          <w:rFonts w:hint="eastAsia" w:ascii="宋体" w:hAnsi="宋体"/>
          <w:sz w:val="24"/>
        </w:rPr>
        <w:t>供应商有上述情形的，按照规定追究法律责任，具备20.1-20.10条情形之一的，同时将取消成交资格或者认定成交无效。</w:t>
      </w:r>
    </w:p>
    <w:p>
      <w:pPr>
        <w:tabs>
          <w:tab w:val="left" w:pos="525"/>
        </w:tabs>
        <w:spacing w:line="360" w:lineRule="auto"/>
        <w:ind w:firstLine="480" w:firstLineChars="200"/>
        <w:rPr>
          <w:rFonts w:ascii="宋体" w:hAnsi="宋体"/>
          <w:sz w:val="24"/>
        </w:rPr>
      </w:pPr>
    </w:p>
    <w:p>
      <w:pPr>
        <w:spacing w:line="360" w:lineRule="auto"/>
        <w:ind w:firstLine="481"/>
        <w:jc w:val="left"/>
        <w:outlineLvl w:val="1"/>
        <w:rPr>
          <w:rFonts w:ascii="黑体" w:hAnsi="黑体" w:eastAsia="黑体" w:cs="黑体"/>
          <w:b/>
          <w:sz w:val="24"/>
        </w:rPr>
      </w:pPr>
      <w:bookmarkStart w:id="97" w:name="_Toc19542"/>
      <w:bookmarkStart w:id="98" w:name="_Toc9216"/>
      <w:r>
        <w:rPr>
          <w:rFonts w:hint="eastAsia" w:ascii="黑体" w:hAnsi="黑体" w:eastAsia="黑体" w:cs="黑体"/>
          <w:b/>
          <w:sz w:val="24"/>
        </w:rPr>
        <w:t>七、询问、质疑、投诉</w:t>
      </w:r>
      <w:bookmarkEnd w:id="97"/>
      <w:bookmarkEnd w:id="98"/>
    </w:p>
    <w:p>
      <w:pPr>
        <w:spacing w:line="360" w:lineRule="auto"/>
        <w:ind w:firstLine="481"/>
        <w:rPr>
          <w:rFonts w:ascii="宋体" w:hAnsi="宋体"/>
          <w:b/>
          <w:bCs/>
          <w:sz w:val="24"/>
        </w:rPr>
      </w:pPr>
      <w:bookmarkStart w:id="99" w:name="_Toc5895"/>
      <w:bookmarkStart w:id="100" w:name="_Toc7574"/>
      <w:bookmarkStart w:id="101" w:name="_Toc1395"/>
      <w:bookmarkStart w:id="102" w:name="_Toc21371"/>
      <w:r>
        <w:rPr>
          <w:rFonts w:hint="eastAsia" w:ascii="宋体" w:hAnsi="宋体"/>
          <w:b/>
          <w:bCs/>
          <w:sz w:val="24"/>
        </w:rPr>
        <w:t>21.询问</w:t>
      </w:r>
      <w:bookmarkEnd w:id="99"/>
      <w:bookmarkEnd w:id="100"/>
      <w:bookmarkEnd w:id="101"/>
      <w:bookmarkEnd w:id="102"/>
    </w:p>
    <w:p>
      <w:pPr>
        <w:spacing w:line="360" w:lineRule="auto"/>
        <w:ind w:firstLine="480" w:firstLineChars="200"/>
        <w:rPr>
          <w:rFonts w:ascii="宋体" w:hAnsi="宋体"/>
          <w:sz w:val="24"/>
        </w:rPr>
      </w:pPr>
      <w:r>
        <w:rPr>
          <w:rFonts w:hint="eastAsia" w:ascii="宋体" w:hAnsi="宋体"/>
          <w:sz w:val="24"/>
        </w:rPr>
        <w:t>21.1供应商对政府采购活动事项（磋商文件、采购过程和成交结果）有疑问的，可以向采购人或采购代理机构提出询问；</w:t>
      </w:r>
    </w:p>
    <w:p>
      <w:pPr>
        <w:spacing w:line="360" w:lineRule="auto"/>
        <w:ind w:firstLine="480" w:firstLineChars="200"/>
        <w:rPr>
          <w:rFonts w:ascii="宋体" w:hAnsi="宋体"/>
          <w:sz w:val="24"/>
        </w:rPr>
      </w:pPr>
      <w:r>
        <w:rPr>
          <w:rFonts w:hint="eastAsia" w:ascii="宋体" w:hAnsi="宋体"/>
          <w:sz w:val="24"/>
        </w:rPr>
        <w:t>如果供应商向采购代理机构提出的询问超出采购人对采购代理机构委托授权范围的，采购代理机构将告知供应商向采购人提出。</w:t>
      </w:r>
    </w:p>
    <w:p>
      <w:pPr>
        <w:spacing w:line="360" w:lineRule="auto"/>
        <w:ind w:firstLine="480" w:firstLineChars="200"/>
        <w:rPr>
          <w:rFonts w:ascii="宋体" w:hAnsi="宋体"/>
          <w:sz w:val="24"/>
        </w:rPr>
      </w:pPr>
      <w:r>
        <w:rPr>
          <w:rFonts w:hint="eastAsia" w:ascii="宋体" w:hAnsi="宋体"/>
          <w:sz w:val="24"/>
        </w:rPr>
        <w:t>21.2询问可以口头方式提出，也可以书面方式提出，书面方式包括但不限于传真、信函、电子邮件；</w:t>
      </w:r>
    </w:p>
    <w:p>
      <w:pPr>
        <w:spacing w:line="360" w:lineRule="auto"/>
        <w:ind w:firstLine="480" w:firstLineChars="200"/>
        <w:rPr>
          <w:rFonts w:ascii="宋体" w:hAnsi="宋体"/>
          <w:sz w:val="24"/>
        </w:rPr>
      </w:pPr>
      <w:r>
        <w:rPr>
          <w:rFonts w:hint="eastAsia" w:ascii="宋体" w:hAnsi="宋体"/>
          <w:sz w:val="24"/>
        </w:rPr>
        <w:t>联系方式见《磋商邀请函》中“采购人、采购代理机构的名称、地址和联系方式”。</w:t>
      </w:r>
    </w:p>
    <w:p>
      <w:pPr>
        <w:spacing w:line="360" w:lineRule="auto"/>
        <w:ind w:firstLine="480" w:firstLineChars="200"/>
        <w:rPr>
          <w:rFonts w:ascii="宋体" w:hAnsi="宋体"/>
          <w:sz w:val="24"/>
        </w:rPr>
      </w:pPr>
      <w:r>
        <w:rPr>
          <w:rFonts w:hint="eastAsia" w:ascii="宋体" w:hAnsi="宋体"/>
          <w:sz w:val="24"/>
        </w:rPr>
        <w:t>21.3采购代理机构或采购人将在三个工作日内对供应商依法提出的询问作出答复，但答复的内容不涉及商业秘密。</w:t>
      </w:r>
    </w:p>
    <w:p>
      <w:pPr>
        <w:spacing w:line="360" w:lineRule="auto"/>
        <w:ind w:firstLine="482" w:firstLineChars="200"/>
        <w:rPr>
          <w:rFonts w:ascii="宋体" w:hAnsi="宋体"/>
          <w:b/>
          <w:bCs/>
          <w:sz w:val="24"/>
        </w:rPr>
      </w:pPr>
      <w:r>
        <w:rPr>
          <w:rFonts w:hint="eastAsia" w:ascii="宋体" w:hAnsi="宋体"/>
          <w:b/>
          <w:bCs/>
          <w:sz w:val="24"/>
        </w:rPr>
        <w:t>22.质疑</w:t>
      </w:r>
    </w:p>
    <w:p>
      <w:pPr>
        <w:spacing w:line="360" w:lineRule="auto"/>
        <w:ind w:firstLine="480" w:firstLineChars="200"/>
        <w:rPr>
          <w:rFonts w:ascii="宋体" w:hAnsi="宋体"/>
          <w:sz w:val="24"/>
        </w:rPr>
      </w:pPr>
      <w:r>
        <w:rPr>
          <w:rFonts w:hint="eastAsia" w:ascii="宋体" w:hAnsi="宋体"/>
          <w:sz w:val="24"/>
        </w:rPr>
        <w:t>22.1供应商认为政府采购活动事项（磋商文件、采购过程和成交结果）使自身的合法权益受到损害，可以在法定期限内，以书面形式向采购代理机构或采购人提出质疑；</w:t>
      </w:r>
    </w:p>
    <w:p>
      <w:pPr>
        <w:spacing w:line="360" w:lineRule="auto"/>
        <w:ind w:firstLine="480" w:firstLineChars="200"/>
        <w:rPr>
          <w:rFonts w:ascii="宋体" w:hAnsi="宋体"/>
          <w:sz w:val="24"/>
        </w:rPr>
      </w:pPr>
      <w:r>
        <w:rPr>
          <w:rFonts w:hint="eastAsia" w:ascii="宋体" w:hAnsi="宋体"/>
          <w:sz w:val="24"/>
        </w:rPr>
        <w:t>如果供应商向采购代理机构提出的质疑超出采购人对采购代理机构委托授权范围的，采购代理机构将告知供应商向采购人提出。</w:t>
      </w:r>
    </w:p>
    <w:p>
      <w:pPr>
        <w:spacing w:line="360" w:lineRule="auto"/>
        <w:ind w:firstLine="480" w:firstLineChars="200"/>
        <w:rPr>
          <w:rFonts w:ascii="宋体" w:hAnsi="宋体"/>
          <w:sz w:val="24"/>
        </w:rPr>
      </w:pPr>
      <w:r>
        <w:rPr>
          <w:rFonts w:hint="eastAsia" w:ascii="宋体" w:hAnsi="宋体"/>
          <w:sz w:val="24"/>
        </w:rPr>
        <w:t xml:space="preserve">22.2质疑书应当有明确的请求和必要的证明材料，捏造事实、提供虚假材料或者以非法手段取得证明材料不能作为质疑、投诉的证明材料(依据《中华人民共和国政府采购法实施条例》第五十七条）； </w:t>
      </w:r>
    </w:p>
    <w:p>
      <w:pPr>
        <w:spacing w:line="360" w:lineRule="auto"/>
        <w:ind w:firstLine="480" w:firstLineChars="200"/>
        <w:rPr>
          <w:rFonts w:ascii="宋体" w:hAnsi="宋体"/>
          <w:sz w:val="24"/>
        </w:rPr>
      </w:pPr>
      <w:r>
        <w:rPr>
          <w:rFonts w:hint="eastAsia" w:ascii="宋体" w:hAnsi="宋体"/>
          <w:sz w:val="24"/>
        </w:rPr>
        <w:t>质疑书应当包括但不限于以下主要内容：被质疑项目名称、项目编号、标段（如果有）、采购公告发布时间、质疑事项、权益受损害的情况说明及受损害的原因、证据材料、法律依据（具体条款）、质疑供应商有效联系方式等。</w:t>
      </w:r>
    </w:p>
    <w:p>
      <w:pPr>
        <w:spacing w:line="360" w:lineRule="auto"/>
        <w:ind w:firstLine="480" w:firstLineChars="200"/>
        <w:rPr>
          <w:rFonts w:ascii="宋体" w:hAnsi="宋体"/>
          <w:sz w:val="24"/>
        </w:rPr>
      </w:pPr>
      <w:r>
        <w:rPr>
          <w:rFonts w:hint="eastAsia" w:ascii="宋体" w:hAnsi="宋体"/>
          <w:sz w:val="24"/>
        </w:rPr>
        <w:t>22.3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pPr>
        <w:spacing w:line="360" w:lineRule="auto"/>
        <w:ind w:firstLine="480" w:firstLineChars="200"/>
        <w:rPr>
          <w:rFonts w:ascii="宋体" w:hAnsi="宋体"/>
          <w:sz w:val="24"/>
        </w:rPr>
      </w:pPr>
      <w:r>
        <w:rPr>
          <w:rFonts w:hint="eastAsia" w:ascii="宋体" w:hAnsi="宋体"/>
          <w:sz w:val="24"/>
        </w:rPr>
        <w:t>22.4有下列情形之一的，属于无效质疑，采购代理机构和采购人可不予受理：</w:t>
      </w:r>
    </w:p>
    <w:p>
      <w:pPr>
        <w:spacing w:line="360" w:lineRule="auto"/>
        <w:ind w:firstLine="480" w:firstLineChars="200"/>
        <w:rPr>
          <w:rFonts w:ascii="宋体" w:hAnsi="宋体"/>
          <w:sz w:val="24"/>
        </w:rPr>
      </w:pPr>
      <w:r>
        <w:rPr>
          <w:rFonts w:hint="eastAsia" w:ascii="宋体" w:hAnsi="宋体"/>
          <w:sz w:val="24"/>
        </w:rPr>
        <w:t>22.4.1质疑供应商不是参与本次政府采购项目的供应商或潜在供应商；</w:t>
      </w:r>
    </w:p>
    <w:p>
      <w:pPr>
        <w:spacing w:line="360" w:lineRule="auto"/>
        <w:ind w:firstLine="480" w:firstLineChars="200"/>
        <w:rPr>
          <w:rFonts w:ascii="宋体" w:hAnsi="宋体"/>
          <w:sz w:val="24"/>
        </w:rPr>
      </w:pPr>
      <w:r>
        <w:rPr>
          <w:rFonts w:hint="eastAsia" w:ascii="宋体" w:hAnsi="宋体"/>
          <w:sz w:val="24"/>
        </w:rPr>
        <w:t>22.4.2质疑供应商与质疑事项不存在利害关系的；</w:t>
      </w:r>
    </w:p>
    <w:p>
      <w:pPr>
        <w:spacing w:line="360" w:lineRule="auto"/>
        <w:ind w:firstLine="480" w:firstLineChars="200"/>
        <w:rPr>
          <w:rFonts w:ascii="宋体" w:hAnsi="宋体"/>
          <w:sz w:val="24"/>
        </w:rPr>
      </w:pPr>
      <w:r>
        <w:rPr>
          <w:rFonts w:hint="eastAsia" w:ascii="宋体" w:hAnsi="宋体"/>
          <w:sz w:val="24"/>
        </w:rPr>
        <w:t>22.4.3未在法定期限内提出质疑的；</w:t>
      </w:r>
    </w:p>
    <w:p>
      <w:pPr>
        <w:spacing w:line="360" w:lineRule="auto"/>
        <w:ind w:firstLine="480" w:firstLineChars="200"/>
        <w:rPr>
          <w:rFonts w:ascii="宋体" w:hAnsi="宋体"/>
          <w:sz w:val="24"/>
        </w:rPr>
      </w:pPr>
      <w:r>
        <w:rPr>
          <w:rFonts w:hint="eastAsia" w:ascii="宋体" w:hAnsi="宋体"/>
          <w:sz w:val="24"/>
        </w:rPr>
        <w:t>22.4.4质疑未以书面形式提出，或质疑书主要内容构成不完整的；</w:t>
      </w:r>
    </w:p>
    <w:p>
      <w:pPr>
        <w:spacing w:line="360" w:lineRule="auto"/>
        <w:ind w:firstLine="480" w:firstLineChars="200"/>
        <w:rPr>
          <w:rFonts w:ascii="宋体" w:hAnsi="宋体"/>
          <w:sz w:val="24"/>
        </w:rPr>
      </w:pPr>
      <w:r>
        <w:rPr>
          <w:rFonts w:hint="eastAsia" w:ascii="宋体" w:hAnsi="宋体"/>
          <w:sz w:val="24"/>
        </w:rPr>
        <w:t>22.4.5质疑书没有合法有效的签字、盖章或授权的；</w:t>
      </w:r>
    </w:p>
    <w:p>
      <w:pPr>
        <w:spacing w:line="360" w:lineRule="auto"/>
        <w:ind w:firstLine="480" w:firstLineChars="200"/>
        <w:rPr>
          <w:rFonts w:ascii="宋体" w:hAnsi="宋体"/>
          <w:sz w:val="24"/>
        </w:rPr>
      </w:pPr>
      <w:r>
        <w:rPr>
          <w:rFonts w:hint="eastAsia" w:ascii="宋体" w:hAnsi="宋体"/>
          <w:sz w:val="24"/>
        </w:rPr>
        <w:t>22.4.6以非法手段取得证据、材料的；</w:t>
      </w:r>
    </w:p>
    <w:p>
      <w:pPr>
        <w:spacing w:line="360" w:lineRule="auto"/>
        <w:ind w:firstLine="480" w:firstLineChars="200"/>
        <w:rPr>
          <w:rFonts w:ascii="宋体" w:hAnsi="宋体"/>
          <w:sz w:val="24"/>
        </w:rPr>
      </w:pPr>
      <w:r>
        <w:rPr>
          <w:rFonts w:hint="eastAsia" w:ascii="宋体" w:hAnsi="宋体"/>
          <w:sz w:val="24"/>
        </w:rPr>
        <w:t>22.4.7质疑答复后，同一质疑供应商就同一事项再次提出质疑的；</w:t>
      </w:r>
    </w:p>
    <w:p>
      <w:pPr>
        <w:spacing w:line="360" w:lineRule="auto"/>
        <w:ind w:firstLine="480" w:firstLineChars="200"/>
        <w:rPr>
          <w:rFonts w:ascii="宋体" w:hAnsi="宋体"/>
          <w:sz w:val="24"/>
        </w:rPr>
      </w:pPr>
      <w:r>
        <w:rPr>
          <w:rFonts w:hint="eastAsia" w:ascii="宋体" w:hAnsi="宋体"/>
          <w:sz w:val="24"/>
        </w:rPr>
        <w:t>22.4.8不符合法律、法规、规章和政府采购监管机构规定的其他条件的。</w:t>
      </w:r>
    </w:p>
    <w:p>
      <w:pPr>
        <w:spacing w:line="360" w:lineRule="auto"/>
        <w:ind w:firstLine="480" w:firstLineChars="200"/>
        <w:rPr>
          <w:rFonts w:ascii="宋体" w:hAnsi="宋体"/>
          <w:sz w:val="24"/>
        </w:rPr>
      </w:pPr>
      <w:r>
        <w:rPr>
          <w:rFonts w:hint="eastAsia" w:ascii="宋体" w:hAnsi="宋体"/>
          <w:sz w:val="24"/>
        </w:rPr>
        <w:t>22.5采购人或采购代理机构将在收到质疑供应商提交的质疑书二个工作日内就质疑书是否有效做出答复。</w:t>
      </w:r>
    </w:p>
    <w:p>
      <w:pPr>
        <w:spacing w:line="360" w:lineRule="auto"/>
        <w:ind w:firstLine="480" w:firstLineChars="200"/>
        <w:rPr>
          <w:rFonts w:ascii="宋体" w:hAnsi="宋体"/>
          <w:sz w:val="24"/>
        </w:rPr>
      </w:pPr>
      <w:r>
        <w:rPr>
          <w:rFonts w:hint="eastAsia" w:ascii="宋体" w:hAnsi="宋体"/>
          <w:sz w:val="24"/>
        </w:rPr>
        <w:t>22.6在法定质疑期内，针对同一采购程序环节的质疑应当一次性提出。采购代理机构或采购人将在收到有效书面质疑后7个工作日内做出答复，并以书面形式通知质疑人和其他有关供应商。</w:t>
      </w:r>
    </w:p>
    <w:p>
      <w:pPr>
        <w:spacing w:line="360" w:lineRule="auto"/>
        <w:ind w:firstLine="480" w:firstLineChars="200"/>
        <w:rPr>
          <w:rFonts w:ascii="宋体" w:hAnsi="宋体"/>
          <w:sz w:val="24"/>
        </w:rPr>
      </w:pPr>
      <w:r>
        <w:rPr>
          <w:rFonts w:ascii="宋体" w:hAnsi="宋体"/>
          <w:sz w:val="24"/>
        </w:rPr>
        <w:t>22.7</w:t>
      </w:r>
      <w:r>
        <w:rPr>
          <w:rFonts w:hint="eastAsia" w:ascii="宋体" w:hAnsi="宋体"/>
          <w:sz w:val="24"/>
        </w:rPr>
        <w:t>采购人、采购代理机构不接受信函、电报、电话、传真、电子邮件方式的质疑书，质疑书以送达采购人或采购代理机构处时间为准。</w:t>
      </w:r>
    </w:p>
    <w:p>
      <w:pPr>
        <w:spacing w:line="360" w:lineRule="auto"/>
        <w:ind w:firstLine="482" w:firstLineChars="200"/>
        <w:rPr>
          <w:rFonts w:ascii="宋体" w:hAnsi="宋体"/>
          <w:b/>
          <w:bCs/>
          <w:sz w:val="24"/>
        </w:rPr>
      </w:pPr>
      <w:r>
        <w:rPr>
          <w:rFonts w:hint="eastAsia" w:ascii="宋体" w:hAnsi="宋体"/>
          <w:b/>
          <w:bCs/>
          <w:sz w:val="24"/>
        </w:rPr>
        <w:t>23.投诉</w:t>
      </w:r>
    </w:p>
    <w:p>
      <w:pPr>
        <w:spacing w:line="360" w:lineRule="auto"/>
        <w:ind w:firstLine="480" w:firstLineChars="200"/>
        <w:rPr>
          <w:rFonts w:ascii="宋体" w:hAnsi="宋体"/>
          <w:sz w:val="24"/>
        </w:rPr>
      </w:pPr>
      <w:r>
        <w:rPr>
          <w:rFonts w:hint="eastAsia" w:ascii="宋体" w:hAnsi="宋体"/>
          <w:sz w:val="24"/>
        </w:rPr>
        <w:t>23.1质疑供应商对采购人、采购代理机构的答复不满意或者采购人、采购代理机构未在规定的时间内作出答复的，可以在答复期满后十五个工作日内向同级政府采购监督管理部门投诉。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Times New Roman"/>
          <w:sz w:val="24"/>
        </w:rPr>
      </w:pPr>
      <w:r>
        <w:rPr>
          <w:rFonts w:hint="eastAsia" w:ascii="宋体" w:hAnsi="宋体"/>
          <w:sz w:val="24"/>
        </w:rPr>
        <w:t>23.2供应商投诉的事项不得超出已质疑事项的范围，但基于质疑答复内容提出的投诉事项除外。</w:t>
      </w:r>
    </w:p>
    <w:p>
      <w:pPr>
        <w:spacing w:line="360" w:lineRule="auto"/>
        <w:ind w:firstLine="480" w:firstLineChars="200"/>
        <w:rPr>
          <w:rFonts w:ascii="宋体" w:hAnsi="宋体"/>
          <w:sz w:val="24"/>
        </w:rPr>
      </w:pPr>
      <w:r>
        <w:rPr>
          <w:rFonts w:hint="eastAsia" w:ascii="宋体" w:hAnsi="宋体"/>
          <w:sz w:val="24"/>
        </w:rPr>
        <w:t>23.3</w:t>
      </w:r>
      <w:r>
        <w:rPr>
          <w:rFonts w:hint="eastAsia" w:ascii="宋体" w:hAnsi="宋体"/>
          <w:b/>
          <w:bCs/>
          <w:sz w:val="24"/>
        </w:rPr>
        <w:t>对捏造事实、提供虚假材料进行质疑、投诉的行为予以严肃处理：</w:t>
      </w:r>
      <w:r>
        <w:rPr>
          <w:rFonts w:hint="eastAsia" w:ascii="宋体" w:hAnsi="宋体"/>
          <w:sz w:val="24"/>
        </w:rPr>
        <w:t>依据《中华人民共和国政府采购法》及其实施条例、《政府采购竞争性磋商采购方式管理暂行办法》及有关问题的补充通知、《政府采购质疑和投诉办法》等法律法规文件的规定，供应商质疑、投诉应当有明确的请求和必要的证明材料。</w:t>
      </w:r>
      <w:r>
        <w:rPr>
          <w:rFonts w:hint="eastAsia" w:ascii="宋体" w:hAnsi="宋体"/>
          <w:b/>
          <w:bCs/>
          <w:sz w:val="24"/>
        </w:rPr>
        <w:t>投诉人在全国范围内十二个月内三次以上投诉查无实据的，由财政部门列入不良行为记录名单。</w:t>
      </w:r>
      <w:r>
        <w:rPr>
          <w:rFonts w:hint="eastAsia" w:ascii="宋体" w:hAnsi="宋体"/>
          <w:sz w:val="24"/>
        </w:rPr>
        <w:t>对于捏造事实、提供虚假材料或者以非法手段取得证明材料进行投诉的，财政部门应当予以驳回，并将其列入不良行为记录名单，禁止其一至三年内参加政府采购活动。</w:t>
      </w:r>
    </w:p>
    <w:p>
      <w:pPr>
        <w:spacing w:line="360" w:lineRule="auto"/>
        <w:ind w:firstLine="480" w:firstLineChars="200"/>
        <w:rPr>
          <w:rFonts w:ascii="宋体" w:cs="Times New Roman"/>
          <w:sz w:val="24"/>
        </w:rPr>
      </w:pPr>
      <w:r>
        <w:rPr>
          <w:rFonts w:hint="eastAsia" w:ascii="宋体" w:hAnsi="宋体"/>
          <w:sz w:val="24"/>
        </w:rPr>
        <w:t>23.4</w:t>
      </w:r>
      <w:r>
        <w:rPr>
          <w:rFonts w:hint="eastAsia" w:ascii="宋体" w:hAnsi="宋体"/>
          <w:b/>
          <w:bCs/>
          <w:sz w:val="24"/>
        </w:rPr>
        <w:t>对捏造事实诬告陷害他人、诽谤他人的法律适用：</w:t>
      </w:r>
      <w:r>
        <w:rPr>
          <w:rFonts w:hint="eastAsia" w:ascii="宋体" w:hAnsi="宋体"/>
          <w:sz w:val="24"/>
        </w:rPr>
        <w:t>《中华人民共和国刑法》第243条【诬告陷害罪】捏造事实诬告陷害他人，意图使他人受刑事追究，情节严重的，处三年以下有期徒刑、拘役或者管制；造成严重后果的，处三年以上十年以下有期徒刑。《中华人民共和国刑法》第246条【侮辱罪、诽谤罪】以暴力或者其他方法公然侮辱他人或者捏造事实诽谤他人，情节严重的，处三年以下有期徒刑、拘役、管制或者剥夺政治权利。</w:t>
      </w:r>
    </w:p>
    <w:p>
      <w:pPr>
        <w:spacing w:line="360" w:lineRule="auto"/>
        <w:jc w:val="left"/>
        <w:rPr>
          <w:rFonts w:ascii="宋体" w:hAnsi="宋体"/>
          <w:b/>
          <w:sz w:val="24"/>
        </w:rPr>
      </w:pPr>
      <w:bookmarkStart w:id="103" w:name="_Toc3525"/>
    </w:p>
    <w:p>
      <w:pPr>
        <w:spacing w:line="360" w:lineRule="auto"/>
        <w:ind w:firstLine="481"/>
        <w:jc w:val="left"/>
        <w:outlineLvl w:val="1"/>
        <w:rPr>
          <w:rFonts w:ascii="黑体" w:hAnsi="黑体" w:eastAsia="黑体" w:cs="黑体"/>
          <w:b/>
          <w:sz w:val="24"/>
        </w:rPr>
      </w:pPr>
      <w:bookmarkStart w:id="104" w:name="_Toc26762"/>
      <w:bookmarkStart w:id="105" w:name="_Toc11965"/>
      <w:r>
        <w:rPr>
          <w:rFonts w:hint="eastAsia" w:ascii="黑体" w:hAnsi="黑体" w:eastAsia="黑体" w:cs="黑体"/>
          <w:b/>
          <w:sz w:val="24"/>
        </w:rPr>
        <w:t>八、合同</w:t>
      </w:r>
      <w:bookmarkEnd w:id="103"/>
      <w:r>
        <w:rPr>
          <w:rFonts w:hint="eastAsia" w:ascii="黑体" w:hAnsi="黑体" w:eastAsia="黑体" w:cs="黑体"/>
          <w:b/>
          <w:sz w:val="24"/>
        </w:rPr>
        <w:t>的签订及履行</w:t>
      </w:r>
      <w:bookmarkEnd w:id="104"/>
      <w:bookmarkEnd w:id="105"/>
    </w:p>
    <w:p>
      <w:pPr>
        <w:spacing w:line="360" w:lineRule="auto"/>
        <w:ind w:firstLine="482" w:firstLineChars="200"/>
        <w:rPr>
          <w:rFonts w:ascii="宋体" w:hAnsi="宋体"/>
          <w:b/>
          <w:bCs/>
          <w:sz w:val="24"/>
        </w:rPr>
      </w:pPr>
      <w:r>
        <w:rPr>
          <w:rFonts w:hint="eastAsia" w:ascii="宋体" w:hAnsi="宋体"/>
          <w:b/>
          <w:bCs/>
          <w:sz w:val="24"/>
        </w:rPr>
        <w:t>24.签订合同</w:t>
      </w:r>
    </w:p>
    <w:p>
      <w:pPr>
        <w:spacing w:line="360" w:lineRule="auto"/>
        <w:ind w:firstLine="480" w:firstLineChars="200"/>
        <w:rPr>
          <w:rFonts w:ascii="宋体" w:hAnsi="宋体"/>
          <w:b/>
          <w:bCs/>
          <w:sz w:val="24"/>
          <w:u w:val="single"/>
        </w:rPr>
      </w:pPr>
      <w:r>
        <w:rPr>
          <w:rFonts w:hint="eastAsia" w:ascii="宋体" w:hAnsi="宋体"/>
          <w:sz w:val="24"/>
        </w:rPr>
        <w:t>24.1</w:t>
      </w:r>
      <w:r>
        <w:rPr>
          <w:rFonts w:hint="eastAsia" w:ascii="宋体" w:hAnsi="宋体"/>
          <w:b/>
          <w:bCs/>
          <w:sz w:val="24"/>
          <w:u w:val="single"/>
        </w:rPr>
        <w:t>在合同签订前，成交供应商须提供营业执照、税务登记证和在响应文件中提供的资质证明文件、业绩合同等主要证明文件的原件给采购人进行核对。如响应文件中复印件与原件不符，采购人有权取消其成交资格。</w:t>
      </w:r>
    </w:p>
    <w:p>
      <w:pPr>
        <w:spacing w:line="360" w:lineRule="auto"/>
        <w:ind w:firstLine="480" w:firstLineChars="200"/>
        <w:rPr>
          <w:rFonts w:ascii="宋体" w:hAnsi="宋体"/>
          <w:sz w:val="24"/>
        </w:rPr>
      </w:pPr>
      <w:r>
        <w:rPr>
          <w:rFonts w:hint="eastAsia" w:ascii="宋体" w:hAnsi="宋体"/>
          <w:sz w:val="24"/>
        </w:rPr>
        <w:t>24.2采购人与成交供应商自成交通知书发出之日起三十日内，按磋商文件要求和成交供应商响应文件承诺签订政府采购合同，政府采购合同不得超出磋商文件和成交供应商响应文件的范围，也不得再行订立背离合同实质性内容的其他协议。</w:t>
      </w:r>
    </w:p>
    <w:p>
      <w:pPr>
        <w:spacing w:line="360" w:lineRule="auto"/>
        <w:ind w:firstLine="482" w:firstLineChars="200"/>
        <w:rPr>
          <w:rFonts w:ascii="宋体" w:hAnsi="宋体"/>
          <w:b/>
          <w:bCs/>
          <w:sz w:val="24"/>
        </w:rPr>
      </w:pPr>
      <w:r>
        <w:rPr>
          <w:rFonts w:hint="eastAsia" w:ascii="宋体" w:hAnsi="宋体"/>
          <w:b/>
          <w:bCs/>
          <w:sz w:val="24"/>
        </w:rPr>
        <w:t>25.合同的履行</w:t>
      </w:r>
    </w:p>
    <w:p>
      <w:pPr>
        <w:spacing w:line="360" w:lineRule="auto"/>
        <w:ind w:firstLine="480" w:firstLineChars="200"/>
        <w:rPr>
          <w:rFonts w:ascii="宋体" w:hAnsi="宋体"/>
          <w:sz w:val="24"/>
        </w:rPr>
      </w:pPr>
      <w:r>
        <w:rPr>
          <w:rFonts w:hint="eastAsia" w:ascii="宋体" w:hAnsi="宋体"/>
          <w:sz w:val="24"/>
        </w:rPr>
        <w:t>25.1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360" w:lineRule="auto"/>
        <w:ind w:firstLine="480" w:firstLineChars="200"/>
        <w:rPr>
          <w:rFonts w:ascii="宋体" w:hAnsi="宋体"/>
          <w:sz w:val="24"/>
        </w:rPr>
      </w:pPr>
      <w:r>
        <w:rPr>
          <w:rFonts w:hint="eastAsia" w:ascii="宋体" w:hAnsi="宋体"/>
          <w:sz w:val="24"/>
        </w:rPr>
        <w:t>25.2政府采购合同履行中，采购人需追加与合同标的相同的货物、工程或者服务的，在不改变合同其他条款的前提下，可以与成交供应商签订补充合同，但所有补充合同的采购金额不得超过原采购金额的10%，签订补充合同的必须按规定备案。</w:t>
      </w:r>
    </w:p>
    <w:p>
      <w:pPr>
        <w:spacing w:line="360" w:lineRule="auto"/>
        <w:ind w:firstLine="480" w:firstLineChars="200"/>
        <w:rPr>
          <w:rFonts w:ascii="宋体" w:hAnsi="宋体"/>
          <w:sz w:val="24"/>
        </w:rPr>
      </w:pPr>
      <w:r>
        <w:rPr>
          <w:rFonts w:hint="eastAsia" w:ascii="宋体" w:hAnsi="宋体"/>
          <w:sz w:val="24"/>
        </w:rPr>
        <w:t>25.3根据需要，采购代理机构可会同采购人负责监督、协调和处理履约过程中出现的问题。</w:t>
      </w:r>
    </w:p>
    <w:p>
      <w:pPr>
        <w:spacing w:line="360" w:lineRule="auto"/>
        <w:ind w:firstLine="480" w:firstLineChars="200"/>
        <w:rPr>
          <w:rFonts w:ascii="宋体" w:hAnsi="宋体"/>
          <w:sz w:val="24"/>
        </w:rPr>
      </w:pPr>
      <w:r>
        <w:rPr>
          <w:rFonts w:hint="eastAsia" w:ascii="宋体" w:hAnsi="宋体"/>
          <w:sz w:val="24"/>
        </w:rPr>
        <w:t>25.4陕西省财政厅政府采购管理处在合同履行期间以及履行期后，可以随时检查项目的执行情况，对采购标准、采购内容进行调查核实，并对发现的问题进行处理。</w:t>
      </w:r>
    </w:p>
    <w:p>
      <w:pPr>
        <w:spacing w:line="360" w:lineRule="auto"/>
        <w:jc w:val="center"/>
        <w:rPr>
          <w:rFonts w:ascii="宋体" w:hAnsi="宋体"/>
          <w:b/>
          <w:sz w:val="24"/>
        </w:rPr>
      </w:pPr>
      <w:bookmarkStart w:id="106" w:name="_Toc30703"/>
    </w:p>
    <w:p>
      <w:pPr>
        <w:spacing w:line="360" w:lineRule="auto"/>
        <w:ind w:firstLine="481"/>
        <w:jc w:val="left"/>
        <w:outlineLvl w:val="1"/>
        <w:rPr>
          <w:rFonts w:ascii="黑体" w:hAnsi="黑体" w:eastAsia="黑体" w:cs="黑体"/>
          <w:b/>
          <w:sz w:val="24"/>
        </w:rPr>
      </w:pPr>
      <w:bookmarkStart w:id="107" w:name="_Toc7277"/>
      <w:bookmarkStart w:id="108" w:name="_Toc24941"/>
      <w:r>
        <w:rPr>
          <w:rFonts w:hint="eastAsia" w:ascii="黑体" w:hAnsi="黑体" w:eastAsia="黑体" w:cs="黑体"/>
          <w:b/>
          <w:sz w:val="24"/>
        </w:rPr>
        <w:t>九、采购代理服务费</w:t>
      </w:r>
      <w:bookmarkEnd w:id="106"/>
      <w:bookmarkEnd w:id="107"/>
      <w:bookmarkEnd w:id="108"/>
    </w:p>
    <w:p>
      <w:pPr>
        <w:spacing w:line="360" w:lineRule="auto"/>
        <w:ind w:firstLine="482" w:firstLineChars="200"/>
        <w:rPr>
          <w:rFonts w:ascii="宋体" w:cs="Times New Roman"/>
          <w:b/>
          <w:bCs/>
          <w:sz w:val="24"/>
        </w:rPr>
      </w:pPr>
      <w:bookmarkStart w:id="109" w:name="_Toc11215"/>
      <w:r>
        <w:rPr>
          <w:rFonts w:ascii="宋体" w:hAnsi="宋体"/>
          <w:b/>
          <w:bCs/>
          <w:sz w:val="24"/>
        </w:rPr>
        <w:t>26.</w:t>
      </w:r>
      <w:r>
        <w:rPr>
          <w:rFonts w:hint="eastAsia" w:ascii="宋体" w:hAnsi="宋体"/>
          <w:b/>
          <w:bCs/>
          <w:sz w:val="24"/>
        </w:rPr>
        <w:t>采购代理服务费</w:t>
      </w:r>
    </w:p>
    <w:p>
      <w:pPr>
        <w:spacing w:line="360" w:lineRule="auto"/>
        <w:ind w:firstLine="480" w:firstLineChars="200"/>
        <w:rPr>
          <w:rFonts w:ascii="宋体" w:cs="Times New Roman"/>
          <w:sz w:val="24"/>
        </w:rPr>
      </w:pPr>
      <w:r>
        <w:rPr>
          <w:rFonts w:ascii="宋体" w:hAnsi="宋体"/>
          <w:sz w:val="24"/>
        </w:rPr>
        <w:t>26.1</w:t>
      </w:r>
      <w:r>
        <w:rPr>
          <w:rFonts w:hint="eastAsia" w:ascii="宋体" w:hAnsi="宋体"/>
          <w:sz w:val="24"/>
        </w:rPr>
        <w:t>采购代理服务费按约定由成交供应商支付，采购代理服务费不在响应报价中单列。</w:t>
      </w:r>
    </w:p>
    <w:p>
      <w:pPr>
        <w:spacing w:line="360" w:lineRule="auto"/>
        <w:ind w:firstLine="480" w:firstLineChars="200"/>
        <w:rPr>
          <w:rFonts w:ascii="宋体" w:cs="Times New Roman"/>
          <w:sz w:val="24"/>
        </w:rPr>
      </w:pPr>
      <w:r>
        <w:rPr>
          <w:rFonts w:ascii="宋体" w:hAnsi="宋体"/>
          <w:sz w:val="24"/>
        </w:rPr>
        <w:t>26.2</w:t>
      </w:r>
      <w:r>
        <w:rPr>
          <w:rFonts w:hint="eastAsia" w:ascii="宋体" w:hAnsi="宋体"/>
          <w:sz w:val="24"/>
        </w:rPr>
        <w:t>采购代理服务费按以下标准下浮20%计取：</w:t>
      </w:r>
    </w:p>
    <w:tbl>
      <w:tblPr>
        <w:tblStyle w:val="22"/>
        <w:tblW w:w="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vAlign w:val="center"/>
          </w:tcPr>
          <w:p>
            <w:pPr>
              <w:tabs>
                <w:tab w:val="left" w:pos="547"/>
              </w:tabs>
              <w:spacing w:line="360" w:lineRule="auto"/>
              <w:jc w:val="center"/>
              <w:rPr>
                <w:rFonts w:ascii="宋体" w:cs="Times New Roman"/>
              </w:rPr>
            </w:pPr>
            <w:r>
              <w:rPr>
                <w:rFonts w:hint="eastAsia" w:ascii="宋体" w:hAnsi="宋体"/>
              </w:rPr>
              <w:t>成交金额（万元）</w:t>
            </w:r>
          </w:p>
        </w:tc>
        <w:tc>
          <w:tcPr>
            <w:tcW w:w="1883" w:type="dxa"/>
            <w:vAlign w:val="center"/>
          </w:tcPr>
          <w:p>
            <w:pPr>
              <w:tabs>
                <w:tab w:val="left" w:pos="547"/>
              </w:tabs>
              <w:spacing w:line="360" w:lineRule="auto"/>
              <w:jc w:val="center"/>
              <w:rPr>
                <w:rFonts w:ascii="宋体" w:cs="Times New Roman"/>
              </w:rPr>
            </w:pPr>
            <w:r>
              <w:rPr>
                <w:rFonts w:hint="eastAsia" w:ascii="宋体" w:hAnsi="宋体"/>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3" w:type="dxa"/>
            <w:vAlign w:val="center"/>
          </w:tcPr>
          <w:p>
            <w:pPr>
              <w:tabs>
                <w:tab w:val="left" w:pos="547"/>
              </w:tabs>
              <w:spacing w:line="360" w:lineRule="auto"/>
              <w:jc w:val="center"/>
              <w:rPr>
                <w:rFonts w:ascii="宋体" w:cs="Times New Roman"/>
              </w:rPr>
            </w:pPr>
            <w:r>
              <w:rPr>
                <w:rFonts w:ascii="宋体" w:hAnsi="宋体"/>
              </w:rPr>
              <w:t>100</w:t>
            </w:r>
            <w:r>
              <w:rPr>
                <w:rFonts w:hint="eastAsia" w:ascii="宋体" w:hAnsi="宋体"/>
              </w:rPr>
              <w:t>以下</w:t>
            </w:r>
          </w:p>
        </w:tc>
        <w:tc>
          <w:tcPr>
            <w:tcW w:w="1883" w:type="dxa"/>
            <w:vAlign w:val="center"/>
          </w:tcPr>
          <w:p>
            <w:pPr>
              <w:tabs>
                <w:tab w:val="left" w:pos="547"/>
              </w:tabs>
              <w:spacing w:line="360" w:lineRule="auto"/>
              <w:jc w:val="center"/>
              <w:rPr>
                <w:rFonts w:ascii="宋体" w:hAnsi="宋体"/>
              </w:rPr>
            </w:pPr>
            <w:r>
              <w:rPr>
                <w:rFonts w:ascii="宋体" w:hAnsi="宋体"/>
              </w:rPr>
              <w:t>1.5%</w:t>
            </w:r>
          </w:p>
        </w:tc>
      </w:tr>
    </w:tbl>
    <w:p>
      <w:pPr>
        <w:spacing w:line="360" w:lineRule="auto"/>
        <w:ind w:firstLine="480" w:firstLineChars="200"/>
        <w:rPr>
          <w:rFonts w:ascii="宋体" w:cs="Times New Roman"/>
          <w:sz w:val="24"/>
        </w:rPr>
      </w:pPr>
      <w:r>
        <w:rPr>
          <w:rFonts w:hint="eastAsia" w:ascii="宋体" w:hAnsi="宋体"/>
          <w:sz w:val="24"/>
        </w:rPr>
        <w:t>注：采购代理服务费收费按差额定率累进法计算。</w:t>
      </w:r>
    </w:p>
    <w:p>
      <w:pPr>
        <w:spacing w:line="360" w:lineRule="auto"/>
        <w:ind w:firstLine="480" w:firstLineChars="200"/>
        <w:rPr>
          <w:rFonts w:ascii="宋体" w:cs="Times New Roman"/>
          <w:sz w:val="24"/>
        </w:rPr>
      </w:pPr>
      <w:r>
        <w:rPr>
          <w:rFonts w:ascii="宋体" w:hAnsi="宋体"/>
          <w:sz w:val="24"/>
        </w:rPr>
        <w:t>26.3</w:t>
      </w:r>
      <w:r>
        <w:rPr>
          <w:rFonts w:hint="eastAsia" w:ascii="宋体" w:hAnsi="宋体"/>
          <w:sz w:val="24"/>
        </w:rPr>
        <w:t>成交供应商在取得成交通知书前应向采购代理机构缴付采购代理服务费（以到达采购代理机构开户银行帐户为准），采购代理服务费以电汇或现金形式缴纳。</w:t>
      </w:r>
    </w:p>
    <w:p>
      <w:pPr>
        <w:spacing w:line="360" w:lineRule="auto"/>
        <w:ind w:firstLine="480" w:firstLineChars="200"/>
        <w:rPr>
          <w:rFonts w:ascii="宋体" w:cs="Times New Roman"/>
          <w:sz w:val="24"/>
        </w:rPr>
      </w:pPr>
      <w:r>
        <w:rPr>
          <w:rFonts w:ascii="宋体" w:hAnsi="宋体"/>
          <w:sz w:val="24"/>
        </w:rPr>
        <w:t>26.4</w:t>
      </w:r>
      <w:r>
        <w:rPr>
          <w:rFonts w:hint="eastAsia" w:ascii="宋体" w:hAnsi="宋体"/>
          <w:sz w:val="24"/>
        </w:rPr>
        <w:t>成交供应商如未按规定办理，采购代理机构将没收其保证金，以弥补采购代理机构的损失。</w:t>
      </w:r>
    </w:p>
    <w:p>
      <w:pPr>
        <w:spacing w:line="360" w:lineRule="auto"/>
        <w:ind w:firstLine="480" w:firstLineChars="200"/>
        <w:rPr>
          <w:rFonts w:ascii="宋体" w:hAnsi="宋体"/>
          <w:sz w:val="24"/>
        </w:rPr>
      </w:pPr>
    </w:p>
    <w:p>
      <w:pPr>
        <w:spacing w:line="360" w:lineRule="auto"/>
        <w:ind w:firstLine="481"/>
        <w:jc w:val="left"/>
        <w:outlineLvl w:val="1"/>
        <w:rPr>
          <w:rFonts w:ascii="黑体" w:hAnsi="黑体" w:eastAsia="黑体" w:cs="黑体"/>
          <w:b/>
          <w:sz w:val="24"/>
        </w:rPr>
      </w:pPr>
      <w:bookmarkStart w:id="110" w:name="_Toc5101"/>
      <w:bookmarkStart w:id="111" w:name="_Toc30819"/>
      <w:r>
        <w:rPr>
          <w:rFonts w:hint="eastAsia" w:ascii="黑体" w:hAnsi="黑体" w:eastAsia="黑体" w:cs="黑体"/>
          <w:b/>
          <w:sz w:val="24"/>
        </w:rPr>
        <w:t>十、其它事项</w:t>
      </w:r>
      <w:bookmarkEnd w:id="109"/>
      <w:bookmarkEnd w:id="110"/>
      <w:bookmarkEnd w:id="111"/>
    </w:p>
    <w:p>
      <w:pPr>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27.特殊情形的处理</w:t>
      </w:r>
    </w:p>
    <w:p>
      <w:pPr>
        <w:spacing w:line="360" w:lineRule="auto"/>
        <w:ind w:firstLine="480" w:firstLineChars="200"/>
        <w:rPr>
          <w:rFonts w:ascii="宋体" w:hAnsi="宋体"/>
          <w:color w:val="333333"/>
          <w:sz w:val="24"/>
        </w:rPr>
      </w:pPr>
      <w:r>
        <w:rPr>
          <w:rFonts w:hint="eastAsia" w:ascii="宋体" w:hAnsi="宋体"/>
          <w:color w:val="333333"/>
          <w:sz w:val="24"/>
        </w:rPr>
        <w:t>采用竞争性谈判、竞争性磋商或询价采购方式的货物、服务项目，参加采购活动或符合采购需求的供应商只有一家，经评审专家审核认为采购文件没有倾向性、歧视性条款，采购人不改变采购需求，拟采用单一来源方式采购的，可以现场自行决定采用，不再进行公示。</w:t>
      </w:r>
    </w:p>
    <w:p>
      <w:pPr>
        <w:spacing w:line="360" w:lineRule="auto"/>
        <w:ind w:firstLine="482" w:firstLineChars="200"/>
        <w:rPr>
          <w:rFonts w:ascii="宋体" w:hAnsi="宋体"/>
          <w:b/>
          <w:bCs/>
          <w:sz w:val="24"/>
        </w:rPr>
      </w:pPr>
      <w:r>
        <w:rPr>
          <w:rFonts w:hint="eastAsia" w:ascii="宋体" w:hAnsi="宋体"/>
          <w:b/>
          <w:bCs/>
          <w:sz w:val="24"/>
        </w:rPr>
        <w:t>28.成交供应商确定后，成交供应商无正当理由拖延或拒签合同的，采购单位将有权取消该成交决定，没收其磋商保证金，同时报请监督机构予以通报，将其列入不良行为记录名单。在此情况下采购单位可将合同授予排名在成交供应商之后第一位的成交候选人，或重新组织采购。</w:t>
      </w:r>
    </w:p>
    <w:p>
      <w:pPr>
        <w:spacing w:line="360" w:lineRule="auto"/>
        <w:ind w:firstLine="482" w:firstLineChars="200"/>
        <w:rPr>
          <w:rFonts w:ascii="宋体" w:hAnsi="宋体"/>
          <w:b/>
          <w:bCs/>
          <w:sz w:val="24"/>
        </w:rPr>
      </w:pPr>
      <w:r>
        <w:rPr>
          <w:rFonts w:hint="eastAsia" w:ascii="宋体" w:hAnsi="宋体"/>
          <w:b/>
          <w:bCs/>
          <w:sz w:val="24"/>
        </w:rPr>
        <w:t>29.拒绝商业贿赂</w:t>
      </w:r>
    </w:p>
    <w:p>
      <w:pPr>
        <w:spacing w:line="360" w:lineRule="auto"/>
        <w:ind w:firstLine="480" w:firstLineChars="200"/>
        <w:rPr>
          <w:rFonts w:ascii="宋体" w:hAnsi="宋体"/>
          <w:sz w:val="24"/>
        </w:rPr>
      </w:pPr>
      <w:r>
        <w:rPr>
          <w:rFonts w:hint="eastAsia" w:ascii="宋体" w:hAnsi="宋体"/>
          <w:sz w:val="24"/>
        </w:rPr>
        <w:t>采购人、采购代理机构、供应商和评审专家在政府采购活动中，都要签订相应的《拒绝商业贿赂承诺书》，并对违反承诺的行为承担全部责任。</w:t>
      </w:r>
    </w:p>
    <w:p>
      <w:pPr>
        <w:spacing w:line="360" w:lineRule="auto"/>
        <w:ind w:firstLine="482" w:firstLineChars="200"/>
        <w:rPr>
          <w:rFonts w:ascii="宋体" w:hAnsi="宋体"/>
          <w:b/>
          <w:bCs/>
          <w:sz w:val="24"/>
        </w:rPr>
      </w:pPr>
      <w:r>
        <w:rPr>
          <w:rFonts w:hint="eastAsia" w:ascii="宋体" w:hAnsi="宋体"/>
          <w:b/>
          <w:bCs/>
          <w:sz w:val="24"/>
        </w:rPr>
        <w:t>30.信用担保</w:t>
      </w:r>
    </w:p>
    <w:p>
      <w:pPr>
        <w:spacing w:line="360" w:lineRule="auto"/>
        <w:ind w:firstLine="480" w:firstLineChars="200"/>
        <w:rPr>
          <w:rFonts w:ascii="宋体" w:hAnsi="宋体"/>
          <w:sz w:val="24"/>
        </w:rPr>
      </w:pPr>
      <w:r>
        <w:rPr>
          <w:rFonts w:hint="eastAsia" w:ascii="宋体" w:hAnsi="宋体"/>
          <w:sz w:val="24"/>
        </w:rPr>
        <w:t>30.1</w:t>
      </w:r>
      <w:r>
        <w:rPr>
          <w:rFonts w:ascii="宋体" w:hAnsi="宋体"/>
          <w:sz w:val="24"/>
        </w:rPr>
        <w:t>供应商在投标、履约、融资等环节可自愿选择采取信用担保的形式。</w:t>
      </w:r>
    </w:p>
    <w:p>
      <w:pPr>
        <w:spacing w:line="360" w:lineRule="auto"/>
        <w:ind w:firstLine="480" w:firstLineChars="200"/>
        <w:rPr>
          <w:rFonts w:hint="eastAsia" w:ascii="宋体" w:hAnsi="宋体"/>
          <w:sz w:val="24"/>
        </w:rPr>
      </w:pPr>
      <w:r>
        <w:rPr>
          <w:rFonts w:hint="eastAsia" w:ascii="宋体" w:hAnsi="宋体"/>
          <w:sz w:val="24"/>
        </w:rPr>
        <w:t>30.2具体详见陕西省财政厅关于印发《陕西省中小企业政府采购信用融资办法》（陕财办采〔2018〕23号）。</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30.3为缓解中小企业融资困难，陕西省财政厅出台了《陕西省中小企业政府采购信用融资办法》（陕财办采（2018）23号），成交供应商如有融资需求，可登录“陕西省政府采购网-陕西省政府采购信用融资平台(http://www.ccgp-shaanxi.gov.cn/zcdservice/zcd/shanxi/)”了解详情。政府采购信用融资，是指银行金融机构（以下简称银行）以政府采购诚信考核和信用审查为基础，凭借政府采购合同，按优于一般中小企业的贷款利率直接向申请贷款的供应商发放贷款的一种融资方式。</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30.4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30.5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30.6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业务流程简图如下：</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6188075" cy="3682365"/>
            <wp:effectExtent l="0" t="0" r="3175" b="13335"/>
            <wp:docPr id="5" name="图片 5" descr="1659436958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9436958123"/>
                    <pic:cNvPicPr>
                      <a:picLocks noChangeAspect="1"/>
                    </pic:cNvPicPr>
                  </pic:nvPicPr>
                  <pic:blipFill>
                    <a:blip r:embed="rId8"/>
                    <a:stretch>
                      <a:fillRect/>
                    </a:stretch>
                  </pic:blipFill>
                  <pic:spPr>
                    <a:xfrm>
                      <a:off x="0" y="0"/>
                      <a:ext cx="6188075" cy="3682365"/>
                    </a:xfrm>
                    <a:prstGeom prst="rect">
                      <a:avLst/>
                    </a:prstGeom>
                  </pic:spPr>
                </pic:pic>
              </a:graphicData>
            </a:graphic>
          </wp:inline>
        </w:drawing>
      </w:r>
    </w:p>
    <w:p>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6183630" cy="3512820"/>
            <wp:effectExtent l="0" t="0" r="7620" b="11430"/>
            <wp:docPr id="6" name="图片 6" descr="165943696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9436966669"/>
                    <pic:cNvPicPr>
                      <a:picLocks noChangeAspect="1"/>
                    </pic:cNvPicPr>
                  </pic:nvPicPr>
                  <pic:blipFill>
                    <a:blip r:embed="rId9"/>
                    <a:stretch>
                      <a:fillRect/>
                    </a:stretch>
                  </pic:blipFill>
                  <pic:spPr>
                    <a:xfrm>
                      <a:off x="0" y="0"/>
                      <a:ext cx="6183630" cy="3512820"/>
                    </a:xfrm>
                    <a:prstGeom prst="rect">
                      <a:avLst/>
                    </a:prstGeom>
                  </pic:spPr>
                </pic:pic>
              </a:graphicData>
            </a:graphic>
          </wp:inline>
        </w:drawing>
      </w:r>
    </w:p>
    <w:p>
      <w:pPr>
        <w:spacing w:line="360" w:lineRule="auto"/>
        <w:ind w:firstLine="480" w:firstLineChars="200"/>
        <w:rPr>
          <w:rFonts w:ascii="宋体" w:hAnsi="宋体"/>
          <w:sz w:val="24"/>
        </w:rPr>
      </w:pPr>
      <w:r>
        <w:rPr>
          <w:rFonts w:hint="eastAsia" w:ascii="宋体" w:hAnsi="宋体"/>
          <w:sz w:val="24"/>
        </w:rPr>
        <w:br w:type="page"/>
      </w:r>
    </w:p>
    <w:p>
      <w:pPr>
        <w:spacing w:line="360" w:lineRule="auto"/>
        <w:ind w:firstLine="643" w:firstLineChars="200"/>
        <w:jc w:val="center"/>
        <w:outlineLvl w:val="0"/>
        <w:rPr>
          <w:rFonts w:ascii="宋体" w:hAnsi="宋体"/>
          <w:sz w:val="24"/>
        </w:rPr>
      </w:pPr>
      <w:bookmarkStart w:id="112" w:name="_Toc27874"/>
      <w:r>
        <w:rPr>
          <w:rFonts w:hint="eastAsia" w:ascii="黑体" w:hAnsi="黑体" w:eastAsia="黑体" w:cs="黑体"/>
          <w:b/>
          <w:bCs/>
          <w:sz w:val="32"/>
          <w:szCs w:val="32"/>
        </w:rPr>
        <w:t>第四部分 磋商、评审、成交</w:t>
      </w:r>
      <w:bookmarkEnd w:id="112"/>
    </w:p>
    <w:p>
      <w:pPr>
        <w:spacing w:line="360" w:lineRule="auto"/>
        <w:ind w:firstLine="481"/>
        <w:jc w:val="left"/>
        <w:outlineLvl w:val="1"/>
        <w:rPr>
          <w:rFonts w:ascii="黑体" w:hAnsi="黑体" w:eastAsia="黑体" w:cs="黑体"/>
          <w:b/>
          <w:sz w:val="24"/>
        </w:rPr>
      </w:pPr>
      <w:bookmarkStart w:id="113" w:name="_Toc983"/>
      <w:bookmarkStart w:id="114" w:name="_Toc7863"/>
      <w:bookmarkStart w:id="115" w:name="_Toc30935"/>
      <w:bookmarkStart w:id="116" w:name="_Toc9954"/>
      <w:r>
        <w:rPr>
          <w:rFonts w:hint="eastAsia" w:ascii="黑体" w:hAnsi="黑体" w:eastAsia="黑体" w:cs="黑体"/>
          <w:b/>
          <w:sz w:val="24"/>
        </w:rPr>
        <w:t>一、</w:t>
      </w:r>
      <w:bookmarkEnd w:id="113"/>
      <w:bookmarkEnd w:id="114"/>
      <w:r>
        <w:rPr>
          <w:rFonts w:hint="eastAsia" w:ascii="黑体" w:hAnsi="黑体" w:eastAsia="黑体" w:cs="黑体"/>
          <w:b/>
          <w:sz w:val="24"/>
        </w:rPr>
        <w:t>开启响应文件</w:t>
      </w:r>
      <w:bookmarkEnd w:id="115"/>
      <w:bookmarkEnd w:id="116"/>
    </w:p>
    <w:p>
      <w:pPr>
        <w:tabs>
          <w:tab w:val="left" w:pos="525"/>
        </w:tabs>
        <w:spacing w:line="360" w:lineRule="auto"/>
        <w:ind w:firstLine="480" w:firstLineChars="200"/>
        <w:rPr>
          <w:rFonts w:ascii="宋体" w:hAnsi="宋体"/>
          <w:sz w:val="24"/>
        </w:rPr>
      </w:pPr>
      <w:bookmarkStart w:id="117" w:name="_Toc5246"/>
      <w:bookmarkStart w:id="118" w:name="_Toc23278"/>
      <w:r>
        <w:rPr>
          <w:rFonts w:hint="eastAsia" w:ascii="宋体" w:hAnsi="宋体"/>
          <w:sz w:val="24"/>
        </w:rPr>
        <w:t>1.采购代理机构组织开标、评审工作，整个过程受政府采购监管机构的监督、管理。</w:t>
      </w:r>
    </w:p>
    <w:p>
      <w:pPr>
        <w:tabs>
          <w:tab w:val="left" w:pos="525"/>
        </w:tabs>
        <w:spacing w:line="360" w:lineRule="auto"/>
        <w:ind w:firstLine="480" w:firstLineChars="200"/>
        <w:rPr>
          <w:rFonts w:ascii="宋体" w:hAnsi="宋体"/>
          <w:sz w:val="24"/>
        </w:rPr>
      </w:pPr>
      <w:r>
        <w:rPr>
          <w:rFonts w:hint="eastAsia" w:ascii="宋体" w:hAnsi="宋体"/>
          <w:sz w:val="24"/>
        </w:rPr>
        <w:t>2.采购代理机构在磋商文件规定的时间和地点组织开标。供应商须派法定代表人或被授权代表参加，并签到。法定代表人参加的，须出示本人身份证原件；被授权代表参加的，须出示被授权代表的身份证原件。</w:t>
      </w:r>
    </w:p>
    <w:p>
      <w:pPr>
        <w:tabs>
          <w:tab w:val="left" w:pos="525"/>
        </w:tabs>
        <w:spacing w:line="360" w:lineRule="auto"/>
        <w:ind w:firstLine="482" w:firstLineChars="200"/>
        <w:rPr>
          <w:rFonts w:ascii="宋体" w:hAnsi="宋体"/>
          <w:b/>
          <w:bCs/>
          <w:sz w:val="24"/>
        </w:rPr>
      </w:pPr>
      <w:r>
        <w:rPr>
          <w:rFonts w:hint="eastAsia" w:ascii="宋体" w:hAnsi="宋体"/>
          <w:b/>
          <w:bCs/>
          <w:sz w:val="24"/>
        </w:rPr>
        <w:t>参加磋商的供应商不足3家的，不得开启。</w:t>
      </w:r>
    </w:p>
    <w:p>
      <w:pPr>
        <w:tabs>
          <w:tab w:val="left" w:pos="525"/>
        </w:tabs>
        <w:spacing w:line="360" w:lineRule="auto"/>
        <w:ind w:firstLine="480" w:firstLineChars="200"/>
        <w:rPr>
          <w:rFonts w:ascii="宋体" w:hAnsi="宋体"/>
          <w:sz w:val="24"/>
        </w:rPr>
      </w:pPr>
      <w:r>
        <w:rPr>
          <w:rFonts w:hint="eastAsia" w:ascii="宋体" w:hAnsi="宋体"/>
          <w:sz w:val="24"/>
        </w:rPr>
        <w:t>3.磋商供应商对开启过程和开启记录有疑义，以及认为采购人、采购代理机构相关工作人员有需要回避情形的，应在开标现场提出询问或回避申请，采购人、采购代理机构应当及时处理。</w:t>
      </w:r>
    </w:p>
    <w:p>
      <w:pPr>
        <w:tabs>
          <w:tab w:val="left" w:pos="525"/>
        </w:tabs>
        <w:spacing w:line="360" w:lineRule="auto"/>
        <w:ind w:firstLine="480" w:firstLineChars="200"/>
        <w:rPr>
          <w:rFonts w:ascii="宋体" w:hAnsi="宋体"/>
          <w:sz w:val="24"/>
        </w:rPr>
      </w:pPr>
      <w:r>
        <w:rPr>
          <w:rFonts w:hint="eastAsia" w:ascii="宋体" w:hAnsi="宋体"/>
          <w:sz w:val="24"/>
        </w:rPr>
        <w:t>4.响应供应商未参加开标的，视同认可开标结果。</w:t>
      </w:r>
    </w:p>
    <w:bookmarkEnd w:id="117"/>
    <w:bookmarkEnd w:id="118"/>
    <w:p>
      <w:pPr>
        <w:spacing w:line="360" w:lineRule="auto"/>
        <w:ind w:firstLine="480" w:firstLineChars="200"/>
        <w:rPr>
          <w:rFonts w:ascii="宋体" w:hAnsi="宋体"/>
          <w:sz w:val="24"/>
        </w:rPr>
      </w:pPr>
      <w:bookmarkStart w:id="119" w:name="_Toc20713"/>
      <w:bookmarkStart w:id="120" w:name="_Toc24432"/>
      <w:r>
        <w:rPr>
          <w:rFonts w:hint="eastAsia" w:ascii="宋体" w:hAnsi="宋体"/>
          <w:sz w:val="24"/>
        </w:rPr>
        <w:t>5.资格性审查</w:t>
      </w:r>
    </w:p>
    <w:p>
      <w:pPr>
        <w:spacing w:line="360" w:lineRule="auto"/>
        <w:ind w:firstLine="480" w:firstLineChars="200"/>
        <w:rPr>
          <w:rFonts w:ascii="宋体" w:hAnsi="宋体"/>
          <w:sz w:val="24"/>
        </w:rPr>
      </w:pPr>
      <w:r>
        <w:rPr>
          <w:rFonts w:hint="eastAsia" w:ascii="宋体" w:hAnsi="宋体"/>
          <w:sz w:val="24"/>
        </w:rPr>
        <w:t>采购人依据法律法规和磋商文件的规定，对响应文件中的供应商资格证明文件进行审查，以确定供应商是否具备磋商资格。</w:t>
      </w:r>
    </w:p>
    <w:p>
      <w:pPr>
        <w:spacing w:line="360" w:lineRule="auto"/>
        <w:ind w:firstLine="480" w:firstLineChars="200"/>
        <w:rPr>
          <w:rFonts w:ascii="宋体" w:hAnsi="宋体"/>
          <w:sz w:val="24"/>
        </w:rPr>
      </w:pPr>
      <w:r>
        <w:rPr>
          <w:rFonts w:hint="eastAsia" w:ascii="宋体" w:hAnsi="宋体"/>
          <w:sz w:val="24"/>
        </w:rPr>
        <w:t>出现下列情形的，响应文件将被视为无效：</w:t>
      </w:r>
    </w:p>
    <w:p>
      <w:pPr>
        <w:spacing w:line="360" w:lineRule="auto"/>
        <w:ind w:firstLine="480" w:firstLineChars="200"/>
        <w:rPr>
          <w:rFonts w:ascii="宋体" w:hAnsi="宋体"/>
          <w:sz w:val="24"/>
        </w:rPr>
      </w:pPr>
      <w:r>
        <w:rPr>
          <w:rFonts w:hint="eastAsia" w:ascii="宋体" w:hAnsi="宋体"/>
          <w:sz w:val="24"/>
        </w:rPr>
        <w:t>5.1不具备磋商文件中规定的资格要求的；</w:t>
      </w:r>
    </w:p>
    <w:p>
      <w:pPr>
        <w:spacing w:line="360" w:lineRule="auto"/>
        <w:ind w:firstLine="480" w:firstLineChars="200"/>
        <w:rPr>
          <w:rFonts w:ascii="宋体" w:hAnsi="宋体"/>
          <w:sz w:val="24"/>
        </w:rPr>
      </w:pPr>
      <w:r>
        <w:rPr>
          <w:rFonts w:hint="eastAsia" w:ascii="宋体" w:hAnsi="宋体"/>
          <w:sz w:val="24"/>
        </w:rPr>
        <w:t>5.2未按磋商文件要求提供资格证明文件，或未按磋商文件要求加盖公章的；</w:t>
      </w:r>
    </w:p>
    <w:p>
      <w:pPr>
        <w:spacing w:line="360" w:lineRule="auto"/>
        <w:ind w:firstLine="480" w:firstLineChars="200"/>
        <w:rPr>
          <w:rFonts w:ascii="宋体" w:hAnsi="宋体"/>
          <w:sz w:val="24"/>
        </w:rPr>
      </w:pPr>
      <w:r>
        <w:rPr>
          <w:rFonts w:hint="eastAsia" w:ascii="宋体" w:hAnsi="宋体"/>
          <w:sz w:val="24"/>
        </w:rPr>
        <w:t>5.3采购人审查人员认为供应商的资格证明文件存在疑点，要求供应商现场或通过电子邮件等形式提供更清晰有效的证明文件，供应商不能在规定时限内提供符合磋商文件要求的证明文件的。</w:t>
      </w:r>
    </w:p>
    <w:p>
      <w:pPr>
        <w:spacing w:line="360" w:lineRule="auto"/>
        <w:ind w:firstLine="480" w:firstLineChars="200"/>
        <w:rPr>
          <w:rFonts w:ascii="宋体" w:hAnsi="宋体"/>
          <w:sz w:val="24"/>
        </w:rPr>
      </w:pPr>
      <w:r>
        <w:rPr>
          <w:rFonts w:hint="eastAsia" w:ascii="宋体" w:hAnsi="宋体"/>
          <w:sz w:val="24"/>
        </w:rPr>
        <w:t>资格审查结束后，采购人审查人员应当对审查结果进行签字确认，并告知有关供应商未通过审查的原因。</w:t>
      </w:r>
    </w:p>
    <w:p>
      <w:pPr>
        <w:spacing w:line="360" w:lineRule="auto"/>
        <w:ind w:firstLine="480" w:firstLineChars="200"/>
        <w:rPr>
          <w:rFonts w:ascii="宋体" w:hAnsi="宋体"/>
          <w:sz w:val="24"/>
        </w:rPr>
      </w:pPr>
      <w:r>
        <w:rPr>
          <w:rFonts w:hint="eastAsia" w:ascii="宋体" w:hAnsi="宋体"/>
          <w:sz w:val="24"/>
        </w:rPr>
        <w:t>通过资格审查的供应商不足3家的，不得进行符合性审查，应予以废标。</w:t>
      </w:r>
    </w:p>
    <w:p>
      <w:pPr>
        <w:spacing w:line="360" w:lineRule="auto"/>
        <w:ind w:firstLine="481"/>
        <w:jc w:val="left"/>
        <w:outlineLvl w:val="1"/>
        <w:rPr>
          <w:rFonts w:ascii="黑体" w:hAnsi="黑体" w:eastAsia="黑体" w:cs="黑体"/>
          <w:b/>
          <w:sz w:val="24"/>
        </w:rPr>
      </w:pPr>
      <w:r>
        <w:rPr>
          <w:rFonts w:hint="eastAsia" w:ascii="黑体" w:hAnsi="黑体" w:eastAsia="黑体" w:cs="黑体"/>
          <w:b/>
          <w:sz w:val="24"/>
        </w:rPr>
        <w:t>二、组织评审</w:t>
      </w:r>
      <w:bookmarkEnd w:id="119"/>
      <w:bookmarkEnd w:id="120"/>
    </w:p>
    <w:p>
      <w:pPr>
        <w:spacing w:line="360" w:lineRule="auto"/>
        <w:ind w:firstLine="480" w:firstLineChars="200"/>
        <w:rPr>
          <w:rFonts w:ascii="宋体" w:hAnsi="宋体"/>
          <w:sz w:val="24"/>
        </w:rPr>
      </w:pPr>
      <w:r>
        <w:rPr>
          <w:rFonts w:hint="eastAsia" w:ascii="宋体" w:hAnsi="宋体"/>
          <w:sz w:val="24"/>
        </w:rPr>
        <w:t>1.采购代理机构负责组织评审工作，并履行下列职责：</w:t>
      </w:r>
    </w:p>
    <w:p>
      <w:pPr>
        <w:spacing w:line="360" w:lineRule="auto"/>
        <w:ind w:firstLine="480" w:firstLineChars="200"/>
        <w:rPr>
          <w:rFonts w:ascii="宋体" w:hAnsi="宋体"/>
          <w:sz w:val="24"/>
        </w:rPr>
      </w:pPr>
      <w:r>
        <w:rPr>
          <w:rFonts w:hint="eastAsia" w:ascii="宋体" w:hAnsi="宋体"/>
          <w:sz w:val="24"/>
        </w:rPr>
        <w:t>1.1核对评审专家身份和采购人代表授权函，对评审专家在政府采购活动中的职责履行情况予以记录，并及时将有关违法违规行为向财政部门报告;</w:t>
      </w:r>
    </w:p>
    <w:p>
      <w:pPr>
        <w:spacing w:line="360" w:lineRule="auto"/>
        <w:ind w:firstLine="480" w:firstLineChars="200"/>
        <w:rPr>
          <w:rFonts w:ascii="宋体" w:hAnsi="宋体"/>
          <w:sz w:val="24"/>
        </w:rPr>
      </w:pPr>
      <w:r>
        <w:rPr>
          <w:rFonts w:hint="eastAsia" w:ascii="宋体" w:hAnsi="宋体"/>
          <w:sz w:val="24"/>
        </w:rPr>
        <w:t>1.2宣布评审纪律;</w:t>
      </w:r>
    </w:p>
    <w:p>
      <w:pPr>
        <w:spacing w:line="360" w:lineRule="auto"/>
        <w:ind w:firstLine="480" w:firstLineChars="200"/>
        <w:rPr>
          <w:rFonts w:ascii="宋体" w:hAnsi="宋体"/>
          <w:sz w:val="24"/>
        </w:rPr>
      </w:pPr>
      <w:r>
        <w:rPr>
          <w:rFonts w:hint="eastAsia" w:ascii="宋体" w:hAnsi="宋体"/>
          <w:sz w:val="24"/>
        </w:rPr>
        <w:t>1.3公布供应商名单，告知评审专家应当回避的情形;</w:t>
      </w:r>
    </w:p>
    <w:p>
      <w:pPr>
        <w:spacing w:line="360" w:lineRule="auto"/>
        <w:ind w:firstLine="480" w:firstLineChars="200"/>
        <w:rPr>
          <w:rFonts w:ascii="宋体" w:hAnsi="宋体"/>
          <w:sz w:val="24"/>
        </w:rPr>
      </w:pPr>
      <w:r>
        <w:rPr>
          <w:rFonts w:hint="eastAsia" w:ascii="宋体" w:hAnsi="宋体"/>
          <w:sz w:val="24"/>
        </w:rPr>
        <w:t>1.4组织磋商小组推选评审组长，采购人代表不得担任组长;</w:t>
      </w:r>
    </w:p>
    <w:p>
      <w:pPr>
        <w:spacing w:line="360" w:lineRule="auto"/>
        <w:ind w:firstLine="480" w:firstLineChars="200"/>
        <w:rPr>
          <w:rFonts w:ascii="宋体" w:hAnsi="宋体"/>
          <w:sz w:val="24"/>
        </w:rPr>
      </w:pPr>
      <w:r>
        <w:rPr>
          <w:rFonts w:hint="eastAsia" w:ascii="宋体" w:hAnsi="宋体"/>
          <w:sz w:val="24"/>
        </w:rPr>
        <w:t>1.5在评审期间采取必要的通讯管理措施，保证评审活动不受外界干扰;</w:t>
      </w:r>
    </w:p>
    <w:p>
      <w:pPr>
        <w:spacing w:line="360" w:lineRule="auto"/>
        <w:ind w:firstLine="480" w:firstLineChars="200"/>
        <w:rPr>
          <w:rFonts w:ascii="宋体" w:hAnsi="宋体"/>
          <w:sz w:val="24"/>
        </w:rPr>
      </w:pPr>
      <w:r>
        <w:rPr>
          <w:rFonts w:hint="eastAsia" w:ascii="宋体" w:hAnsi="宋体"/>
          <w:sz w:val="24"/>
        </w:rPr>
        <w:t>1.6根据磋商小组的要求介绍政府采购相关政策法规、磋商文件;</w:t>
      </w:r>
    </w:p>
    <w:p>
      <w:pPr>
        <w:spacing w:line="360" w:lineRule="auto"/>
        <w:ind w:firstLine="480" w:firstLineChars="200"/>
        <w:rPr>
          <w:rFonts w:ascii="宋体" w:hAnsi="宋体"/>
          <w:sz w:val="24"/>
        </w:rPr>
      </w:pPr>
      <w:r>
        <w:rPr>
          <w:rFonts w:hint="eastAsia" w:ascii="宋体" w:hAnsi="宋体"/>
          <w:sz w:val="24"/>
        </w:rPr>
        <w:t>1.7维护评审秩序，监督磋商小组依照磋商文件规定的评审程序、方法和标准进行独立评审，及时制止和纠正采购人代表、评审专家的倾向性言论或者违法违规行为;</w:t>
      </w:r>
    </w:p>
    <w:p>
      <w:pPr>
        <w:spacing w:line="360" w:lineRule="auto"/>
        <w:ind w:firstLine="480" w:firstLineChars="200"/>
        <w:rPr>
          <w:rFonts w:ascii="宋体" w:hAnsi="宋体"/>
          <w:sz w:val="24"/>
        </w:rPr>
      </w:pPr>
      <w:r>
        <w:rPr>
          <w:rFonts w:hint="eastAsia" w:ascii="宋体" w:hAnsi="宋体"/>
          <w:sz w:val="24"/>
        </w:rPr>
        <w:t>1.8核对评审结果;</w:t>
      </w:r>
    </w:p>
    <w:p>
      <w:pPr>
        <w:spacing w:line="360" w:lineRule="auto"/>
        <w:ind w:firstLine="480" w:firstLineChars="200"/>
        <w:rPr>
          <w:rFonts w:ascii="宋体" w:hAnsi="宋体"/>
          <w:sz w:val="24"/>
        </w:rPr>
      </w:pPr>
      <w:r>
        <w:rPr>
          <w:rFonts w:hint="eastAsia" w:ascii="宋体" w:hAnsi="宋体"/>
          <w:sz w:val="24"/>
        </w:rPr>
        <w:t>1.9评审工作完成后，按照规定向评审专家支付劳务报酬和异地评审差旅费，不得向评审专家以外的其他人员支付评审劳务报酬;</w:t>
      </w:r>
    </w:p>
    <w:p>
      <w:pPr>
        <w:spacing w:line="360" w:lineRule="auto"/>
        <w:ind w:firstLine="480" w:firstLineChars="200"/>
        <w:rPr>
          <w:rFonts w:ascii="宋体" w:hAnsi="宋体"/>
          <w:sz w:val="24"/>
        </w:rPr>
      </w:pPr>
      <w:r>
        <w:rPr>
          <w:rFonts w:hint="eastAsia" w:ascii="宋体" w:hAnsi="宋体"/>
          <w:sz w:val="24"/>
        </w:rPr>
        <w:t>1.10处理与评审有关的其他事项。</w:t>
      </w:r>
    </w:p>
    <w:p>
      <w:pPr>
        <w:spacing w:line="360" w:lineRule="auto"/>
        <w:ind w:firstLine="480" w:firstLineChars="200"/>
        <w:rPr>
          <w:rFonts w:ascii="宋体" w:hAnsi="宋体"/>
          <w:sz w:val="24"/>
        </w:rPr>
      </w:pPr>
      <w:r>
        <w:rPr>
          <w:rFonts w:hint="eastAsia" w:ascii="宋体" w:hAnsi="宋体"/>
          <w:sz w:val="24"/>
        </w:rPr>
        <w:t>采购人可以在评审前说明项目背景和采购需求，说明内容不得含有歧视性、倾向性意见，不得超出磋商文件所述范围。说明应当提交书面材料，并随磋商文件一并存档</w:t>
      </w:r>
    </w:p>
    <w:p>
      <w:pPr>
        <w:spacing w:line="360" w:lineRule="auto"/>
        <w:ind w:firstLine="480" w:firstLineChars="200"/>
        <w:rPr>
          <w:rFonts w:ascii="宋体" w:hAnsi="宋体"/>
          <w:sz w:val="24"/>
        </w:rPr>
      </w:pPr>
      <w:r>
        <w:rPr>
          <w:rFonts w:hint="eastAsia" w:ascii="宋体" w:hAnsi="宋体"/>
          <w:sz w:val="24"/>
        </w:rPr>
        <w:t>2.磋商小组负责具体评审事务，并独立履行下列职责：</w:t>
      </w:r>
    </w:p>
    <w:p>
      <w:pPr>
        <w:spacing w:line="360" w:lineRule="auto"/>
        <w:ind w:firstLine="480" w:firstLineChars="200"/>
        <w:rPr>
          <w:rFonts w:ascii="宋体" w:hAnsi="宋体"/>
          <w:sz w:val="24"/>
        </w:rPr>
      </w:pPr>
      <w:r>
        <w:rPr>
          <w:rFonts w:hint="eastAsia" w:ascii="宋体" w:hAnsi="宋体"/>
          <w:sz w:val="24"/>
        </w:rPr>
        <w:t>2.1遵守评审工作纪律，不得泄露评审情况和评审中获悉的商业秘密；</w:t>
      </w:r>
    </w:p>
    <w:p>
      <w:pPr>
        <w:spacing w:line="360" w:lineRule="auto"/>
        <w:ind w:firstLine="480" w:firstLineChars="200"/>
        <w:rPr>
          <w:rFonts w:ascii="宋体" w:hAnsi="宋体"/>
          <w:sz w:val="24"/>
        </w:rPr>
      </w:pPr>
      <w:r>
        <w:rPr>
          <w:rFonts w:hint="eastAsia" w:ascii="宋体" w:hAnsi="宋体"/>
          <w:sz w:val="24"/>
        </w:rPr>
        <w:t>2.2按照客观、公正、审慎的原则，根据磋商文件规定的评审程序、评审方法和评审标准进行独立评审；</w:t>
      </w:r>
    </w:p>
    <w:p>
      <w:pPr>
        <w:spacing w:line="360" w:lineRule="auto"/>
        <w:ind w:firstLine="480" w:firstLineChars="200"/>
        <w:rPr>
          <w:rFonts w:ascii="宋体" w:hAnsi="宋体"/>
          <w:sz w:val="24"/>
        </w:rPr>
      </w:pPr>
      <w:r>
        <w:rPr>
          <w:rFonts w:hint="eastAsia" w:ascii="宋体" w:hAnsi="宋体"/>
          <w:sz w:val="24"/>
        </w:rPr>
        <w:t>2.3要求供应商对响应文件有关事项做出澄清或者说明；</w:t>
      </w:r>
    </w:p>
    <w:p>
      <w:pPr>
        <w:spacing w:line="360" w:lineRule="auto"/>
        <w:ind w:firstLine="480" w:firstLineChars="200"/>
        <w:rPr>
          <w:rFonts w:ascii="宋体" w:hAnsi="宋体"/>
          <w:sz w:val="24"/>
        </w:rPr>
      </w:pPr>
      <w:r>
        <w:rPr>
          <w:rFonts w:hint="eastAsia" w:ascii="宋体" w:hAnsi="宋体"/>
          <w:sz w:val="24"/>
        </w:rPr>
        <w:t>2.4与供应商分别进行磋商；</w:t>
      </w:r>
    </w:p>
    <w:p>
      <w:pPr>
        <w:spacing w:line="360" w:lineRule="auto"/>
        <w:ind w:firstLine="480" w:firstLineChars="200"/>
        <w:rPr>
          <w:rFonts w:ascii="宋体" w:hAnsi="宋体"/>
          <w:sz w:val="24"/>
        </w:rPr>
      </w:pPr>
      <w:r>
        <w:rPr>
          <w:rFonts w:hint="eastAsia" w:ascii="宋体" w:hAnsi="宋体"/>
          <w:sz w:val="24"/>
        </w:rPr>
        <w:t>2.5对响应文件进行比较和评价；</w:t>
      </w:r>
    </w:p>
    <w:p>
      <w:pPr>
        <w:spacing w:line="360" w:lineRule="auto"/>
        <w:ind w:firstLine="480" w:firstLineChars="200"/>
        <w:rPr>
          <w:rFonts w:ascii="宋体" w:hAnsi="宋体"/>
          <w:sz w:val="24"/>
        </w:rPr>
      </w:pPr>
      <w:r>
        <w:rPr>
          <w:rFonts w:hint="eastAsia" w:ascii="宋体" w:hAnsi="宋体"/>
          <w:sz w:val="24"/>
        </w:rPr>
        <w:t>2.6确定成交候选人名单，以及根据采购人委托直接确定成交供应商；</w:t>
      </w:r>
    </w:p>
    <w:p>
      <w:pPr>
        <w:spacing w:line="360" w:lineRule="auto"/>
        <w:ind w:firstLine="480" w:firstLineChars="200"/>
        <w:rPr>
          <w:rFonts w:ascii="宋体" w:hAnsi="宋体"/>
          <w:sz w:val="24"/>
        </w:rPr>
      </w:pPr>
      <w:r>
        <w:rPr>
          <w:rFonts w:hint="eastAsia" w:ascii="宋体" w:hAnsi="宋体"/>
          <w:sz w:val="24"/>
        </w:rPr>
        <w:t>2.7配合答复供应商的询问、质疑和投诉等事项，不得泄露评审文件、评审情况和在评审过程中获悉的商业秘密；</w:t>
      </w:r>
    </w:p>
    <w:p>
      <w:pPr>
        <w:spacing w:line="360" w:lineRule="auto"/>
        <w:ind w:firstLine="480" w:firstLineChars="200"/>
        <w:rPr>
          <w:rFonts w:ascii="宋体" w:hAnsi="宋体"/>
          <w:sz w:val="24"/>
        </w:rPr>
      </w:pPr>
      <w:r>
        <w:rPr>
          <w:rFonts w:hint="eastAsia" w:ascii="宋体" w:hAnsi="宋体"/>
          <w:sz w:val="24"/>
        </w:rPr>
        <w:t>2.8向采购人、采购代理机构或者有关部门报告评审中发现的违法行为。</w:t>
      </w:r>
    </w:p>
    <w:p>
      <w:pPr>
        <w:spacing w:line="360" w:lineRule="auto"/>
        <w:ind w:firstLine="480" w:firstLineChars="200"/>
        <w:rPr>
          <w:rFonts w:ascii="宋体" w:hAnsi="宋体"/>
          <w:sz w:val="24"/>
        </w:rPr>
      </w:pPr>
      <w:r>
        <w:rPr>
          <w:rFonts w:hint="eastAsia" w:ascii="宋体" w:hAnsi="宋体"/>
          <w:sz w:val="24"/>
        </w:rPr>
        <w:t>3.成立磋商小组</w:t>
      </w:r>
    </w:p>
    <w:p>
      <w:pPr>
        <w:spacing w:line="360" w:lineRule="auto"/>
        <w:ind w:firstLine="480" w:firstLineChars="200"/>
        <w:rPr>
          <w:rFonts w:ascii="宋体" w:hAnsi="宋体"/>
          <w:sz w:val="24"/>
        </w:rPr>
      </w:pPr>
      <w:r>
        <w:rPr>
          <w:rFonts w:hint="eastAsia" w:ascii="宋体" w:hAnsi="宋体"/>
          <w:sz w:val="24"/>
        </w:rPr>
        <w:t>3.1为了确保磋商工作的公平、公正，依据政府采购法和政府采购相关法规、规章，成立磋商小组，磋商小组由采购人代表和评审专家共3人以上单数组成，其中评审专家人数不少于磋商小组成员总数的三分之二。</w:t>
      </w:r>
    </w:p>
    <w:p>
      <w:pPr>
        <w:spacing w:line="360" w:lineRule="auto"/>
        <w:ind w:firstLine="480" w:firstLineChars="200"/>
        <w:rPr>
          <w:rFonts w:ascii="宋体" w:hAnsi="宋体"/>
          <w:sz w:val="24"/>
        </w:rPr>
      </w:pPr>
      <w:r>
        <w:rPr>
          <w:rFonts w:hint="eastAsia" w:ascii="宋体" w:hAnsi="宋体"/>
          <w:sz w:val="24"/>
        </w:rPr>
        <w:t>评审专家对本单位的采购项目只能作为采购人代表参与评审。采购代理机构工作人员不得参加由本机构代理的政府采购项目的评审。</w:t>
      </w:r>
    </w:p>
    <w:p>
      <w:pPr>
        <w:spacing w:line="360" w:lineRule="auto"/>
        <w:ind w:firstLine="480" w:firstLineChars="200"/>
        <w:rPr>
          <w:rFonts w:ascii="宋体" w:hAnsi="宋体"/>
          <w:sz w:val="24"/>
        </w:rPr>
      </w:pPr>
      <w:r>
        <w:rPr>
          <w:rFonts w:hint="eastAsia" w:ascii="宋体" w:hAnsi="宋体"/>
          <w:sz w:val="24"/>
        </w:rPr>
        <w:t>磋商小组成员名单在评审结果公告前应当保密。</w:t>
      </w:r>
    </w:p>
    <w:p>
      <w:pPr>
        <w:spacing w:line="360" w:lineRule="auto"/>
        <w:ind w:firstLine="480" w:firstLineChars="200"/>
        <w:rPr>
          <w:rFonts w:ascii="宋体" w:hAnsi="宋体"/>
          <w:sz w:val="24"/>
        </w:rPr>
      </w:pPr>
      <w:r>
        <w:rPr>
          <w:rFonts w:hint="eastAsia" w:ascii="宋体" w:hAnsi="宋体"/>
          <w:sz w:val="24"/>
        </w:rPr>
        <w:t>3.2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0" w:firstLineChars="200"/>
        <w:rPr>
          <w:rFonts w:ascii="宋体" w:hAnsi="宋体"/>
          <w:sz w:val="24"/>
        </w:rPr>
      </w:pPr>
      <w:r>
        <w:rPr>
          <w:rFonts w:hint="eastAsia" w:ascii="宋体" w:hAnsi="宋体"/>
          <w:sz w:val="24"/>
        </w:rPr>
        <w:t>3.3评审中因磋商小组成员缺席、回避或者健康等特殊原因导致磋商小组组成不符合规定的，采购代理机构应当依法补足后继续评审。被更换的磋商小组成员所做出的评审意见无效。无法及时补足磋商小组成员的，采购代理机构应当停止评审活动，封存所有响应文件和开标、评审资料，依法重新组建磋商小组进行评审。原磋商小组所做出的评审意见无效。</w:t>
      </w:r>
    </w:p>
    <w:p>
      <w:pPr>
        <w:spacing w:line="360" w:lineRule="auto"/>
        <w:ind w:firstLine="480" w:firstLineChars="200"/>
        <w:rPr>
          <w:rFonts w:ascii="宋体" w:hAnsi="宋体"/>
          <w:sz w:val="24"/>
        </w:rPr>
      </w:pPr>
      <w:r>
        <w:rPr>
          <w:rFonts w:hint="eastAsia" w:ascii="宋体" w:hAnsi="宋体"/>
          <w:sz w:val="24"/>
        </w:rPr>
        <w:t>采购代理机构应当将变更、重新组建磋商小组的情况予以记录，并随磋商文件一并存档。</w:t>
      </w:r>
    </w:p>
    <w:p>
      <w:pPr>
        <w:spacing w:line="360" w:lineRule="auto"/>
        <w:ind w:firstLine="480" w:firstLineChars="200"/>
        <w:rPr>
          <w:rFonts w:ascii="宋体" w:hAnsi="宋体"/>
          <w:sz w:val="24"/>
        </w:rPr>
      </w:pPr>
      <w:r>
        <w:rPr>
          <w:rFonts w:hint="eastAsia" w:ascii="宋体" w:hAnsi="宋体"/>
          <w:sz w:val="24"/>
        </w:rPr>
        <w:t>4.评审方法：综合评分法</w:t>
      </w:r>
    </w:p>
    <w:p>
      <w:pPr>
        <w:spacing w:line="360" w:lineRule="auto"/>
        <w:ind w:firstLine="480" w:firstLineChars="200"/>
        <w:rPr>
          <w:rFonts w:ascii="宋体" w:hAnsi="宋体"/>
          <w:sz w:val="24"/>
        </w:rPr>
      </w:pPr>
      <w:r>
        <w:rPr>
          <w:rFonts w:hint="eastAsia" w:ascii="宋体" w:hAnsi="宋体"/>
          <w:sz w:val="24"/>
        </w:rPr>
        <w:t>综合评分法，是指响应文件满足磋商文件全部实质性要求且按评审因素的量化指标评审得分最高的供应商为成交候选供应商的评审方法。</w:t>
      </w:r>
    </w:p>
    <w:p>
      <w:pPr>
        <w:spacing w:line="360" w:lineRule="auto"/>
        <w:ind w:firstLine="480" w:firstLineChars="200"/>
        <w:rPr>
          <w:rFonts w:ascii="宋体" w:hAnsi="宋体"/>
          <w:sz w:val="24"/>
        </w:rPr>
      </w:pPr>
      <w:r>
        <w:rPr>
          <w:rFonts w:hint="eastAsia" w:ascii="宋体" w:hAnsi="宋体"/>
          <w:sz w:val="24"/>
        </w:rPr>
        <w:t>5.评审程序</w:t>
      </w:r>
    </w:p>
    <w:p>
      <w:pPr>
        <w:spacing w:line="360" w:lineRule="auto"/>
        <w:ind w:firstLine="480" w:firstLineChars="200"/>
        <w:rPr>
          <w:rFonts w:ascii="宋体" w:hAnsi="宋体"/>
          <w:sz w:val="24"/>
        </w:rPr>
      </w:pPr>
      <w:r>
        <w:rPr>
          <w:rFonts w:hint="eastAsia" w:ascii="宋体" w:hAnsi="宋体"/>
          <w:sz w:val="24"/>
        </w:rPr>
        <w:t>分步评审，每一步评审不符合磋商文件要求者，不得进入下一步评审，全部评审合格的供应商，进入最后的打分，最后按得分由高到低排序，推荐成交候选供应商。</w:t>
      </w:r>
    </w:p>
    <w:p>
      <w:pPr>
        <w:spacing w:line="360" w:lineRule="auto"/>
        <w:ind w:firstLine="480" w:firstLineChars="200"/>
        <w:rPr>
          <w:rFonts w:ascii="宋体" w:hAnsi="宋体"/>
          <w:sz w:val="24"/>
        </w:rPr>
      </w:pPr>
      <w:r>
        <w:rPr>
          <w:rFonts w:hint="eastAsia" w:ascii="宋体" w:hAnsi="宋体"/>
          <w:sz w:val="24"/>
        </w:rPr>
        <w:t>5.1响应文件的符合性审查</w:t>
      </w:r>
    </w:p>
    <w:p>
      <w:pPr>
        <w:spacing w:line="360" w:lineRule="auto"/>
        <w:ind w:firstLine="480" w:firstLineChars="200"/>
        <w:rPr>
          <w:rFonts w:ascii="宋体" w:hAnsi="宋体"/>
          <w:sz w:val="24"/>
        </w:rPr>
      </w:pPr>
      <w:r>
        <w:rPr>
          <w:rFonts w:hint="eastAsia" w:ascii="宋体" w:hAnsi="宋体"/>
          <w:sz w:val="24"/>
        </w:rPr>
        <w:t>磋商小组依据磋商文件的规定，对响应文件的有效性、完整性和对磋商文件的响应程度进行审查，以确定是否对磋商文件的全部实质性要求做出响应。</w:t>
      </w:r>
    </w:p>
    <w:p>
      <w:pPr>
        <w:spacing w:line="360" w:lineRule="auto"/>
        <w:ind w:firstLine="480" w:firstLineChars="200"/>
        <w:rPr>
          <w:rFonts w:ascii="宋体" w:hAnsi="宋体"/>
          <w:sz w:val="24"/>
        </w:rPr>
      </w:pPr>
      <w:r>
        <w:rPr>
          <w:rFonts w:hint="eastAsia" w:ascii="宋体" w:hAnsi="宋体"/>
          <w:sz w:val="24"/>
        </w:rPr>
        <w:t>磋商小组要审查每份响应文件是否实质上响应了磋商文件的要求。实质上没有响应磋商文件要求的响应文件作无效响应处理，磋商小组应告知有关供应商未通过审查的原因。供应商不得通过修正或撤销不符之处而使其成为实质上响应。</w:t>
      </w:r>
    </w:p>
    <w:p>
      <w:pPr>
        <w:spacing w:line="360" w:lineRule="auto"/>
        <w:ind w:firstLine="480" w:firstLineChars="200"/>
        <w:rPr>
          <w:rFonts w:ascii="宋体" w:hAnsi="宋体"/>
          <w:sz w:val="24"/>
        </w:rPr>
      </w:pPr>
      <w:r>
        <w:rPr>
          <w:rFonts w:hint="eastAsia" w:ascii="宋体" w:hAnsi="宋体"/>
          <w:sz w:val="24"/>
        </w:rPr>
        <w:t>5.2响应文件的澄清</w:t>
      </w:r>
    </w:p>
    <w:p>
      <w:pPr>
        <w:spacing w:line="360" w:lineRule="auto"/>
        <w:ind w:firstLine="480" w:firstLineChars="200"/>
        <w:rPr>
          <w:rFonts w:ascii="宋体" w:hAnsi="宋体"/>
          <w:sz w:val="24"/>
        </w:rPr>
      </w:pPr>
      <w:r>
        <w:rPr>
          <w:rFonts w:hint="eastAsia" w:ascii="宋体" w:hAnsi="宋体"/>
          <w:sz w:val="24"/>
        </w:rPr>
        <w:t>5.2.1磋商小组在对响应文件的有效性、完整性和响应程度进行审查时，可以要求供应商对响应文件中含义不明确、同类问题表述不一致或者有明显文字和计算错误的内容等做出必要的澄清、说明或者更正。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360" w:lineRule="auto"/>
        <w:ind w:firstLine="480" w:firstLineChars="200"/>
        <w:rPr>
          <w:rFonts w:ascii="宋体" w:hAnsi="宋体"/>
          <w:sz w:val="24"/>
        </w:rPr>
      </w:pPr>
      <w:r>
        <w:rPr>
          <w:rFonts w:hint="eastAsia" w:ascii="宋体" w:hAnsi="宋体"/>
          <w:sz w:val="24"/>
        </w:rPr>
        <w:t>5.2.2依照《中华人民共和国民法典》中的过失责任原则，澄清、说明或更正前磋商小组将按最不利于参与本次磋商供应商的原则对响应文件做出评判。</w:t>
      </w:r>
    </w:p>
    <w:p>
      <w:pPr>
        <w:spacing w:line="360" w:lineRule="auto"/>
        <w:ind w:firstLine="480" w:firstLineChars="200"/>
        <w:rPr>
          <w:rFonts w:ascii="宋体" w:hAnsi="宋体"/>
          <w:sz w:val="24"/>
        </w:rPr>
      </w:pPr>
      <w:r>
        <w:rPr>
          <w:rFonts w:hint="eastAsia" w:ascii="宋体" w:hAnsi="宋体"/>
          <w:sz w:val="24"/>
        </w:rPr>
        <w:t>5.2.3磋商小组要求供应商澄清、说明或者更正响应文件应当以书面形式做出。供应商应当在规定的澄清时限内以书面形式提交，供应商的澄清、说明或者更正应当由法定代表人或其授权代表签字或者加盖公章。</w:t>
      </w:r>
    </w:p>
    <w:p>
      <w:pPr>
        <w:spacing w:line="360" w:lineRule="auto"/>
        <w:ind w:firstLine="480" w:firstLineChars="200"/>
        <w:rPr>
          <w:rFonts w:ascii="宋体" w:hAnsi="宋体"/>
          <w:sz w:val="24"/>
        </w:rPr>
      </w:pPr>
      <w:r>
        <w:rPr>
          <w:rFonts w:hint="eastAsia" w:ascii="宋体" w:hAnsi="宋体"/>
          <w:sz w:val="24"/>
        </w:rPr>
        <w:t>5.2.4供应商的澄清、说明或者更正不得超出响应文件的范围或者改变响应文件的实质性内容。澄清、说明或者更正的内容将作为合同履行的重要依据。</w:t>
      </w:r>
    </w:p>
    <w:p>
      <w:pPr>
        <w:spacing w:line="360" w:lineRule="auto"/>
        <w:ind w:firstLine="482" w:firstLineChars="200"/>
        <w:rPr>
          <w:rFonts w:ascii="宋体" w:hAnsi="宋体"/>
          <w:b/>
          <w:bCs/>
          <w:sz w:val="24"/>
        </w:rPr>
      </w:pPr>
      <w:r>
        <w:rPr>
          <w:rFonts w:hint="eastAsia" w:ascii="宋体" w:hAnsi="宋体"/>
          <w:b/>
          <w:bCs/>
          <w:sz w:val="24"/>
        </w:rPr>
        <w:t>除采用竞争性磋商方式采购的政府购买服务项目、市场竞争不充分的科研项目以及需要扶持的科技成果转化项目外，通过符合性审查的供应商不足3家的，不得进行后续磋商活动，应予以废标。</w:t>
      </w:r>
    </w:p>
    <w:p>
      <w:pPr>
        <w:spacing w:line="360" w:lineRule="auto"/>
        <w:ind w:firstLine="480" w:firstLineChars="200"/>
        <w:rPr>
          <w:rFonts w:ascii="宋体" w:hAnsi="宋体"/>
          <w:sz w:val="24"/>
        </w:rPr>
      </w:pPr>
      <w:r>
        <w:rPr>
          <w:rFonts w:hint="eastAsia" w:ascii="宋体" w:hAnsi="宋体"/>
          <w:sz w:val="24"/>
        </w:rPr>
        <w:t>5.3进行磋商</w:t>
      </w:r>
    </w:p>
    <w:p>
      <w:pPr>
        <w:spacing w:line="360" w:lineRule="auto"/>
        <w:ind w:firstLine="480" w:firstLineChars="200"/>
        <w:rPr>
          <w:rFonts w:ascii="宋体" w:hAnsi="宋体"/>
          <w:sz w:val="24"/>
        </w:rPr>
      </w:pPr>
      <w:r>
        <w:rPr>
          <w:rFonts w:hint="eastAsia" w:ascii="宋体" w:hAnsi="宋体"/>
          <w:sz w:val="24"/>
        </w:rPr>
        <w:t>磋商小组所有成员应当集中与单一供应商分别进行磋商，并给予所有参加磋商的供应商平等的磋商机会。需要供应商书面答复磋商内容的，供应商应当按照磋商小组的要求，在磋商小组规定的时限内以书面形式答复磋商的内容，并由法定代表人或其授权代表签字或者加盖公章。</w:t>
      </w:r>
    </w:p>
    <w:p>
      <w:pPr>
        <w:spacing w:line="360" w:lineRule="auto"/>
        <w:ind w:firstLine="480" w:firstLineChars="200"/>
        <w:rPr>
          <w:rFonts w:ascii="宋体" w:hAnsi="宋体"/>
          <w:sz w:val="24"/>
        </w:rPr>
      </w:pPr>
      <w:r>
        <w:rPr>
          <w:rFonts w:hint="eastAsia" w:ascii="宋体" w:hAnsi="宋体"/>
          <w:sz w:val="24"/>
        </w:rPr>
        <w:t>5.4磋商文件的实质性变更</w:t>
      </w:r>
    </w:p>
    <w:p>
      <w:pPr>
        <w:spacing w:line="360" w:lineRule="auto"/>
        <w:ind w:firstLine="480" w:firstLineChars="200"/>
        <w:rPr>
          <w:rFonts w:ascii="宋体" w:hAnsi="宋体"/>
          <w:sz w:val="24"/>
        </w:rPr>
      </w:pPr>
      <w:r>
        <w:rPr>
          <w:rFonts w:hint="eastAsia" w:ascii="宋体" w:hAnsi="宋体"/>
          <w:sz w:val="24"/>
        </w:rPr>
        <w:t>5.4.1在磋商过程中，磋商小组可以根据磋商文件和磋商情况实质性变动采购需求中的技术、服务要求以及合同基本条款，但不得变动磋商文件中的其他内容。实质性变动的内容，须经采购人代表确认。</w:t>
      </w:r>
    </w:p>
    <w:p>
      <w:pPr>
        <w:spacing w:line="360" w:lineRule="auto"/>
        <w:ind w:firstLine="480" w:firstLineChars="200"/>
        <w:rPr>
          <w:rFonts w:ascii="宋体" w:hAnsi="宋体"/>
          <w:sz w:val="24"/>
        </w:rPr>
      </w:pPr>
      <w:r>
        <w:rPr>
          <w:rFonts w:hint="eastAsia" w:ascii="宋体" w:hAnsi="宋体"/>
          <w:sz w:val="24"/>
        </w:rPr>
        <w:t>5.4.2对磋商文件作出的实质性变动是磋商文件的有效组成部分，磋商小组将以书面形式通知所有参加磋商的供应商。</w:t>
      </w:r>
    </w:p>
    <w:p>
      <w:pPr>
        <w:spacing w:line="360" w:lineRule="auto"/>
        <w:ind w:firstLine="480" w:firstLineChars="200"/>
        <w:rPr>
          <w:rFonts w:ascii="宋体" w:hAnsi="宋体"/>
          <w:sz w:val="24"/>
        </w:rPr>
      </w:pPr>
      <w:r>
        <w:rPr>
          <w:rFonts w:hint="eastAsia" w:ascii="宋体" w:hAnsi="宋体"/>
          <w:sz w:val="24"/>
        </w:rPr>
        <w:t>5.4.3供应商应当按照磋商文件的变动情况和磋商小组的要求，在磋商小组规定的时限内重新提交响应文件，并由法定代表人或其授权代表签字或者加盖公章。</w:t>
      </w:r>
    </w:p>
    <w:p>
      <w:pPr>
        <w:spacing w:line="360" w:lineRule="auto"/>
        <w:ind w:firstLine="480" w:firstLineChars="200"/>
        <w:rPr>
          <w:rFonts w:ascii="宋体" w:hAnsi="宋体"/>
          <w:sz w:val="24"/>
        </w:rPr>
      </w:pPr>
      <w:r>
        <w:rPr>
          <w:rFonts w:hint="eastAsia" w:ascii="宋体" w:hAnsi="宋体"/>
          <w:sz w:val="24"/>
        </w:rPr>
        <w:t>5.4.4供应商未能在规定的时间内按照磋商小组的要求以书面形式提交实质性变更响应文件的，视作未实质性响应。</w:t>
      </w:r>
    </w:p>
    <w:p>
      <w:pPr>
        <w:spacing w:line="360" w:lineRule="auto"/>
        <w:ind w:firstLine="480" w:firstLineChars="200"/>
        <w:rPr>
          <w:rFonts w:ascii="宋体" w:hAnsi="宋体"/>
          <w:sz w:val="24"/>
        </w:rPr>
      </w:pPr>
      <w:r>
        <w:rPr>
          <w:rFonts w:hint="eastAsia" w:ascii="宋体" w:hAnsi="宋体"/>
          <w:sz w:val="24"/>
        </w:rPr>
        <w:t>5.5最终报价</w:t>
      </w:r>
    </w:p>
    <w:p>
      <w:pPr>
        <w:spacing w:line="360" w:lineRule="auto"/>
        <w:ind w:firstLine="480" w:firstLineChars="200"/>
        <w:rPr>
          <w:rFonts w:ascii="宋体" w:hAnsi="宋体"/>
          <w:sz w:val="24"/>
        </w:rPr>
      </w:pPr>
      <w:r>
        <w:rPr>
          <w:rFonts w:hint="eastAsia" w:ascii="宋体" w:hAnsi="宋体"/>
          <w:sz w:val="24"/>
        </w:rPr>
        <w:t>5.5.1磋商文件能够详细列明采购标的的技术、服务要求的，磋商结束后，磋商小组应当要求所有实质性响应的供应商在规定时间内提交最终报价，提交最终报价的供应商不得少于3家。</w:t>
      </w:r>
    </w:p>
    <w:p>
      <w:pPr>
        <w:spacing w:line="360" w:lineRule="auto"/>
        <w:ind w:firstLine="480" w:firstLineChars="200"/>
        <w:rPr>
          <w:rFonts w:ascii="宋体" w:hAnsi="宋体"/>
          <w:sz w:val="24"/>
        </w:rPr>
      </w:pPr>
      <w:r>
        <w:rPr>
          <w:rFonts w:hint="eastAsia" w:ascii="宋体" w:hAnsi="宋体"/>
          <w:sz w:val="24"/>
        </w:rPr>
        <w:t>5.5.2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pPr>
        <w:spacing w:line="360" w:lineRule="auto"/>
        <w:ind w:firstLine="480" w:firstLineChars="200"/>
        <w:rPr>
          <w:rFonts w:ascii="宋体" w:hAnsi="宋体"/>
          <w:sz w:val="24"/>
        </w:rPr>
      </w:pPr>
      <w:r>
        <w:rPr>
          <w:rFonts w:hint="eastAsia" w:ascii="宋体" w:hAnsi="宋体"/>
          <w:sz w:val="24"/>
        </w:rPr>
        <w:t>5.5.3最终报价是供应商响应文件的有效组成部分。符合《政府采购竞争性磋商采购方式管理暂行办法》第三条第四项情形的，即市场竞争不充分的科研项目，以及需要扶持的科技成果转化项目，提交最终报价的供应商可以为2家。根据《财政部关于政府采购竞争性磋商采购方式管理暂行办法有关问题的补充通知》（财库〔2015〕124 号），采购的政府购买服务项目（含政府和社会资本合作项目），在采购过程中符合要求的供应商（社会资本）只有2家的，竞争性磋商采购活动可以继续进行。</w:t>
      </w:r>
    </w:p>
    <w:p>
      <w:pPr>
        <w:spacing w:line="360" w:lineRule="auto"/>
        <w:ind w:firstLine="480" w:firstLineChars="200"/>
        <w:rPr>
          <w:rFonts w:ascii="宋体" w:hAnsi="宋体"/>
          <w:sz w:val="24"/>
        </w:rPr>
      </w:pPr>
      <w:r>
        <w:rPr>
          <w:rFonts w:hint="eastAsia" w:ascii="宋体" w:hAnsi="宋体"/>
          <w:sz w:val="24"/>
        </w:rPr>
        <w:t>5.5.4供应商要以书面形式提交最终报价。</w:t>
      </w:r>
    </w:p>
    <w:p>
      <w:pPr>
        <w:spacing w:line="360" w:lineRule="auto"/>
        <w:ind w:firstLine="480" w:firstLineChars="200"/>
        <w:rPr>
          <w:rFonts w:ascii="宋体" w:hAnsi="宋体"/>
          <w:sz w:val="24"/>
        </w:rPr>
      </w:pPr>
      <w:r>
        <w:rPr>
          <w:rFonts w:hint="eastAsia" w:ascii="宋体" w:hAnsi="宋体"/>
          <w:sz w:val="24"/>
        </w:rPr>
        <w:t>最终报价表应由其法定代表人或授权代表签字。最终报价将作为综合评分法中价格分的计算依据。</w:t>
      </w:r>
    </w:p>
    <w:p>
      <w:pPr>
        <w:spacing w:line="360" w:lineRule="auto"/>
        <w:ind w:firstLine="480" w:firstLineChars="200"/>
        <w:rPr>
          <w:rFonts w:ascii="宋体" w:hAnsi="宋体"/>
          <w:sz w:val="24"/>
        </w:rPr>
      </w:pPr>
      <w:r>
        <w:rPr>
          <w:rFonts w:hint="eastAsia" w:ascii="宋体" w:hAnsi="宋体"/>
          <w:sz w:val="24"/>
        </w:rPr>
        <w:t>5.5.5已提交响应文件的供应商，在提交最终报价之前，可以根据磋商情况书面申请退出磋商，书面申请应由其法定代表人或授权代表签字。采购代理机构将退还其所交纳的磋商保证金。</w:t>
      </w:r>
    </w:p>
    <w:p>
      <w:pPr>
        <w:spacing w:line="360" w:lineRule="auto"/>
        <w:ind w:firstLine="480" w:firstLineChars="200"/>
        <w:rPr>
          <w:rFonts w:ascii="宋体" w:hAnsi="宋体"/>
          <w:sz w:val="24"/>
        </w:rPr>
      </w:pPr>
      <w:r>
        <w:rPr>
          <w:rFonts w:hint="eastAsia" w:ascii="宋体" w:hAnsi="宋体"/>
          <w:sz w:val="24"/>
        </w:rPr>
        <w:t>5.5.6磋商小组认为供应商的报价明显低于其他通过符合性和响应性审查供应商的报价，有可能影响工程、货物、服务质量或者不能诚信履约的，要求供应商在规定时间内以书面形式提供说明（必要时提交相关证明材料），供应商不能证明其报价合理性的，按无效响应对待。</w:t>
      </w:r>
    </w:p>
    <w:p>
      <w:pPr>
        <w:spacing w:line="360" w:lineRule="auto"/>
        <w:ind w:firstLine="480" w:firstLineChars="200"/>
        <w:rPr>
          <w:rFonts w:ascii="宋体" w:hAnsi="宋体"/>
          <w:sz w:val="24"/>
        </w:rPr>
      </w:pPr>
      <w:r>
        <w:rPr>
          <w:rFonts w:hint="eastAsia" w:ascii="宋体" w:hAnsi="宋体"/>
          <w:sz w:val="24"/>
        </w:rPr>
        <w:t>5.6综合比较与评价</w:t>
      </w:r>
    </w:p>
    <w:p>
      <w:pPr>
        <w:spacing w:line="360" w:lineRule="auto"/>
        <w:ind w:firstLine="480" w:firstLineChars="200"/>
        <w:rPr>
          <w:rFonts w:ascii="宋体" w:hAnsi="宋体"/>
          <w:sz w:val="24"/>
        </w:rPr>
      </w:pPr>
      <w:r>
        <w:rPr>
          <w:rFonts w:hint="eastAsia" w:ascii="宋体" w:hAnsi="宋体"/>
          <w:sz w:val="24"/>
        </w:rPr>
        <w:t>5.6.1评分总值最高为100分，评分分值分配如下：</w:t>
      </w:r>
    </w:p>
    <w:tbl>
      <w:tblPr>
        <w:tblStyle w:val="22"/>
        <w:tblW w:w="793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84"/>
        <w:gridCol w:w="1984"/>
        <w:gridCol w:w="1984"/>
        <w:gridCol w:w="198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984"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黑体" w:hAnsi="黑体" w:eastAsia="黑体" w:cs="黑体"/>
                <w:b/>
                <w:bCs/>
                <w:sz w:val="24"/>
              </w:rPr>
            </w:pPr>
            <w:r>
              <w:rPr>
                <w:rFonts w:hint="eastAsia" w:ascii="黑体" w:hAnsi="黑体" w:eastAsia="黑体" w:cs="黑体"/>
                <w:b/>
                <w:bCs/>
                <w:sz w:val="24"/>
              </w:rPr>
              <w:t>评分项目</w:t>
            </w:r>
          </w:p>
        </w:tc>
        <w:tc>
          <w:tcPr>
            <w:tcW w:w="1984"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黑体" w:hAnsi="黑体" w:eastAsia="黑体" w:cs="黑体"/>
                <w:b/>
                <w:bCs/>
                <w:sz w:val="24"/>
              </w:rPr>
            </w:pPr>
            <w:r>
              <w:rPr>
                <w:rFonts w:hint="eastAsia" w:ascii="黑体" w:hAnsi="黑体" w:eastAsia="黑体" w:cs="黑体"/>
                <w:b/>
                <w:bCs/>
                <w:sz w:val="24"/>
              </w:rPr>
              <w:t>技术评分</w:t>
            </w:r>
          </w:p>
        </w:tc>
        <w:tc>
          <w:tcPr>
            <w:tcW w:w="1984"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黑体" w:hAnsi="黑体" w:eastAsia="黑体" w:cs="黑体"/>
                <w:b/>
                <w:bCs/>
                <w:sz w:val="24"/>
              </w:rPr>
            </w:pPr>
            <w:r>
              <w:rPr>
                <w:rFonts w:hint="eastAsia" w:ascii="黑体" w:hAnsi="黑体" w:eastAsia="黑体" w:cs="黑体"/>
                <w:b/>
                <w:bCs/>
                <w:sz w:val="24"/>
              </w:rPr>
              <w:t>商务评分</w:t>
            </w:r>
          </w:p>
        </w:tc>
        <w:tc>
          <w:tcPr>
            <w:tcW w:w="1984"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黑体" w:hAnsi="黑体" w:eastAsia="黑体" w:cs="黑体"/>
                <w:b/>
                <w:bCs/>
                <w:sz w:val="24"/>
              </w:rPr>
            </w:pPr>
            <w:r>
              <w:rPr>
                <w:rFonts w:hint="eastAsia" w:ascii="黑体" w:hAnsi="黑体" w:eastAsia="黑体" w:cs="黑体"/>
                <w:b/>
                <w:bCs/>
                <w:sz w:val="24"/>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984"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仿宋_GB2312" w:hAnsi="仿宋" w:eastAsia="仿宋_GB2312" w:cs="仿宋"/>
                <w:sz w:val="24"/>
              </w:rPr>
            </w:pPr>
            <w:r>
              <w:rPr>
                <w:rFonts w:hint="eastAsia" w:ascii="黑体" w:hAnsi="黑体" w:eastAsia="黑体" w:cs="黑体"/>
                <w:sz w:val="24"/>
              </w:rPr>
              <w:t>分值</w:t>
            </w:r>
          </w:p>
        </w:tc>
        <w:tc>
          <w:tcPr>
            <w:tcW w:w="1984"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sz w:val="24"/>
              </w:rPr>
            </w:pPr>
            <w:r>
              <w:rPr>
                <w:rFonts w:hint="eastAsia" w:ascii="宋体" w:hAnsi="宋体"/>
                <w:sz w:val="24"/>
              </w:rPr>
              <w:t>55</w:t>
            </w:r>
          </w:p>
        </w:tc>
        <w:tc>
          <w:tcPr>
            <w:tcW w:w="1984"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sz w:val="24"/>
              </w:rPr>
            </w:pPr>
            <w:r>
              <w:rPr>
                <w:rFonts w:hint="eastAsia" w:ascii="宋体" w:hAnsi="宋体"/>
                <w:sz w:val="24"/>
              </w:rPr>
              <w:t>35</w:t>
            </w:r>
          </w:p>
        </w:tc>
        <w:tc>
          <w:tcPr>
            <w:tcW w:w="1984"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sz w:val="24"/>
              </w:rPr>
            </w:pPr>
            <w:r>
              <w:rPr>
                <w:rFonts w:hint="eastAsia" w:ascii="宋体" w:hAnsi="宋体"/>
                <w:sz w:val="24"/>
              </w:rPr>
              <w:t>10</w:t>
            </w:r>
          </w:p>
        </w:tc>
      </w:tr>
    </w:tbl>
    <w:p>
      <w:pPr>
        <w:spacing w:line="360" w:lineRule="auto"/>
        <w:ind w:firstLine="480" w:firstLineChars="200"/>
        <w:rPr>
          <w:rFonts w:ascii="宋体" w:hAnsi="宋体"/>
          <w:sz w:val="24"/>
        </w:rPr>
      </w:pPr>
      <w:r>
        <w:rPr>
          <w:rFonts w:hint="eastAsia" w:ascii="宋体" w:hAnsi="宋体"/>
          <w:sz w:val="24"/>
        </w:rPr>
        <w:t>5.6.2技术评审</w:t>
      </w:r>
    </w:p>
    <w:p>
      <w:pPr>
        <w:spacing w:line="360" w:lineRule="auto"/>
        <w:ind w:firstLine="480" w:firstLineChars="200"/>
        <w:rPr>
          <w:rFonts w:ascii="宋体" w:hAnsi="宋体"/>
          <w:sz w:val="24"/>
        </w:rPr>
      </w:pPr>
      <w:r>
        <w:rPr>
          <w:rFonts w:hint="eastAsia" w:ascii="宋体" w:hAnsi="宋体"/>
          <w:sz w:val="24"/>
        </w:rPr>
        <w:t>技术评分项明细及各单项所占分值详见附表《技术评审表》。</w:t>
      </w:r>
    </w:p>
    <w:p>
      <w:pPr>
        <w:spacing w:line="360" w:lineRule="auto"/>
        <w:ind w:firstLine="480" w:firstLineChars="200"/>
        <w:rPr>
          <w:rFonts w:ascii="宋体" w:hAnsi="宋体"/>
          <w:sz w:val="24"/>
        </w:rPr>
      </w:pPr>
      <w:r>
        <w:rPr>
          <w:rFonts w:hint="eastAsia" w:ascii="宋体" w:hAnsi="宋体"/>
          <w:sz w:val="24"/>
        </w:rPr>
        <w:t>5.6.3商务评审</w:t>
      </w:r>
    </w:p>
    <w:p>
      <w:pPr>
        <w:spacing w:line="360" w:lineRule="auto"/>
        <w:ind w:firstLine="480" w:firstLineChars="200"/>
        <w:rPr>
          <w:rFonts w:ascii="宋体" w:hAnsi="宋体"/>
          <w:sz w:val="24"/>
        </w:rPr>
      </w:pPr>
      <w:r>
        <w:rPr>
          <w:rFonts w:hint="eastAsia" w:ascii="宋体" w:hAnsi="宋体"/>
          <w:sz w:val="24"/>
        </w:rPr>
        <w:t>商务评分项明细及各单项所占分值详见附表《商务评审表》。</w:t>
      </w:r>
    </w:p>
    <w:p>
      <w:pPr>
        <w:spacing w:line="360" w:lineRule="auto"/>
        <w:ind w:firstLine="480" w:firstLineChars="200"/>
        <w:rPr>
          <w:rFonts w:ascii="宋体" w:hAnsi="宋体"/>
          <w:sz w:val="24"/>
        </w:rPr>
      </w:pPr>
      <w:r>
        <w:rPr>
          <w:rFonts w:hint="eastAsia" w:ascii="宋体" w:hAnsi="宋体"/>
          <w:sz w:val="24"/>
        </w:rPr>
        <w:t>5.6.4价格评审</w:t>
      </w:r>
    </w:p>
    <w:p>
      <w:pPr>
        <w:spacing w:line="360" w:lineRule="auto"/>
        <w:ind w:firstLine="480" w:firstLineChars="200"/>
        <w:rPr>
          <w:rFonts w:ascii="宋体" w:hAnsi="宋体"/>
          <w:sz w:val="24"/>
        </w:rPr>
      </w:pPr>
      <w:r>
        <w:rPr>
          <w:rFonts w:hint="eastAsia" w:ascii="宋体" w:hAnsi="宋体"/>
          <w:sz w:val="24"/>
        </w:rPr>
        <w:t>5.6.4.1报价错误的处理原则：</w:t>
      </w:r>
    </w:p>
    <w:p>
      <w:pPr>
        <w:numPr>
          <w:ilvl w:val="0"/>
          <w:numId w:val="1"/>
        </w:numPr>
        <w:spacing w:line="360" w:lineRule="auto"/>
        <w:ind w:firstLine="480" w:firstLineChars="200"/>
        <w:rPr>
          <w:rFonts w:ascii="宋体" w:hAnsi="宋体"/>
          <w:sz w:val="24"/>
        </w:rPr>
      </w:pPr>
      <w:r>
        <w:rPr>
          <w:rFonts w:hint="eastAsia" w:ascii="宋体" w:hAnsi="宋体"/>
          <w:sz w:val="24"/>
        </w:rPr>
        <w:t>响应文件的首次报价一览表内容与响应文件不一致的，以首次报价一览表为准；大写金额和小写金额不一致的，以大写金额为准；单价金额小数点或者百分比有明显错位的，以首次报价一览表的总价为准，并修改单价；总价金额与按单价计算汇总金额不一致的，以单价计算汇总金额为准；</w:t>
      </w:r>
    </w:p>
    <w:p>
      <w:pPr>
        <w:spacing w:line="360" w:lineRule="auto"/>
        <w:ind w:firstLine="480" w:firstLineChars="200"/>
        <w:rPr>
          <w:rFonts w:ascii="宋体" w:hAnsi="宋体"/>
          <w:sz w:val="24"/>
        </w:rPr>
      </w:pPr>
      <w:r>
        <w:rPr>
          <w:rFonts w:hint="eastAsia" w:ascii="宋体" w:hAnsi="宋体"/>
          <w:sz w:val="24"/>
        </w:rPr>
        <w:t>2）对响应货物、服务、工程的关键、主要内容，供应商报价漏项的，按非实质性响应处理；</w:t>
      </w:r>
    </w:p>
    <w:p>
      <w:pPr>
        <w:spacing w:line="360" w:lineRule="auto"/>
        <w:ind w:firstLine="480" w:firstLineChars="200"/>
        <w:rPr>
          <w:rFonts w:ascii="宋体" w:hAnsi="宋体"/>
          <w:sz w:val="24"/>
        </w:rPr>
      </w:pPr>
      <w:r>
        <w:rPr>
          <w:rFonts w:hint="eastAsia" w:ascii="宋体" w:hAnsi="宋体"/>
          <w:sz w:val="24"/>
        </w:rPr>
        <w:t>3）对响应货物、服务、工程的非关键、非主要内容，供应商报价漏项的，评审时将要求漏项的供应商予以澄清，但该澄清不作为评审的依据；磋商小组将以其它供应商对应项的最高报价补充计入其评审价；</w:t>
      </w:r>
    </w:p>
    <w:p>
      <w:pPr>
        <w:spacing w:line="360" w:lineRule="auto"/>
        <w:ind w:firstLine="480" w:firstLineChars="200"/>
        <w:rPr>
          <w:rFonts w:ascii="宋体" w:hAnsi="宋体"/>
          <w:sz w:val="24"/>
        </w:rPr>
      </w:pPr>
      <w:r>
        <w:rPr>
          <w:rFonts w:hint="eastAsia" w:ascii="宋体" w:hAnsi="宋体"/>
          <w:sz w:val="24"/>
        </w:rPr>
        <w:t>4）对非关键、非主要内容的费用，如果供应商是另行单独报价的，评审时也相应另行计入其评审价；</w:t>
      </w:r>
    </w:p>
    <w:p>
      <w:pPr>
        <w:spacing w:line="360" w:lineRule="auto"/>
        <w:ind w:firstLine="480" w:firstLineChars="200"/>
        <w:rPr>
          <w:rFonts w:ascii="宋体" w:hAnsi="宋体"/>
          <w:sz w:val="24"/>
        </w:rPr>
      </w:pPr>
      <w:r>
        <w:rPr>
          <w:rFonts w:hint="eastAsia" w:ascii="宋体" w:hAnsi="宋体"/>
          <w:sz w:val="24"/>
        </w:rPr>
        <w:t>5）对数量的评审，以《用户需求书》所明示数量为准；《用户需求书》未明示的，由磋商小组以其专业知识判断，必要时参考供应商的澄清文件决定；</w:t>
      </w:r>
    </w:p>
    <w:p>
      <w:pPr>
        <w:spacing w:line="360" w:lineRule="auto"/>
        <w:ind w:firstLine="480" w:firstLineChars="200"/>
        <w:rPr>
          <w:rFonts w:ascii="宋体" w:hAnsi="宋体"/>
          <w:sz w:val="24"/>
        </w:rPr>
      </w:pPr>
      <w:r>
        <w:rPr>
          <w:rFonts w:hint="eastAsia" w:ascii="宋体" w:hAnsi="宋体"/>
          <w:sz w:val="24"/>
        </w:rPr>
        <w:t>6）本条款中多种处理原则所产生的结果不一致的，以最高的修正价作为核实价。</w:t>
      </w:r>
    </w:p>
    <w:p>
      <w:pPr>
        <w:spacing w:line="360" w:lineRule="auto"/>
        <w:ind w:firstLine="480" w:firstLineChars="200"/>
        <w:rPr>
          <w:rFonts w:ascii="宋体" w:cs="Times New Roman"/>
          <w:sz w:val="24"/>
        </w:rPr>
      </w:pPr>
      <w:r>
        <w:rPr>
          <w:rFonts w:hint="eastAsia" w:ascii="宋体" w:hAnsi="宋体"/>
          <w:sz w:val="24"/>
        </w:rPr>
        <w:t>5.6.4.2对中小微企业响应的扶持：</w:t>
      </w:r>
    </w:p>
    <w:p>
      <w:pPr>
        <w:spacing w:line="360" w:lineRule="auto"/>
        <w:ind w:firstLine="480" w:firstLineChars="200"/>
        <w:rPr>
          <w:rFonts w:ascii="宋体" w:cs="Times New Roman"/>
          <w:sz w:val="24"/>
        </w:rPr>
      </w:pPr>
      <w:r>
        <w:rPr>
          <w:rFonts w:ascii="宋体" w:hAnsi="宋体"/>
          <w:sz w:val="24"/>
        </w:rPr>
        <w:t>1</w:t>
      </w:r>
      <w:r>
        <w:rPr>
          <w:rFonts w:hint="eastAsia" w:ascii="宋体" w:hAnsi="宋体"/>
          <w:sz w:val="24"/>
        </w:rPr>
        <w:t>）本项目专门面向中小微企业采购。</w:t>
      </w:r>
    </w:p>
    <w:p>
      <w:pPr>
        <w:spacing w:line="360" w:lineRule="auto"/>
        <w:ind w:firstLine="480" w:firstLineChars="200"/>
        <w:rPr>
          <w:rFonts w:ascii="宋体" w:cs="Times New Roman"/>
          <w:sz w:val="24"/>
        </w:rPr>
      </w:pPr>
      <w:r>
        <w:rPr>
          <w:rFonts w:ascii="宋体" w:hAnsi="宋体"/>
          <w:sz w:val="24"/>
        </w:rPr>
        <w:t>2</w:t>
      </w:r>
      <w:r>
        <w:rPr>
          <w:rFonts w:hint="eastAsia" w:ascii="宋体" w:hAnsi="宋体"/>
          <w:sz w:val="24"/>
        </w:rPr>
        <w:t>）根据《政府采购促进中小企业发展管理办法》（财库〔2020〕46号）的规定，响应供应商响应时需注意：</w:t>
      </w:r>
    </w:p>
    <w:p>
      <w:pPr>
        <w:spacing w:line="360" w:lineRule="auto"/>
        <w:ind w:firstLine="480" w:firstLineChars="200"/>
        <w:rPr>
          <w:rFonts w:ascii="宋体" w:cs="Times New Roman"/>
          <w:sz w:val="24"/>
        </w:rPr>
      </w:pPr>
      <w:r>
        <w:rPr>
          <w:rFonts w:hint="eastAsia" w:ascii="宋体" w:hAnsi="宋体"/>
          <w:sz w:val="24"/>
        </w:rPr>
        <w:t>本办法所称中型、小型、微型企业应当同时符合以下条件：</w:t>
      </w:r>
    </w:p>
    <w:p>
      <w:pPr>
        <w:spacing w:line="360" w:lineRule="auto"/>
        <w:ind w:firstLine="480" w:firstLineChars="200"/>
        <w:rPr>
          <w:rFonts w:ascii="宋体" w:cs="Times New Roman"/>
          <w:sz w:val="24"/>
        </w:rPr>
      </w:pPr>
      <w:r>
        <w:rPr>
          <w:rFonts w:hint="eastAsia" w:ascii="宋体" w:hAnsi="宋体"/>
          <w:sz w:val="24"/>
        </w:rPr>
        <w:t>（一）符合中型、小型、微型企业划分标准；</w:t>
      </w:r>
    </w:p>
    <w:p>
      <w:pPr>
        <w:spacing w:line="360" w:lineRule="auto"/>
        <w:ind w:firstLine="480" w:firstLineChars="200"/>
        <w:rPr>
          <w:rFonts w:ascii="宋体" w:cs="Times New Roman"/>
          <w:sz w:val="24"/>
        </w:rPr>
      </w:pPr>
      <w:r>
        <w:rPr>
          <w:rFonts w:hint="eastAsia" w:ascii="宋体" w:hAnsi="宋体"/>
          <w:sz w:val="24"/>
        </w:rPr>
        <w:t>中小企业划分标准参照《关于印发中小企业划型标准规定的通知》（工信部联企业</w:t>
      </w:r>
      <w:r>
        <w:rPr>
          <w:rFonts w:ascii="宋体" w:hAnsi="宋体"/>
          <w:sz w:val="24"/>
        </w:rPr>
        <w:t>[2011]300</w:t>
      </w:r>
      <w:r>
        <w:rPr>
          <w:rFonts w:hint="eastAsia" w:ascii="宋体" w:hAnsi="宋体"/>
          <w:sz w:val="24"/>
        </w:rPr>
        <w:t>号）执行。</w:t>
      </w:r>
    </w:p>
    <w:p>
      <w:pPr>
        <w:spacing w:line="360" w:lineRule="auto"/>
        <w:ind w:firstLine="480" w:firstLineChars="200"/>
        <w:rPr>
          <w:rFonts w:ascii="宋体" w:hAnsi="宋体"/>
          <w:sz w:val="24"/>
        </w:rPr>
      </w:pPr>
      <w:r>
        <w:rPr>
          <w:rFonts w:hint="eastAsia" w:ascii="宋体" w:hAnsi="宋体"/>
          <w:sz w:val="24"/>
        </w:rPr>
        <w:t>（二）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pacing w:line="360" w:lineRule="auto"/>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pPr>
        <w:spacing w:line="360" w:lineRule="auto"/>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）参加政府采购活动的</w:t>
      </w:r>
      <w:r>
        <w:rPr>
          <w:rFonts w:hint="eastAsia" w:ascii="宋体" w:hAnsi="宋体"/>
          <w:b/>
          <w:bCs/>
          <w:sz w:val="24"/>
          <w:u w:val="single"/>
        </w:rPr>
        <w:t>中型、小型、微型企业</w:t>
      </w:r>
      <w:r>
        <w:rPr>
          <w:rFonts w:hint="eastAsia" w:ascii="宋体" w:hAnsi="宋体"/>
          <w:sz w:val="24"/>
        </w:rPr>
        <w:t>响应时须提供《中小企业声明函》（格式）。</w:t>
      </w:r>
    </w:p>
    <w:p>
      <w:pPr>
        <w:spacing w:line="360" w:lineRule="auto"/>
        <w:ind w:firstLine="480" w:firstLineChars="200"/>
        <w:rPr>
          <w:rFonts w:ascii="宋体" w:hAnsi="宋体"/>
          <w:sz w:val="24"/>
        </w:rPr>
      </w:pPr>
      <w:r>
        <w:rPr>
          <w:rFonts w:hint="eastAsia" w:ascii="宋体" w:hAnsi="宋体"/>
          <w:sz w:val="24"/>
        </w:rPr>
        <w:t>5.6.4.3对监狱企业的扶持</w:t>
      </w:r>
    </w:p>
    <w:p>
      <w:pPr>
        <w:spacing w:line="360" w:lineRule="auto"/>
        <w:ind w:firstLine="480" w:firstLineChars="200"/>
        <w:rPr>
          <w:rFonts w:ascii="宋体" w:hAnsi="宋体"/>
          <w:sz w:val="24"/>
        </w:rPr>
      </w:pPr>
      <w:r>
        <w:rPr>
          <w:rFonts w:hint="eastAsia" w:ascii="宋体" w:hAnsi="宋体"/>
          <w:sz w:val="24"/>
        </w:rPr>
        <w:t>1）监狱企业应符合《财政部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pPr>
        <w:spacing w:line="360" w:lineRule="auto"/>
        <w:ind w:firstLine="480" w:firstLineChars="200"/>
        <w:rPr>
          <w:rFonts w:ascii="宋体" w:hAnsi="宋体"/>
          <w:sz w:val="24"/>
        </w:rPr>
      </w:pPr>
      <w:r>
        <w:rPr>
          <w:rFonts w:hint="eastAsia" w:ascii="宋体" w:hAnsi="宋体"/>
          <w:sz w:val="24"/>
        </w:rPr>
        <w:t>5.6.4.4对残疾人福利性单位的扶持</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w:t>
      </w:r>
    </w:p>
    <w:p>
      <w:pPr>
        <w:spacing w:line="360" w:lineRule="auto"/>
        <w:ind w:firstLine="480" w:firstLineChars="200"/>
        <w:rPr>
          <w:rFonts w:ascii="宋体" w:hAnsi="宋体"/>
          <w:sz w:val="24"/>
        </w:rPr>
      </w:pPr>
      <w:r>
        <w:rPr>
          <w:rFonts w:hint="eastAsia" w:ascii="宋体" w:hAnsi="宋体"/>
          <w:sz w:val="24"/>
        </w:rPr>
        <w:t>2）参加政府采购活动的</w:t>
      </w:r>
      <w:r>
        <w:rPr>
          <w:rFonts w:hint="eastAsia" w:ascii="宋体" w:hAnsi="宋体"/>
          <w:b/>
          <w:bCs/>
          <w:sz w:val="24"/>
          <w:u w:val="single"/>
        </w:rPr>
        <w:t>残疾人单位</w:t>
      </w:r>
      <w:r>
        <w:rPr>
          <w:rFonts w:hint="eastAsia" w:ascii="宋体" w:hAnsi="宋体"/>
          <w:sz w:val="24"/>
        </w:rPr>
        <w:t>应提供《残疾人福利性单位声明函》（格式）。</w:t>
      </w:r>
    </w:p>
    <w:p>
      <w:pPr>
        <w:spacing w:line="360" w:lineRule="auto"/>
        <w:ind w:firstLine="480" w:firstLineChars="200"/>
        <w:rPr>
          <w:rFonts w:ascii="宋体" w:hAnsi="宋体"/>
          <w:sz w:val="24"/>
        </w:rPr>
      </w:pPr>
      <w:r>
        <w:rPr>
          <w:rFonts w:hint="eastAsia" w:ascii="宋体" w:hAnsi="宋体"/>
          <w:sz w:val="24"/>
        </w:rPr>
        <w:t>5.6.4.5评审价的确定</w:t>
      </w:r>
    </w:p>
    <w:p>
      <w:pPr>
        <w:spacing w:line="360" w:lineRule="auto"/>
        <w:ind w:firstLine="480" w:firstLineChars="200"/>
        <w:rPr>
          <w:rFonts w:ascii="宋体" w:hAnsi="宋体"/>
          <w:sz w:val="24"/>
        </w:rPr>
      </w:pPr>
      <w:r>
        <w:rPr>
          <w:rFonts w:hint="eastAsia" w:ascii="宋体" w:hAnsi="宋体"/>
          <w:sz w:val="24"/>
        </w:rPr>
        <w:t>按上述条款的原则校核修正后的价格为评审价。</w:t>
      </w:r>
    </w:p>
    <w:p>
      <w:pPr>
        <w:spacing w:line="360" w:lineRule="auto"/>
        <w:ind w:firstLine="480" w:firstLineChars="200"/>
        <w:rPr>
          <w:rFonts w:ascii="宋体" w:hAnsi="宋体"/>
          <w:sz w:val="24"/>
        </w:rPr>
      </w:pPr>
      <w:r>
        <w:rPr>
          <w:rFonts w:hint="eastAsia" w:ascii="宋体" w:hAnsi="宋体"/>
          <w:sz w:val="24"/>
        </w:rPr>
        <w:t>5.6.4.6计算价格评分</w:t>
      </w:r>
    </w:p>
    <w:p>
      <w:pPr>
        <w:spacing w:line="360" w:lineRule="auto"/>
        <w:ind w:firstLine="480" w:firstLineChars="200"/>
        <w:rPr>
          <w:rFonts w:ascii="宋体" w:hAnsi="宋体"/>
          <w:sz w:val="24"/>
        </w:rPr>
      </w:pPr>
      <w:r>
        <w:rPr>
          <w:rFonts w:hint="eastAsia" w:ascii="宋体" w:hAnsi="宋体"/>
          <w:sz w:val="24"/>
        </w:rPr>
        <w:t>各有效供应商的评审价中，取最低者作为基准价，各有效供应商的价格评分统一按照下列公式计算：</w:t>
      </w:r>
    </w:p>
    <w:p>
      <w:pPr>
        <w:spacing w:line="360" w:lineRule="auto"/>
        <w:ind w:firstLine="480" w:firstLineChars="200"/>
        <w:rPr>
          <w:rFonts w:ascii="宋体" w:hAnsi="宋体"/>
          <w:sz w:val="24"/>
        </w:rPr>
      </w:pPr>
      <w:r>
        <w:rPr>
          <w:rFonts w:hint="eastAsia" w:ascii="宋体" w:hAnsi="宋体"/>
          <w:sz w:val="24"/>
        </w:rPr>
        <w:t>价格评分＝（基准价÷评审价）×价格分分值。</w:t>
      </w:r>
    </w:p>
    <w:p>
      <w:pPr>
        <w:spacing w:line="360" w:lineRule="auto"/>
        <w:ind w:firstLine="480" w:firstLineChars="200"/>
        <w:rPr>
          <w:rFonts w:ascii="宋体" w:hAnsi="宋体"/>
          <w:sz w:val="24"/>
        </w:rPr>
      </w:pPr>
      <w:r>
        <w:rPr>
          <w:rFonts w:hint="eastAsia" w:ascii="宋体" w:hAnsi="宋体"/>
          <w:sz w:val="24"/>
        </w:rPr>
        <w:t>5.6.5评审总得分及统计：各评委的评分的算术平均值即为该供应商的技术评分或商务评分。然后，根据比价原则评出价格评分。将技术评分、商务评分和价格评分分别相加得出评审总得分（评审总得分分值按四舍五入原则精确到小数点后两位）。</w:t>
      </w:r>
    </w:p>
    <w:p>
      <w:pPr>
        <w:spacing w:line="360" w:lineRule="auto"/>
        <w:ind w:firstLine="480" w:firstLineChars="200"/>
        <w:rPr>
          <w:rFonts w:ascii="宋体" w:hAnsi="宋体"/>
          <w:sz w:val="24"/>
        </w:rPr>
      </w:pPr>
      <w:r>
        <w:rPr>
          <w:rFonts w:hint="eastAsia" w:ascii="宋体" w:hAnsi="宋体"/>
          <w:sz w:val="24"/>
        </w:rPr>
        <w:t>5.7推荐成交候选供应商</w:t>
      </w:r>
    </w:p>
    <w:p>
      <w:pPr>
        <w:spacing w:line="360" w:lineRule="auto"/>
        <w:ind w:firstLine="480" w:firstLineChars="200"/>
        <w:rPr>
          <w:rFonts w:ascii="宋体" w:hAnsi="宋体"/>
          <w:sz w:val="24"/>
        </w:rPr>
      </w:pPr>
      <w:r>
        <w:rPr>
          <w:rFonts w:hint="eastAsia" w:ascii="宋体" w:hAnsi="宋体"/>
          <w:sz w:val="24"/>
        </w:rPr>
        <w:t>磋商小组应当根据综合评分情况，按照评审得分由高到低顺序推荐3名以上成交候选供应商（有效供应商不足三家时以实际数量推荐）。</w:t>
      </w:r>
    </w:p>
    <w:p>
      <w:pPr>
        <w:spacing w:line="360" w:lineRule="auto"/>
        <w:ind w:firstLine="480" w:firstLineChars="200"/>
        <w:rPr>
          <w:rFonts w:ascii="宋体" w:hAnsi="宋体"/>
          <w:sz w:val="24"/>
        </w:rPr>
      </w:pPr>
      <w:r>
        <w:rPr>
          <w:rFonts w:hint="eastAsia" w:ascii="宋体" w:hAnsi="宋体"/>
          <w:sz w:val="24"/>
        </w:rPr>
        <w:t>评标总得分相同的，按下列顺序比较确定：（1）投标报价（由低到高）；（2）技术评分（由高到低），如以上都相同的，名次由评标委员会抽签确定。</w:t>
      </w:r>
    </w:p>
    <w:p>
      <w:pPr>
        <w:spacing w:line="360" w:lineRule="auto"/>
        <w:ind w:firstLine="480" w:firstLineChars="200"/>
        <w:rPr>
          <w:rFonts w:ascii="宋体" w:hAnsi="宋体"/>
          <w:sz w:val="24"/>
        </w:rPr>
      </w:pPr>
      <w:r>
        <w:rPr>
          <w:rFonts w:hint="eastAsia" w:ascii="宋体" w:hAnsi="宋体"/>
          <w:sz w:val="24"/>
        </w:rPr>
        <w:t>5.8编写评审报告</w:t>
      </w:r>
    </w:p>
    <w:p>
      <w:pPr>
        <w:spacing w:line="360" w:lineRule="auto"/>
        <w:ind w:firstLine="480" w:firstLineChars="200"/>
        <w:rPr>
          <w:rFonts w:ascii="宋体" w:hAnsi="宋体"/>
          <w:sz w:val="24"/>
        </w:rPr>
      </w:pPr>
      <w:r>
        <w:rPr>
          <w:rFonts w:hint="eastAsia" w:ascii="宋体" w:hAnsi="宋体"/>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spacing w:line="360" w:lineRule="auto"/>
        <w:ind w:firstLine="480" w:firstLineChars="200"/>
        <w:rPr>
          <w:rFonts w:ascii="宋体" w:hAnsi="宋体"/>
          <w:sz w:val="24"/>
        </w:rPr>
      </w:pPr>
      <w:r>
        <w:rPr>
          <w:rFonts w:hint="eastAsia" w:ascii="宋体" w:hAnsi="宋体"/>
          <w:sz w:val="24"/>
        </w:rPr>
        <w:t>采购人书面授权磋商小组直接确定成交供应商的，磋商小组应在评审报告中明确成交供应商及成交金额。</w:t>
      </w:r>
    </w:p>
    <w:p>
      <w:pPr>
        <w:spacing w:line="360" w:lineRule="auto"/>
        <w:ind w:firstLine="480" w:firstLineChars="200"/>
        <w:rPr>
          <w:rFonts w:ascii="宋体" w:hAnsi="宋体"/>
          <w:sz w:val="24"/>
        </w:rPr>
      </w:pPr>
      <w:r>
        <w:rPr>
          <w:rFonts w:hint="eastAsia" w:ascii="宋体" w:hAnsi="宋体"/>
          <w:sz w:val="24"/>
        </w:rPr>
        <w:t>除下列情形外，任何人不得以任何理由组织重新评审：</w:t>
      </w:r>
    </w:p>
    <w:p>
      <w:pPr>
        <w:spacing w:line="360" w:lineRule="auto"/>
        <w:ind w:firstLine="480" w:firstLineChars="200"/>
        <w:rPr>
          <w:rFonts w:ascii="宋体" w:hAnsi="宋体"/>
          <w:sz w:val="24"/>
        </w:rPr>
      </w:pPr>
      <w:r>
        <w:rPr>
          <w:rFonts w:hint="eastAsia" w:ascii="宋体" w:hAnsi="宋体"/>
          <w:sz w:val="24"/>
        </w:rPr>
        <w:t>（1）资格性检查认定错误的；</w:t>
      </w:r>
    </w:p>
    <w:p>
      <w:pPr>
        <w:spacing w:line="360" w:lineRule="auto"/>
        <w:ind w:firstLine="480" w:firstLineChars="200"/>
        <w:rPr>
          <w:rFonts w:ascii="宋体" w:hAnsi="宋体"/>
          <w:sz w:val="24"/>
        </w:rPr>
      </w:pPr>
      <w:r>
        <w:rPr>
          <w:rFonts w:hint="eastAsia" w:ascii="宋体" w:hAnsi="宋体"/>
          <w:sz w:val="24"/>
        </w:rPr>
        <w:t>（2）分值汇总计算错误的；</w:t>
      </w:r>
    </w:p>
    <w:p>
      <w:pPr>
        <w:spacing w:line="360" w:lineRule="auto"/>
        <w:ind w:firstLine="480" w:firstLineChars="200"/>
        <w:rPr>
          <w:rFonts w:ascii="宋体" w:hAnsi="宋体"/>
          <w:sz w:val="24"/>
        </w:rPr>
      </w:pPr>
      <w:r>
        <w:rPr>
          <w:rFonts w:hint="eastAsia" w:ascii="宋体" w:hAnsi="宋体"/>
          <w:sz w:val="24"/>
        </w:rPr>
        <w:t>（3）分项评分超出评分标准范围的；</w:t>
      </w:r>
    </w:p>
    <w:p>
      <w:pPr>
        <w:spacing w:line="360" w:lineRule="auto"/>
        <w:ind w:firstLine="480" w:firstLineChars="200"/>
        <w:rPr>
          <w:rFonts w:ascii="宋体" w:hAnsi="宋体"/>
          <w:sz w:val="24"/>
        </w:rPr>
      </w:pPr>
      <w:r>
        <w:rPr>
          <w:rFonts w:hint="eastAsia" w:ascii="宋体" w:hAnsi="宋体"/>
          <w:sz w:val="24"/>
        </w:rPr>
        <w:t>（4）客观分因素评分不一致的；</w:t>
      </w:r>
    </w:p>
    <w:p>
      <w:pPr>
        <w:spacing w:line="360" w:lineRule="auto"/>
        <w:ind w:firstLine="480" w:firstLineChars="200"/>
        <w:rPr>
          <w:rFonts w:ascii="宋体" w:hAnsi="宋体"/>
          <w:sz w:val="24"/>
        </w:rPr>
      </w:pPr>
      <w:r>
        <w:rPr>
          <w:rFonts w:hint="eastAsia" w:ascii="宋体" w:hAnsi="宋体"/>
          <w:sz w:val="24"/>
        </w:rPr>
        <w:t>（5）经磋商小组一致认定评分畸高、畸低的情形。</w:t>
      </w:r>
    </w:p>
    <w:p>
      <w:pPr>
        <w:spacing w:line="360" w:lineRule="auto"/>
        <w:ind w:firstLine="480" w:firstLineChars="200"/>
        <w:rPr>
          <w:rFonts w:ascii="宋体" w:hAnsi="宋体"/>
          <w:sz w:val="24"/>
        </w:rPr>
      </w:pPr>
      <w:r>
        <w:rPr>
          <w:rFonts w:hint="eastAsia" w:ascii="宋体" w:hAnsi="宋体"/>
          <w:sz w:val="24"/>
        </w:rPr>
        <w:t>6.有下列情况之一的，视为供应商串通投标，其响应无效：</w:t>
      </w:r>
    </w:p>
    <w:p>
      <w:pPr>
        <w:spacing w:line="360" w:lineRule="auto"/>
        <w:ind w:firstLine="480" w:firstLineChars="200"/>
        <w:rPr>
          <w:rFonts w:ascii="宋体" w:hAnsi="宋体"/>
          <w:sz w:val="24"/>
        </w:rPr>
      </w:pPr>
      <w:r>
        <w:rPr>
          <w:rFonts w:hint="eastAsia" w:ascii="宋体" w:hAnsi="宋体"/>
          <w:sz w:val="24"/>
        </w:rPr>
        <w:t>6.1不同供应商的响应文件由同一单位或者个人编制；</w:t>
      </w:r>
    </w:p>
    <w:p>
      <w:pPr>
        <w:spacing w:line="360" w:lineRule="auto"/>
        <w:ind w:firstLine="480" w:firstLineChars="200"/>
        <w:rPr>
          <w:rFonts w:ascii="宋体" w:hAnsi="宋体"/>
          <w:sz w:val="24"/>
        </w:rPr>
      </w:pPr>
      <w:r>
        <w:rPr>
          <w:rFonts w:hint="eastAsia" w:ascii="宋体" w:hAnsi="宋体"/>
          <w:sz w:val="24"/>
        </w:rPr>
        <w:t>6.2不同供应商的响应文件由同一台电脑编制；</w:t>
      </w:r>
    </w:p>
    <w:p>
      <w:pPr>
        <w:spacing w:line="360" w:lineRule="auto"/>
        <w:ind w:firstLine="480" w:firstLineChars="200"/>
        <w:rPr>
          <w:rFonts w:ascii="宋体" w:hAnsi="宋体"/>
          <w:sz w:val="24"/>
        </w:rPr>
      </w:pPr>
      <w:r>
        <w:rPr>
          <w:rFonts w:hint="eastAsia" w:ascii="宋体" w:hAnsi="宋体"/>
          <w:sz w:val="24"/>
        </w:rPr>
        <w:t>6.3不同供应商委托同一单位或者个人办理投标事宜；</w:t>
      </w:r>
    </w:p>
    <w:p>
      <w:pPr>
        <w:spacing w:line="360" w:lineRule="auto"/>
        <w:ind w:firstLine="480" w:firstLineChars="200"/>
        <w:rPr>
          <w:rFonts w:ascii="宋体" w:hAnsi="宋体"/>
          <w:sz w:val="24"/>
        </w:rPr>
      </w:pPr>
      <w:r>
        <w:rPr>
          <w:rFonts w:hint="eastAsia" w:ascii="宋体" w:hAnsi="宋体"/>
          <w:sz w:val="24"/>
        </w:rPr>
        <w:t>6.4不同供应商的响应文件载明的项目管理成员或者联系人员为同一人；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6.5不同供应商的响应文件异常一致或者磋商报价呈规律性差异；</w:t>
      </w:r>
    </w:p>
    <w:p>
      <w:pPr>
        <w:spacing w:line="360" w:lineRule="auto"/>
        <w:ind w:firstLine="480" w:firstLineChars="200"/>
        <w:rPr>
          <w:rFonts w:ascii="宋体" w:hAnsi="宋体"/>
          <w:sz w:val="24"/>
        </w:rPr>
      </w:pPr>
      <w:r>
        <w:rPr>
          <w:rFonts w:hint="eastAsia" w:ascii="宋体" w:hAnsi="宋体"/>
          <w:sz w:val="24"/>
        </w:rPr>
        <w:t>6.6不同供应商的响应文件相互混装；</w:t>
      </w:r>
    </w:p>
    <w:p>
      <w:pPr>
        <w:spacing w:line="360" w:lineRule="auto"/>
        <w:ind w:firstLine="480" w:firstLineChars="200"/>
        <w:rPr>
          <w:rFonts w:ascii="宋体" w:hAnsi="宋体"/>
          <w:sz w:val="24"/>
        </w:rPr>
      </w:pPr>
      <w:r>
        <w:rPr>
          <w:rFonts w:hint="eastAsia" w:ascii="宋体" w:hAnsi="宋体"/>
          <w:sz w:val="24"/>
        </w:rPr>
        <w:t>6.7不同供应商的磋商保证金从同一单位或者个人的账户转出。</w:t>
      </w:r>
    </w:p>
    <w:p>
      <w:pPr>
        <w:spacing w:line="360" w:lineRule="auto"/>
        <w:ind w:firstLine="480" w:firstLineChars="200"/>
        <w:rPr>
          <w:rFonts w:ascii="宋体" w:hAnsi="宋体"/>
          <w:sz w:val="24"/>
        </w:rPr>
      </w:pPr>
      <w:r>
        <w:rPr>
          <w:rFonts w:hint="eastAsia" w:ascii="宋体" w:hAnsi="宋体"/>
          <w:sz w:val="24"/>
        </w:rPr>
        <w:t>6.8政府采购法律法规及磋商文件规定的其他情形。</w:t>
      </w:r>
    </w:p>
    <w:p>
      <w:pPr>
        <w:spacing w:line="360" w:lineRule="auto"/>
        <w:ind w:firstLine="481"/>
        <w:jc w:val="left"/>
        <w:outlineLvl w:val="1"/>
        <w:rPr>
          <w:rFonts w:ascii="黑体" w:hAnsi="黑体" w:eastAsia="黑体" w:cs="黑体"/>
          <w:b/>
          <w:sz w:val="24"/>
        </w:rPr>
      </w:pPr>
      <w:bookmarkStart w:id="121" w:name="_Toc8840"/>
      <w:bookmarkStart w:id="122" w:name="_Toc21394"/>
      <w:r>
        <w:rPr>
          <w:rFonts w:hint="eastAsia" w:ascii="黑体" w:hAnsi="黑体" w:eastAsia="黑体" w:cs="黑体"/>
          <w:b/>
          <w:sz w:val="24"/>
        </w:rPr>
        <w:t>三、成交</w:t>
      </w:r>
      <w:bookmarkEnd w:id="121"/>
      <w:bookmarkEnd w:id="122"/>
    </w:p>
    <w:p>
      <w:pPr>
        <w:spacing w:line="360" w:lineRule="auto"/>
        <w:ind w:firstLine="480" w:firstLineChars="200"/>
        <w:rPr>
          <w:rFonts w:ascii="宋体" w:hAnsi="宋体"/>
          <w:sz w:val="24"/>
        </w:rPr>
      </w:pPr>
      <w:r>
        <w:rPr>
          <w:rFonts w:hint="eastAsia" w:ascii="宋体" w:hAnsi="宋体"/>
          <w:sz w:val="24"/>
        </w:rPr>
        <w:t>1.本项目采用第</w:t>
      </w:r>
      <w:r>
        <w:rPr>
          <w:rFonts w:hint="eastAsia" w:ascii="宋体" w:hAnsi="宋体"/>
          <w:sz w:val="24"/>
          <w:u w:val="single"/>
        </w:rPr>
        <w:t>（1）</w:t>
      </w:r>
      <w:r>
        <w:rPr>
          <w:rFonts w:hint="eastAsia" w:ascii="宋体" w:hAnsi="宋体"/>
          <w:sz w:val="24"/>
        </w:rPr>
        <w:t>种方式确定成交供应商：</w:t>
      </w:r>
    </w:p>
    <w:p>
      <w:pPr>
        <w:spacing w:line="360" w:lineRule="auto"/>
        <w:ind w:firstLine="480" w:firstLineChars="200"/>
        <w:rPr>
          <w:rFonts w:ascii="宋体" w:hAnsi="宋体"/>
          <w:sz w:val="24"/>
        </w:rPr>
      </w:pPr>
      <w:r>
        <w:rPr>
          <w:rFonts w:hint="eastAsia" w:ascii="宋体" w:hAnsi="宋体"/>
          <w:sz w:val="24"/>
        </w:rPr>
        <w:t>（1）采购人根据磋商小组评审结果确认。采购代理机构在评审结束后2个工作日内将评审报告送采购人确认。采购人在收到评审报告之日起5个工作日内，从评审报告提出的成交候选供应商中，按照排序由高到低的原则确定成交供应商</w:t>
      </w:r>
      <w:r>
        <w:rPr>
          <w:rFonts w:hint="eastAsia" w:asciiTheme="minorEastAsia" w:hAnsiTheme="minorEastAsia" w:cstheme="minorEastAsia"/>
          <w:color w:val="000000" w:themeColor="text1"/>
          <w:sz w:val="24"/>
          <w14:textFill>
            <w14:solidFill>
              <w14:schemeClr w14:val="tx1"/>
            </w14:solidFill>
          </w14:textFill>
        </w:rPr>
        <w:t>，并书面复函采购代理机构</w:t>
      </w:r>
      <w:r>
        <w:rPr>
          <w:rFonts w:hint="eastAsia" w:ascii="宋体" w:hAnsi="宋体"/>
          <w:sz w:val="24"/>
        </w:rPr>
        <w:t>。采购人逾期未确定成交供应商且不提出异议的，视同按评审报告提出的排序第一的供应商为成交供应商。</w:t>
      </w:r>
    </w:p>
    <w:p>
      <w:pPr>
        <w:spacing w:line="360" w:lineRule="auto"/>
        <w:ind w:firstLine="482" w:firstLineChars="200"/>
        <w:rPr>
          <w:rFonts w:ascii="宋体" w:hAnsi="宋体"/>
          <w:b/>
          <w:bCs/>
          <w:sz w:val="24"/>
        </w:rPr>
      </w:pPr>
      <w:r>
        <w:rPr>
          <w:rFonts w:hint="eastAsia" w:ascii="宋体" w:hAnsi="宋体"/>
          <w:b/>
          <w:bCs/>
          <w:sz w:val="24"/>
        </w:rPr>
        <w:t>（2）采购人书面授权磋商小组直接确定成交供应商。</w:t>
      </w:r>
    </w:p>
    <w:p>
      <w:pPr>
        <w:spacing w:line="360" w:lineRule="auto"/>
        <w:ind w:firstLine="482" w:firstLineChars="200"/>
        <w:rPr>
          <w:rFonts w:ascii="宋体" w:hAnsi="宋体"/>
          <w:b/>
          <w:bCs/>
          <w:sz w:val="24"/>
        </w:rPr>
      </w:pPr>
      <w:r>
        <w:rPr>
          <w:rFonts w:hint="eastAsia" w:ascii="宋体" w:hAnsi="宋体"/>
          <w:b/>
          <w:bCs/>
          <w:sz w:val="24"/>
        </w:rPr>
        <w:t>采购人在评审前提供《委托评审小组定标授权书》，磋商小组将根据采购人授权直接确定成交供应商。</w:t>
      </w:r>
    </w:p>
    <w:p>
      <w:pPr>
        <w:spacing w:line="360" w:lineRule="auto"/>
        <w:ind w:firstLine="480" w:firstLineChars="200"/>
        <w:rPr>
          <w:rFonts w:ascii="宋体" w:hAnsi="宋体"/>
          <w:sz w:val="24"/>
        </w:rPr>
      </w:pPr>
      <w:r>
        <w:rPr>
          <w:rFonts w:hint="eastAsia" w:ascii="宋体" w:hAnsi="宋体"/>
          <w:sz w:val="24"/>
        </w:rPr>
        <w:t>2.采购代理机构将在成交供应商确定之日起2个工作日内，在财政部门指定的政府采购信息媒体上发布成交公告，成交公告期限为1个工作日。同时，采购代理机构向成交供应商发出“成交通知书”，并将磋商文件随成交结果同时公告。</w:t>
      </w:r>
    </w:p>
    <w:p>
      <w:pPr>
        <w:spacing w:line="360" w:lineRule="auto"/>
        <w:ind w:firstLine="480" w:firstLineChars="200"/>
        <w:rPr>
          <w:rFonts w:ascii="宋体" w:hAnsi="宋体"/>
          <w:sz w:val="24"/>
        </w:rPr>
      </w:pPr>
      <w:r>
        <w:rPr>
          <w:rFonts w:hint="eastAsia" w:ascii="宋体" w:hAnsi="宋体"/>
          <w:sz w:val="24"/>
        </w:rPr>
        <w:t>成交结果公告应当包括以下内容：</w:t>
      </w:r>
    </w:p>
    <w:p>
      <w:pPr>
        <w:spacing w:line="360" w:lineRule="auto"/>
        <w:ind w:firstLine="480" w:firstLineChars="200"/>
        <w:rPr>
          <w:rFonts w:ascii="宋体" w:hAnsi="宋体"/>
          <w:sz w:val="24"/>
        </w:rPr>
      </w:pPr>
      <w:r>
        <w:rPr>
          <w:rFonts w:hint="eastAsia" w:ascii="宋体" w:hAnsi="宋体"/>
          <w:sz w:val="24"/>
        </w:rPr>
        <w:t>（1）采购人和采购代理机构的名称、地址和联系方式；</w:t>
      </w:r>
    </w:p>
    <w:p>
      <w:pPr>
        <w:spacing w:line="360" w:lineRule="auto"/>
        <w:ind w:firstLine="480" w:firstLineChars="200"/>
        <w:rPr>
          <w:rFonts w:ascii="宋体" w:hAnsi="宋体"/>
          <w:sz w:val="24"/>
        </w:rPr>
      </w:pPr>
      <w:r>
        <w:rPr>
          <w:rFonts w:hint="eastAsia" w:ascii="宋体" w:hAnsi="宋体"/>
          <w:sz w:val="24"/>
        </w:rPr>
        <w:t>（2）项目名称和项目编号；</w:t>
      </w:r>
    </w:p>
    <w:p>
      <w:pPr>
        <w:spacing w:line="360" w:lineRule="auto"/>
        <w:ind w:firstLine="480" w:firstLineChars="200"/>
        <w:rPr>
          <w:rFonts w:ascii="宋体" w:hAnsi="宋体"/>
          <w:sz w:val="24"/>
        </w:rPr>
      </w:pPr>
      <w:r>
        <w:rPr>
          <w:rFonts w:hint="eastAsia" w:ascii="宋体" w:hAnsi="宋体"/>
          <w:sz w:val="24"/>
        </w:rPr>
        <w:t>（3）成交供应商名称、地址和成交金额；</w:t>
      </w:r>
    </w:p>
    <w:p>
      <w:pPr>
        <w:spacing w:line="360" w:lineRule="auto"/>
        <w:ind w:firstLine="480" w:firstLineChars="200"/>
        <w:rPr>
          <w:rFonts w:ascii="宋体" w:hAnsi="宋体"/>
          <w:sz w:val="24"/>
        </w:rPr>
      </w:pPr>
      <w:r>
        <w:rPr>
          <w:rFonts w:hint="eastAsia" w:ascii="宋体" w:hAnsi="宋体"/>
          <w:sz w:val="24"/>
        </w:rPr>
        <w:t>（4）主要成交标的的名称、规格型号、数量、单价、服务要求；</w:t>
      </w:r>
    </w:p>
    <w:p>
      <w:pPr>
        <w:spacing w:line="360" w:lineRule="auto"/>
        <w:ind w:firstLine="480" w:firstLineChars="200"/>
        <w:rPr>
          <w:rFonts w:ascii="宋体" w:hAnsi="宋体"/>
          <w:sz w:val="24"/>
        </w:rPr>
      </w:pPr>
      <w:r>
        <w:rPr>
          <w:rFonts w:hint="eastAsia" w:ascii="宋体" w:hAnsi="宋体"/>
          <w:sz w:val="24"/>
        </w:rPr>
        <w:t>（5）磋商小组成员名单。</w:t>
      </w:r>
    </w:p>
    <w:p>
      <w:pPr>
        <w:spacing w:line="360" w:lineRule="auto"/>
        <w:ind w:firstLine="480" w:firstLineChars="200"/>
        <w:rPr>
          <w:rFonts w:ascii="宋体" w:hAnsi="宋体"/>
          <w:sz w:val="24"/>
        </w:rPr>
      </w:pPr>
      <w:r>
        <w:rPr>
          <w:rFonts w:hint="eastAsia" w:ascii="宋体" w:hAnsi="宋体"/>
          <w:sz w:val="24"/>
        </w:rPr>
        <w:t>采用书面推荐供应商参加采购活动的，还应当公告采购人和评审专家的推荐意见。</w:t>
      </w:r>
    </w:p>
    <w:p>
      <w:pPr>
        <w:spacing w:line="360" w:lineRule="auto"/>
        <w:ind w:firstLine="481"/>
        <w:jc w:val="left"/>
        <w:outlineLvl w:val="1"/>
        <w:rPr>
          <w:rFonts w:ascii="黑体" w:hAnsi="黑体" w:eastAsia="黑体" w:cs="黑体"/>
          <w:b/>
          <w:sz w:val="24"/>
        </w:rPr>
      </w:pPr>
      <w:bookmarkStart w:id="123" w:name="_Toc28390"/>
      <w:bookmarkStart w:id="124" w:name="_Toc17637"/>
      <w:bookmarkStart w:id="125" w:name="_Toc16588"/>
      <w:bookmarkStart w:id="126" w:name="_Toc11305"/>
      <w:r>
        <w:rPr>
          <w:rFonts w:hint="eastAsia" w:ascii="黑体" w:hAnsi="黑体" w:eastAsia="黑体" w:cs="黑体"/>
          <w:b/>
          <w:sz w:val="24"/>
        </w:rPr>
        <w:t>四、其他</w:t>
      </w:r>
      <w:bookmarkEnd w:id="123"/>
      <w:bookmarkEnd w:id="124"/>
    </w:p>
    <w:p>
      <w:pPr>
        <w:spacing w:line="360" w:lineRule="auto"/>
        <w:ind w:firstLine="480" w:firstLineChars="200"/>
        <w:rPr>
          <w:rFonts w:ascii="宋体" w:hAnsi="宋体"/>
          <w:sz w:val="24"/>
        </w:rPr>
      </w:pPr>
      <w:r>
        <w:rPr>
          <w:rFonts w:hint="eastAsia" w:ascii="宋体" w:hAnsi="宋体"/>
          <w:sz w:val="24"/>
        </w:rPr>
        <w:t>1.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spacing w:line="360" w:lineRule="auto"/>
        <w:ind w:firstLine="480" w:firstLineChars="200"/>
        <w:rPr>
          <w:rFonts w:ascii="宋体" w:hAnsi="宋体"/>
          <w:sz w:val="24"/>
        </w:rPr>
      </w:pPr>
      <w:r>
        <w:rPr>
          <w:rFonts w:hint="eastAsia" w:ascii="宋体" w:hAnsi="宋体"/>
          <w:sz w:val="24"/>
        </w:rPr>
        <w:t>2.根据《政府采购法》第三十六条规定，在磋商采购中，出现下列情形之一的，本项目按废标处理：</w:t>
      </w:r>
    </w:p>
    <w:p>
      <w:pPr>
        <w:spacing w:line="360" w:lineRule="auto"/>
        <w:ind w:firstLine="480" w:firstLineChars="200"/>
        <w:rPr>
          <w:rFonts w:ascii="宋体" w:hAnsi="宋体"/>
          <w:sz w:val="24"/>
        </w:rPr>
      </w:pPr>
      <w:r>
        <w:rPr>
          <w:rFonts w:hint="eastAsia" w:ascii="宋体" w:hAnsi="宋体"/>
          <w:sz w:val="24"/>
        </w:rPr>
        <w:t>2.1出现影响采购公正的违法、违规行为的；</w:t>
      </w:r>
    </w:p>
    <w:p>
      <w:pPr>
        <w:spacing w:line="360" w:lineRule="auto"/>
        <w:ind w:firstLine="480" w:firstLineChars="200"/>
        <w:rPr>
          <w:rFonts w:ascii="宋体" w:hAnsi="宋体"/>
          <w:sz w:val="24"/>
        </w:rPr>
      </w:pPr>
      <w:r>
        <w:rPr>
          <w:rFonts w:hint="eastAsia" w:ascii="宋体" w:hAnsi="宋体"/>
          <w:sz w:val="24"/>
        </w:rPr>
        <w:t>2.2供应商的报价均超过了采购预算，采购人不能支付的；</w:t>
      </w:r>
    </w:p>
    <w:p>
      <w:pPr>
        <w:spacing w:line="360" w:lineRule="auto"/>
        <w:ind w:firstLine="480" w:firstLineChars="200"/>
        <w:rPr>
          <w:rFonts w:ascii="宋体" w:hAnsi="宋体"/>
          <w:sz w:val="24"/>
        </w:rPr>
      </w:pPr>
      <w:r>
        <w:rPr>
          <w:rFonts w:hint="eastAsia" w:ascii="宋体" w:hAnsi="宋体"/>
          <w:sz w:val="24"/>
        </w:rPr>
        <w:t>2.3因重大变故，采购任务取消的。</w:t>
      </w:r>
    </w:p>
    <w:p>
      <w:pPr>
        <w:spacing w:line="360" w:lineRule="auto"/>
        <w:ind w:firstLine="480" w:firstLineChars="200"/>
        <w:rPr>
          <w:rFonts w:ascii="宋体" w:hAnsi="宋体"/>
          <w:sz w:val="24"/>
        </w:rPr>
      </w:pPr>
      <w:r>
        <w:rPr>
          <w:rFonts w:hint="eastAsia" w:ascii="宋体" w:hAnsi="宋体"/>
          <w:sz w:val="24"/>
        </w:rPr>
        <w:t>废标后，由采购代理机构发布废标公告。除采购任务取消外，本项目将重新组织采购活动。</w:t>
      </w:r>
    </w:p>
    <w:p>
      <w:pPr>
        <w:spacing w:line="360" w:lineRule="auto"/>
        <w:ind w:firstLine="480" w:firstLineChars="200"/>
        <w:rPr>
          <w:rFonts w:ascii="宋体" w:hAnsi="宋体"/>
          <w:sz w:val="24"/>
        </w:rPr>
      </w:pPr>
      <w:r>
        <w:rPr>
          <w:rFonts w:hint="eastAsia" w:ascii="宋体" w:hAnsi="宋体"/>
          <w:sz w:val="24"/>
        </w:rPr>
        <w:t>3.在递交响应文件阶段、资格审查阶段以及符合性审查阶段，当出现有效供应商不足3家时，除采购任务取消外，按照以下方式处理：</w:t>
      </w:r>
    </w:p>
    <w:p>
      <w:pPr>
        <w:spacing w:line="360" w:lineRule="auto"/>
        <w:ind w:firstLine="480" w:firstLineChars="200"/>
        <w:rPr>
          <w:rFonts w:ascii="宋体" w:hAnsi="宋体"/>
          <w:sz w:val="24"/>
        </w:rPr>
      </w:pPr>
      <w:r>
        <w:rPr>
          <w:rFonts w:hint="eastAsia" w:ascii="宋体" w:hAnsi="宋体"/>
          <w:sz w:val="24"/>
        </w:rPr>
        <w:t>3.1磋商文件存在不合理条款或者磋商程序不符合规定的，采购人、采购代理机构改正后依法重新开展采购活动；</w:t>
      </w:r>
    </w:p>
    <w:p>
      <w:pPr>
        <w:spacing w:line="360" w:lineRule="auto"/>
        <w:ind w:firstLine="480" w:firstLineChars="200"/>
        <w:rPr>
          <w:rFonts w:ascii="宋体" w:hAnsi="宋体"/>
          <w:sz w:val="24"/>
        </w:rPr>
      </w:pPr>
      <w:r>
        <w:rPr>
          <w:rFonts w:hint="eastAsia" w:ascii="宋体" w:hAnsi="宋体"/>
          <w:sz w:val="24"/>
        </w:rPr>
        <w:t>3.2磋商文件没有不合理条款、磋商程序符合规定，需要采用其他采购方式采购的，采购人应当依法报财政部门批准。</w:t>
      </w:r>
    </w:p>
    <w:p>
      <w:pPr>
        <w:spacing w:line="360" w:lineRule="auto"/>
        <w:ind w:firstLine="480" w:firstLineChars="200"/>
        <w:rPr>
          <w:rFonts w:ascii="宋体" w:hAnsi="宋体"/>
          <w:sz w:val="24"/>
        </w:rPr>
      </w:pPr>
      <w:r>
        <w:rPr>
          <w:rFonts w:hint="eastAsia" w:ascii="宋体" w:hAnsi="宋体"/>
          <w:sz w:val="24"/>
        </w:rPr>
        <w:t>4.采购代理机构应当采取必要措施，保证评审在严格保密的情况下进行。除采购人代表、评审现场组织人员外，采购人的其他工作人员以及与评审工作无关的人员不得进入评审现场。</w:t>
      </w:r>
    </w:p>
    <w:p>
      <w:pPr>
        <w:spacing w:line="360" w:lineRule="auto"/>
        <w:ind w:firstLine="480" w:firstLineChars="200"/>
        <w:rPr>
          <w:rFonts w:ascii="宋体" w:hAnsi="宋体"/>
          <w:sz w:val="24"/>
        </w:rPr>
      </w:pPr>
      <w:r>
        <w:rPr>
          <w:rFonts w:hint="eastAsia" w:ascii="宋体" w:hAnsi="宋体"/>
          <w:sz w:val="24"/>
        </w:rPr>
        <w:t>有关人员对评审情况以及在评审过程中获悉的国家秘密、商业秘密负有保密责任。</w:t>
      </w:r>
    </w:p>
    <w:bookmarkEnd w:id="125"/>
    <w:bookmarkEnd w:id="126"/>
    <w:p>
      <w:pPr>
        <w:spacing w:line="360" w:lineRule="auto"/>
        <w:ind w:firstLine="480" w:firstLineChars="200"/>
        <w:rPr>
          <w:rFonts w:ascii="宋体" w:hAnsi="宋体"/>
          <w:sz w:val="24"/>
        </w:rPr>
      </w:pPr>
      <w:r>
        <w:rPr>
          <w:rFonts w:hint="eastAsia" w:ascii="宋体" w:hAnsi="宋体"/>
          <w:sz w:val="24"/>
        </w:rPr>
        <w:t>5.《成交通知书》是合同的一个组成部分，对采购人和成交供应商具有同等法律效力；</w:t>
      </w:r>
    </w:p>
    <w:p>
      <w:pPr>
        <w:spacing w:line="360" w:lineRule="auto"/>
        <w:ind w:firstLine="480" w:firstLineChars="200"/>
        <w:rPr>
          <w:rFonts w:ascii="宋体" w:hAnsi="宋体"/>
          <w:sz w:val="24"/>
        </w:rPr>
      </w:pPr>
      <w:r>
        <w:rPr>
          <w:rFonts w:hint="eastAsia" w:ascii="宋体" w:hAnsi="宋体"/>
          <w:sz w:val="24"/>
        </w:rPr>
        <w:t>《成交通知书》发出后，采购人改变成交结果，或者成交供应商放弃成交的，均应承担相应的法律责任。</w:t>
      </w:r>
    </w:p>
    <w:p>
      <w:pPr>
        <w:spacing w:line="360" w:lineRule="auto"/>
        <w:ind w:firstLine="480" w:firstLineChars="200"/>
        <w:rPr>
          <w:rFonts w:ascii="宋体" w:hAnsi="宋体"/>
          <w:sz w:val="24"/>
        </w:rPr>
      </w:pPr>
      <w:r>
        <w:rPr>
          <w:rFonts w:hint="eastAsia" w:ascii="宋体" w:hAnsi="宋体"/>
          <w:sz w:val="24"/>
        </w:rPr>
        <w:t>6.磋商文件未明确的其他事项，按《政府采购法》及其相关法律法规执行。</w:t>
      </w:r>
    </w:p>
    <w:p>
      <w:pPr>
        <w:spacing w:line="360" w:lineRule="auto"/>
        <w:ind w:firstLine="480" w:firstLineChars="200"/>
        <w:rPr>
          <w:rFonts w:ascii="??_GB2312" w:hAnsi="仿宋" w:eastAsia="Times New Roman" w:cs="Times New Roman"/>
          <w:sz w:val="24"/>
        </w:rPr>
      </w:pPr>
    </w:p>
    <w:p>
      <w:pPr>
        <w:spacing w:line="360" w:lineRule="auto"/>
        <w:outlineLvl w:val="1"/>
        <w:rPr>
          <w:rFonts w:eastAsia="黑体"/>
          <w:b/>
          <w:sz w:val="18"/>
          <w:szCs w:val="18"/>
        </w:rPr>
      </w:pPr>
      <w:r>
        <w:rPr>
          <w:rFonts w:hint="eastAsia" w:ascii="仿宋_GB2312" w:hAnsi="仿宋" w:eastAsia="仿宋_GB2312" w:cs="仿宋"/>
          <w:sz w:val="24"/>
        </w:rPr>
        <w:br w:type="page"/>
      </w:r>
      <w:bookmarkStart w:id="127" w:name="_Toc27614"/>
      <w:bookmarkStart w:id="128" w:name="_Toc12860"/>
      <w:bookmarkStart w:id="129" w:name="_Toc10028"/>
      <w:r>
        <w:rPr>
          <w:rFonts w:hint="eastAsia" w:ascii="黑体" w:hAnsi="仿宋" w:eastAsia="黑体" w:cs="黑体"/>
          <w:b/>
          <w:bCs/>
          <w:sz w:val="24"/>
        </w:rPr>
        <w:t>附表1：《资格审查表》</w:t>
      </w:r>
      <w:bookmarkEnd w:id="127"/>
      <w:bookmarkEnd w:id="128"/>
      <w:bookmarkEnd w:id="129"/>
    </w:p>
    <w:p>
      <w:pPr>
        <w:spacing w:line="360" w:lineRule="auto"/>
        <w:jc w:val="center"/>
      </w:pPr>
      <w:r>
        <w:rPr>
          <w:rFonts w:hint="eastAsia" w:ascii="黑体" w:hAnsi="仿宋" w:eastAsia="黑体" w:cs="黑体"/>
          <w:sz w:val="32"/>
          <w:szCs w:val="32"/>
        </w:rPr>
        <w:t>资格审查表</w:t>
      </w:r>
    </w:p>
    <w:tbl>
      <w:tblPr>
        <w:tblStyle w:val="2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blHeader/>
          <w:jc w:val="center"/>
        </w:trPr>
        <w:tc>
          <w:tcPr>
            <w:tcW w:w="707" w:type="dxa"/>
            <w:vAlign w:val="center"/>
          </w:tcPr>
          <w:p>
            <w:pPr>
              <w:jc w:val="center"/>
              <w:rPr>
                <w:rFonts w:ascii="黑体" w:hAnsi="黑体" w:eastAsia="黑体" w:cs="黑体"/>
                <w:b/>
              </w:rPr>
            </w:pPr>
            <w:r>
              <w:rPr>
                <w:rFonts w:hint="eastAsia" w:ascii="黑体" w:hAnsi="黑体" w:eastAsia="黑体" w:cs="黑体"/>
                <w:b/>
              </w:rPr>
              <w:t>序号</w:t>
            </w:r>
          </w:p>
        </w:tc>
        <w:tc>
          <w:tcPr>
            <w:tcW w:w="4968" w:type="dxa"/>
            <w:gridSpan w:val="2"/>
            <w:tcBorders>
              <w:tl2br w:val="single" w:color="auto" w:sz="4" w:space="0"/>
            </w:tcBorders>
            <w:vAlign w:val="center"/>
          </w:tcPr>
          <w:p>
            <w:pPr>
              <w:jc w:val="right"/>
              <w:rPr>
                <w:rFonts w:ascii="黑体" w:hAnsi="黑体" w:eastAsia="黑体" w:cs="黑体"/>
                <w:b/>
              </w:rPr>
            </w:pPr>
            <w:r>
              <w:rPr>
                <w:rFonts w:hint="eastAsia" w:ascii="黑体" w:hAnsi="黑体" w:eastAsia="黑体" w:cs="黑体"/>
                <w:b/>
              </w:rPr>
              <w:t>响应供应商</w:t>
            </w:r>
          </w:p>
          <w:p>
            <w:pPr>
              <w:rPr>
                <w:rFonts w:ascii="黑体" w:hAnsi="黑体" w:eastAsia="黑体" w:cs="黑体"/>
              </w:rPr>
            </w:pPr>
            <w:r>
              <w:rPr>
                <w:rFonts w:hint="eastAsia" w:ascii="黑体" w:hAnsi="黑体" w:eastAsia="黑体" w:cs="黑体"/>
                <w:b/>
              </w:rPr>
              <w:t>响应资格审查项</w:t>
            </w:r>
            <w:r>
              <w:rPr>
                <w:rFonts w:hint="eastAsia" w:ascii="黑体" w:hAnsi="黑体" w:eastAsia="黑体" w:cs="黑体"/>
                <w:b/>
                <w:i/>
              </w:rPr>
              <w:t>（即供应商资格条件）</w:t>
            </w:r>
          </w:p>
        </w:tc>
        <w:tc>
          <w:tcPr>
            <w:tcW w:w="995" w:type="dxa"/>
            <w:vAlign w:val="center"/>
          </w:tcPr>
          <w:p>
            <w:pPr>
              <w:jc w:val="center"/>
              <w:rPr>
                <w:rFonts w:ascii="黑体" w:hAnsi="黑体" w:eastAsia="黑体" w:cs="黑体"/>
              </w:rPr>
            </w:pPr>
            <w:r>
              <w:rPr>
                <w:rFonts w:hint="eastAsia" w:ascii="黑体" w:hAnsi="黑体" w:eastAsia="黑体" w:cs="黑体"/>
              </w:rPr>
              <w:t>A响应供应商</w:t>
            </w:r>
          </w:p>
        </w:tc>
        <w:tc>
          <w:tcPr>
            <w:tcW w:w="995" w:type="dxa"/>
            <w:vAlign w:val="center"/>
          </w:tcPr>
          <w:p>
            <w:pPr>
              <w:jc w:val="center"/>
              <w:rPr>
                <w:rFonts w:ascii="黑体" w:hAnsi="黑体" w:eastAsia="黑体" w:cs="黑体"/>
              </w:rPr>
            </w:pPr>
            <w:r>
              <w:rPr>
                <w:rFonts w:hint="eastAsia" w:ascii="黑体" w:hAnsi="黑体" w:eastAsia="黑体" w:cs="黑体"/>
              </w:rPr>
              <w:t>B响应供应商</w:t>
            </w:r>
          </w:p>
        </w:tc>
        <w:tc>
          <w:tcPr>
            <w:tcW w:w="995" w:type="dxa"/>
            <w:vAlign w:val="center"/>
          </w:tcPr>
          <w:p>
            <w:pPr>
              <w:tabs>
                <w:tab w:val="left" w:pos="8640"/>
              </w:tabs>
              <w:jc w:val="center"/>
              <w:rPr>
                <w:rFonts w:ascii="黑体" w:hAnsi="黑体" w:eastAsia="黑体" w:cs="黑体"/>
              </w:rPr>
            </w:pPr>
            <w:r>
              <w:rPr>
                <w:rFonts w:hint="eastAsia" w:ascii="黑体" w:hAnsi="黑体" w:eastAsia="黑体" w:cs="黑体"/>
              </w:rPr>
              <w:t>C响应供应商</w:t>
            </w:r>
          </w:p>
        </w:tc>
        <w:tc>
          <w:tcPr>
            <w:tcW w:w="992" w:type="dxa"/>
            <w:vAlign w:val="center"/>
          </w:tcPr>
          <w:p>
            <w:pPr>
              <w:jc w:val="center"/>
              <w:rPr>
                <w:rFonts w:ascii="黑体" w:hAnsi="黑体" w:eastAsia="黑体" w:cs="黑体"/>
              </w:rPr>
            </w:pPr>
            <w:r>
              <w:rPr>
                <w:rFonts w:hint="eastAsia" w:ascii="黑体" w:hAnsi="黑体" w:eastAsia="黑体" w:cs="黑体"/>
              </w:rPr>
              <w:t>D响应供应商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jc w:val="center"/>
              <w:rPr>
                <w:rFonts w:ascii="宋体" w:hAnsi="宋体"/>
                <w:bCs/>
              </w:rPr>
            </w:pPr>
            <w:r>
              <w:rPr>
                <w:rFonts w:hint="eastAsia" w:ascii="宋体" w:hAnsi="宋体"/>
                <w:bCs/>
              </w:rPr>
              <w:t>1</w:t>
            </w:r>
          </w:p>
        </w:tc>
        <w:tc>
          <w:tcPr>
            <w:tcW w:w="4968" w:type="dxa"/>
            <w:gridSpan w:val="2"/>
            <w:vAlign w:val="center"/>
          </w:tcPr>
          <w:p>
            <w:pPr>
              <w:ind w:left="40" w:leftChars="19"/>
              <w:rPr>
                <w:rFonts w:ascii="宋体" w:hAnsi="宋体"/>
                <w:kern w:val="28"/>
              </w:rPr>
            </w:pPr>
            <w:r>
              <w:rPr>
                <w:rFonts w:hint="eastAsia" w:ascii="宋体" w:hAnsi="宋体"/>
                <w:kern w:val="28"/>
              </w:rPr>
              <w:t>供应商资格声明（格式）；</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jc w:val="center"/>
              <w:rPr>
                <w:rFonts w:ascii="宋体" w:hAnsi="宋体"/>
                <w:bCs/>
              </w:rPr>
            </w:pPr>
            <w:r>
              <w:rPr>
                <w:rFonts w:hint="eastAsia" w:ascii="宋体" w:hAnsi="宋体"/>
                <w:bCs/>
              </w:rPr>
              <w:t>1.1</w:t>
            </w:r>
          </w:p>
        </w:tc>
        <w:tc>
          <w:tcPr>
            <w:tcW w:w="4968" w:type="dxa"/>
            <w:gridSpan w:val="2"/>
            <w:vAlign w:val="center"/>
          </w:tcPr>
          <w:p>
            <w:pPr>
              <w:ind w:left="40" w:leftChars="19"/>
              <w:rPr>
                <w:rFonts w:ascii="宋体" w:hAnsi="宋体"/>
                <w:kern w:val="28"/>
              </w:rPr>
            </w:pPr>
            <w:r>
              <w:rPr>
                <w:rFonts w:hint="eastAsia" w:ascii="宋体" w:hAnsi="宋体"/>
                <w:kern w:val="28"/>
              </w:rPr>
              <w:t>企业法人、其他组织营业执照副本或事业单位法人证书，自然人提供身份证明（复印件加盖响应供应商公章）；</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jc w:val="center"/>
              <w:rPr>
                <w:rFonts w:ascii="宋体" w:hAnsi="宋体"/>
                <w:bCs/>
              </w:rPr>
            </w:pPr>
            <w:r>
              <w:rPr>
                <w:rFonts w:hint="eastAsia" w:ascii="宋体" w:hAnsi="宋体"/>
                <w:bCs/>
              </w:rPr>
              <w:t>1.2</w:t>
            </w:r>
          </w:p>
        </w:tc>
        <w:tc>
          <w:tcPr>
            <w:tcW w:w="4968" w:type="dxa"/>
            <w:gridSpan w:val="2"/>
            <w:vAlign w:val="center"/>
          </w:tcPr>
          <w:p>
            <w:pPr>
              <w:rPr>
                <w:rFonts w:ascii="宋体" w:hAnsi="宋体"/>
                <w:kern w:val="28"/>
              </w:rPr>
            </w:pPr>
            <w:r>
              <w:rPr>
                <w:rFonts w:hint="eastAsia" w:ascii="宋体" w:hAnsi="宋体"/>
                <w:kern w:val="28"/>
              </w:rPr>
              <w:t>2020年度或2021年度经审计的财务报告（成立时间至磋商会议日期不足一年的响应供应商可提供成立后任意时段的资产负债表）（复印件加盖响应供应商公章）；</w:t>
            </w:r>
          </w:p>
          <w:p>
            <w:pPr>
              <w:rPr>
                <w:rFonts w:ascii="宋体" w:hAnsi="宋体"/>
                <w:kern w:val="28"/>
              </w:rPr>
            </w:pPr>
            <w:r>
              <w:rPr>
                <w:rFonts w:hint="eastAsia" w:ascii="宋体" w:hAnsi="宋体"/>
                <w:kern w:val="28"/>
              </w:rPr>
              <w:t>或在磋商会议日期前六个月内其基本存款账户开户银行出具的资信证明（原件）；</w:t>
            </w:r>
          </w:p>
          <w:p>
            <w:pPr>
              <w:rPr>
                <w:rFonts w:ascii="宋体" w:hAnsi="宋体"/>
                <w:kern w:val="28"/>
              </w:rPr>
            </w:pPr>
            <w:r>
              <w:rPr>
                <w:rFonts w:hint="eastAsia" w:ascii="宋体" w:hAnsi="宋体"/>
                <w:kern w:val="28"/>
              </w:rPr>
              <w:t>或在磋商会议日期前六个月内信用担保机构出具的投标担保函（原件）；</w:t>
            </w:r>
          </w:p>
          <w:p>
            <w:pPr>
              <w:ind w:left="40" w:leftChars="19"/>
              <w:rPr>
                <w:rFonts w:ascii="宋体" w:hAnsi="宋体"/>
                <w:kern w:val="28"/>
              </w:rPr>
            </w:pPr>
            <w:r>
              <w:rPr>
                <w:rFonts w:hint="eastAsia" w:ascii="宋体" w:hAnsi="宋体"/>
                <w:kern w:val="28"/>
              </w:rPr>
              <w:t>（以上三种形式的资料提供任何一种即可）</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jc w:val="center"/>
              <w:rPr>
                <w:rFonts w:ascii="宋体" w:hAnsi="宋体"/>
                <w:bCs/>
              </w:rPr>
            </w:pPr>
            <w:r>
              <w:rPr>
                <w:rFonts w:hint="eastAsia" w:ascii="宋体" w:hAnsi="宋体"/>
                <w:bCs/>
              </w:rPr>
              <w:t>1.3</w:t>
            </w:r>
          </w:p>
        </w:tc>
        <w:tc>
          <w:tcPr>
            <w:tcW w:w="4968" w:type="dxa"/>
            <w:gridSpan w:val="2"/>
            <w:vAlign w:val="center"/>
          </w:tcPr>
          <w:p>
            <w:pPr>
              <w:ind w:left="40" w:leftChars="19"/>
              <w:rPr>
                <w:rFonts w:ascii="宋体" w:hAnsi="宋体"/>
                <w:kern w:val="28"/>
              </w:rPr>
            </w:pPr>
            <w:r>
              <w:rPr>
                <w:rFonts w:hint="eastAsia" w:ascii="宋体" w:hAnsi="宋体"/>
                <w:kern w:val="28"/>
              </w:rPr>
              <w:t>磋商会议日期前十二个月任意一个月缴税凭据（复印件加盖响应供应商公章）（依法免税的响应供应商应提供相应文件证明）；</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jc w:val="center"/>
              <w:rPr>
                <w:rFonts w:ascii="宋体" w:hAnsi="宋体"/>
                <w:bCs/>
              </w:rPr>
            </w:pPr>
            <w:r>
              <w:rPr>
                <w:rFonts w:hint="eastAsia" w:ascii="宋体" w:hAnsi="宋体"/>
                <w:bCs/>
              </w:rPr>
              <w:t>1.4</w:t>
            </w:r>
          </w:p>
        </w:tc>
        <w:tc>
          <w:tcPr>
            <w:tcW w:w="4968" w:type="dxa"/>
            <w:gridSpan w:val="2"/>
            <w:vAlign w:val="center"/>
          </w:tcPr>
          <w:p>
            <w:pPr>
              <w:ind w:left="40" w:leftChars="19"/>
              <w:rPr>
                <w:rFonts w:ascii="宋体" w:hAnsi="宋体"/>
                <w:kern w:val="28"/>
              </w:rPr>
            </w:pPr>
            <w:r>
              <w:rPr>
                <w:rFonts w:hint="eastAsia" w:ascii="宋体" w:hAnsi="宋体"/>
                <w:kern w:val="28"/>
              </w:rPr>
              <w:t>磋商会议日期前十二个月任意一个月缴纳社会保险的凭据（专用收据或社会保险缴纳清单或其他证明材料）（复印件加盖响应供应商公章）（依法不需要缴纳社会保障资金的响应供应商应提供相应文件证明）；</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jc w:val="center"/>
              <w:rPr>
                <w:rFonts w:ascii="宋体" w:hAnsi="宋体"/>
                <w:bCs/>
              </w:rPr>
            </w:pPr>
            <w:r>
              <w:rPr>
                <w:rFonts w:hint="eastAsia" w:ascii="宋体" w:hAnsi="宋体"/>
                <w:bCs/>
              </w:rPr>
              <w:t>1.5</w:t>
            </w:r>
          </w:p>
        </w:tc>
        <w:tc>
          <w:tcPr>
            <w:tcW w:w="4968" w:type="dxa"/>
            <w:gridSpan w:val="2"/>
            <w:vAlign w:val="center"/>
          </w:tcPr>
          <w:p>
            <w:pPr>
              <w:rPr>
                <w:rFonts w:ascii="宋体" w:hAnsi="宋体"/>
                <w:kern w:val="28"/>
              </w:rPr>
            </w:pPr>
            <w:r>
              <w:rPr>
                <w:rFonts w:hint="eastAsia"/>
              </w:rPr>
              <w:t>供应商未被列入“信用中国”网站(www.creditchina.gov.cn)“记录失信被执行人或重大税收违法案件当事人名单或政府采购严重违法失信行为”记录名单；不处于中国政府采购网(www.ccgp.gov.cn)“政府采购严重违法失信行为信息 记录”中的禁止参加政府采购活动期间。（以采购代理机构响应截止日当天在“信用中国”网站（www.creditchina.gov.cn）及中国政府采购网(www.ccgp.gov.cn)查询结果为准。）。</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jc w:val="center"/>
              <w:rPr>
                <w:rFonts w:ascii="宋体" w:hAnsi="宋体"/>
                <w:bCs/>
              </w:rPr>
            </w:pPr>
            <w:r>
              <w:rPr>
                <w:rFonts w:hint="eastAsia" w:ascii="宋体" w:hAnsi="宋体"/>
                <w:bCs/>
              </w:rPr>
              <w:t>2</w:t>
            </w:r>
          </w:p>
        </w:tc>
        <w:tc>
          <w:tcPr>
            <w:tcW w:w="4968" w:type="dxa"/>
            <w:gridSpan w:val="2"/>
            <w:vAlign w:val="center"/>
          </w:tcPr>
          <w:p>
            <w:pPr>
              <w:ind w:left="40" w:leftChars="19"/>
              <w:rPr>
                <w:rFonts w:ascii="宋体" w:hAnsi="宋体"/>
                <w:kern w:val="28"/>
              </w:rPr>
            </w:pPr>
            <w:r>
              <w:rPr>
                <w:rFonts w:hint="eastAsia" w:ascii="宋体" w:hAnsi="宋体"/>
                <w:kern w:val="28"/>
                <w:lang w:val="en-GB"/>
              </w:rPr>
              <w:t>保证金汇款声明函</w:t>
            </w:r>
            <w:r>
              <w:rPr>
                <w:rFonts w:hint="eastAsia" w:ascii="宋体" w:hAnsi="宋体"/>
                <w:kern w:val="28"/>
              </w:rPr>
              <w:t>/保函</w:t>
            </w:r>
            <w:r>
              <w:rPr>
                <w:rFonts w:hint="eastAsia" w:ascii="宋体" w:hAnsi="宋体"/>
                <w:kern w:val="28"/>
                <w:lang w:val="en-GB"/>
              </w:rPr>
              <w:t>（</w:t>
            </w:r>
            <w:r>
              <w:rPr>
                <w:rFonts w:hint="eastAsia" w:ascii="宋体" w:hAnsi="宋体"/>
                <w:kern w:val="28"/>
              </w:rPr>
              <w:t>格式</w:t>
            </w:r>
            <w:r>
              <w:rPr>
                <w:rFonts w:hint="eastAsia" w:ascii="宋体" w:hAnsi="宋体"/>
                <w:kern w:val="28"/>
                <w:lang w:val="en-GB"/>
              </w:rPr>
              <w:t>）。</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jc w:val="center"/>
              <w:rPr>
                <w:rFonts w:ascii="宋体" w:hAnsi="宋体"/>
                <w:bCs/>
              </w:rPr>
            </w:pPr>
            <w:r>
              <w:rPr>
                <w:rFonts w:hint="eastAsia" w:ascii="宋体" w:hAnsi="宋体"/>
                <w:bCs/>
              </w:rPr>
              <w:t>3</w:t>
            </w:r>
          </w:p>
        </w:tc>
        <w:tc>
          <w:tcPr>
            <w:tcW w:w="4968" w:type="dxa"/>
            <w:gridSpan w:val="2"/>
            <w:vAlign w:val="center"/>
          </w:tcPr>
          <w:p>
            <w:pPr>
              <w:ind w:left="40" w:leftChars="19"/>
              <w:rPr>
                <w:rFonts w:ascii="宋体" w:hAnsi="宋体"/>
                <w:kern w:val="28"/>
              </w:rPr>
            </w:pPr>
            <w:r>
              <w:rPr>
                <w:rFonts w:hint="eastAsia" w:ascii="宋体" w:hAnsi="宋体"/>
                <w:kern w:val="28"/>
              </w:rPr>
              <w:t>法定代表人授权书（法定代表人直接参加磋商会议须提交法定代表人证明书）（格式）。</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jc w:val="center"/>
              <w:rPr>
                <w:rFonts w:ascii="宋体" w:hAnsi="宋体"/>
                <w:bCs/>
              </w:rPr>
            </w:pPr>
            <w:r>
              <w:rPr>
                <w:rFonts w:hint="eastAsia" w:ascii="宋体" w:hAnsi="宋体"/>
                <w:bCs/>
              </w:rPr>
              <w:t>4</w:t>
            </w:r>
          </w:p>
        </w:tc>
        <w:tc>
          <w:tcPr>
            <w:tcW w:w="4968" w:type="dxa"/>
            <w:gridSpan w:val="2"/>
            <w:vAlign w:val="center"/>
          </w:tcPr>
          <w:p>
            <w:pPr>
              <w:ind w:left="40" w:leftChars="19"/>
              <w:rPr>
                <w:rFonts w:ascii="宋体" w:hAnsi="宋体"/>
                <w:kern w:val="28"/>
              </w:rPr>
            </w:pPr>
            <w:r>
              <w:rPr>
                <w:rFonts w:hint="eastAsia" w:ascii="宋体" w:hAnsi="宋体"/>
                <w:kern w:val="28"/>
              </w:rPr>
              <w:t>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5" w:type="dxa"/>
            <w:gridSpan w:val="3"/>
            <w:vAlign w:val="center"/>
          </w:tcPr>
          <w:p>
            <w:pPr>
              <w:spacing w:before="40" w:after="40" w:line="360" w:lineRule="auto"/>
              <w:jc w:val="center"/>
              <w:rPr>
                <w:rFonts w:ascii="宋体" w:hAnsi="宋体"/>
                <w:b/>
              </w:rPr>
            </w:pPr>
            <w:r>
              <w:rPr>
                <w:rFonts w:hint="eastAsia" w:ascii="宋体" w:hAnsi="宋体"/>
                <w:bCs/>
              </w:rPr>
              <w:t>结  论</w:t>
            </w:r>
          </w:p>
        </w:tc>
        <w:tc>
          <w:tcPr>
            <w:tcW w:w="995" w:type="dxa"/>
            <w:vAlign w:val="center"/>
          </w:tcPr>
          <w:p>
            <w:pPr>
              <w:spacing w:before="40" w:after="40" w:line="360" w:lineRule="auto"/>
              <w:rPr>
                <w:rFonts w:ascii="宋体" w:hAnsi="宋体"/>
                <w:b/>
              </w:rPr>
            </w:pPr>
          </w:p>
        </w:tc>
        <w:tc>
          <w:tcPr>
            <w:tcW w:w="995" w:type="dxa"/>
            <w:vAlign w:val="center"/>
          </w:tcPr>
          <w:p>
            <w:pPr>
              <w:spacing w:before="40" w:after="40" w:line="360" w:lineRule="auto"/>
              <w:rPr>
                <w:rFonts w:ascii="宋体" w:hAnsi="宋体"/>
                <w:b/>
              </w:rPr>
            </w:pPr>
          </w:p>
        </w:tc>
        <w:tc>
          <w:tcPr>
            <w:tcW w:w="995" w:type="dxa"/>
            <w:vAlign w:val="center"/>
          </w:tcPr>
          <w:p>
            <w:pPr>
              <w:spacing w:before="40" w:after="40" w:line="360" w:lineRule="auto"/>
              <w:rPr>
                <w:rFonts w:ascii="宋体" w:hAnsi="宋体"/>
                <w:b/>
              </w:rPr>
            </w:pPr>
          </w:p>
        </w:tc>
        <w:tc>
          <w:tcPr>
            <w:tcW w:w="992" w:type="dxa"/>
            <w:vAlign w:val="center"/>
          </w:tcPr>
          <w:p>
            <w:pPr>
              <w:spacing w:before="40" w:after="40"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9" w:type="dxa"/>
            <w:gridSpan w:val="2"/>
            <w:vAlign w:val="center"/>
          </w:tcPr>
          <w:p>
            <w:pPr>
              <w:jc w:val="center"/>
              <w:rPr>
                <w:rFonts w:ascii="宋体" w:hAnsi="宋体"/>
              </w:rPr>
            </w:pPr>
            <w:r>
              <w:rPr>
                <w:rFonts w:hint="eastAsia" w:ascii="宋体" w:hAnsi="宋体"/>
              </w:rPr>
              <w:t>不通过原因说明</w:t>
            </w:r>
          </w:p>
        </w:tc>
        <w:tc>
          <w:tcPr>
            <w:tcW w:w="8403" w:type="dxa"/>
            <w:gridSpan w:val="5"/>
            <w:vAlign w:val="center"/>
          </w:tcPr>
          <w:p>
            <w:pPr>
              <w:spacing w:before="40" w:after="40" w:line="360" w:lineRule="auto"/>
              <w:rPr>
                <w:rFonts w:ascii="宋体" w:hAnsi="宋体"/>
                <w:b/>
              </w:rPr>
            </w:pPr>
          </w:p>
        </w:tc>
      </w:tr>
    </w:tbl>
    <w:p>
      <w:pPr>
        <w:spacing w:before="120" w:line="360" w:lineRule="auto"/>
        <w:ind w:firstLine="420" w:firstLineChars="200"/>
        <w:rPr>
          <w:rFonts w:ascii="宋体" w:hAnsi="宋体"/>
        </w:rPr>
      </w:pPr>
      <w:r>
        <w:rPr>
          <w:rFonts w:hint="eastAsia" w:ascii="宋体" w:hAnsi="宋体"/>
        </w:rPr>
        <w:t>1.审查人员对响应供应商是否满足要求逐条标注评审意见，“是”标记为“</w:t>
      </w:r>
      <w:r>
        <w:rPr>
          <w:rFonts w:ascii="Arial" w:hAnsi="Arial" w:cs="Arial"/>
        </w:rPr>
        <w:t>√</w:t>
      </w:r>
      <w:r>
        <w:rPr>
          <w:rFonts w:hint="eastAsia" w:ascii="宋体" w:hAnsi="宋体"/>
        </w:rPr>
        <w:t>”，“否”标记为“×”；</w:t>
      </w:r>
    </w:p>
    <w:p>
      <w:pPr>
        <w:spacing w:before="120" w:line="360" w:lineRule="auto"/>
        <w:ind w:firstLine="420" w:firstLineChars="200"/>
        <w:rPr>
          <w:rFonts w:ascii="宋体" w:hAnsi="宋体"/>
        </w:rPr>
      </w:pPr>
      <w:r>
        <w:rPr>
          <w:rFonts w:hint="eastAsia" w:ascii="宋体" w:hAnsi="宋体"/>
        </w:rPr>
        <w:t>2.评审结论栏统一填写为“通过”或“不通过”，出现一个“×”为“不通过”；</w:t>
      </w:r>
    </w:p>
    <w:p>
      <w:pPr>
        <w:spacing w:before="120" w:line="360" w:lineRule="auto"/>
        <w:ind w:firstLine="420" w:firstLineChars="200"/>
      </w:pPr>
      <w:r>
        <w:rPr>
          <w:rFonts w:hint="eastAsia" w:ascii="宋体" w:hAnsi="宋体"/>
        </w:rPr>
        <w:t>3.对结论为“不通过”的响应，要说明原因。</w:t>
      </w:r>
    </w:p>
    <w:p>
      <w:pPr>
        <w:outlineLvl w:val="1"/>
        <w:rPr>
          <w:rFonts w:eastAsia="黑体"/>
          <w:b/>
          <w:sz w:val="18"/>
          <w:szCs w:val="18"/>
        </w:rPr>
      </w:pPr>
      <w:r>
        <w:rPr>
          <w:rFonts w:hint="eastAsia" w:ascii="黑体" w:hAnsi="仿宋" w:eastAsia="黑体" w:cs="黑体"/>
          <w:b/>
          <w:bCs/>
          <w:sz w:val="24"/>
        </w:rPr>
        <w:br w:type="page"/>
      </w:r>
      <w:bookmarkStart w:id="130" w:name="_Toc11597"/>
      <w:bookmarkStart w:id="131" w:name="_Toc1955"/>
      <w:bookmarkStart w:id="132" w:name="_Toc17156"/>
      <w:r>
        <w:rPr>
          <w:rFonts w:hint="eastAsia" w:ascii="黑体" w:hAnsi="仿宋" w:eastAsia="黑体" w:cs="黑体"/>
          <w:b/>
          <w:bCs/>
          <w:sz w:val="24"/>
        </w:rPr>
        <w:t>附表2：《符合性审查表》</w:t>
      </w:r>
      <w:bookmarkEnd w:id="130"/>
      <w:bookmarkEnd w:id="131"/>
      <w:bookmarkEnd w:id="132"/>
    </w:p>
    <w:p>
      <w:pPr>
        <w:rPr>
          <w:b/>
          <w:sz w:val="18"/>
          <w:szCs w:val="18"/>
        </w:rPr>
      </w:pPr>
    </w:p>
    <w:p>
      <w:pPr>
        <w:spacing w:line="360" w:lineRule="auto"/>
        <w:jc w:val="center"/>
      </w:pPr>
      <w:r>
        <w:rPr>
          <w:rFonts w:hint="eastAsia" w:ascii="黑体" w:hAnsi="仿宋" w:eastAsia="黑体" w:cs="黑体"/>
          <w:sz w:val="32"/>
          <w:szCs w:val="32"/>
        </w:rPr>
        <w:t>符合性审查表</w:t>
      </w:r>
    </w:p>
    <w:tbl>
      <w:tblPr>
        <w:tblStyle w:val="2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jc w:val="center"/>
        </w:trPr>
        <w:tc>
          <w:tcPr>
            <w:tcW w:w="730" w:type="dxa"/>
            <w:vAlign w:val="center"/>
          </w:tcPr>
          <w:p>
            <w:pPr>
              <w:jc w:val="center"/>
              <w:rPr>
                <w:rFonts w:ascii="黑体" w:hAnsi="黑体" w:eastAsia="黑体" w:cs="黑体"/>
                <w:b/>
              </w:rPr>
            </w:pPr>
            <w:r>
              <w:rPr>
                <w:rFonts w:hint="eastAsia" w:ascii="黑体" w:hAnsi="黑体" w:eastAsia="黑体" w:cs="黑体"/>
                <w:b/>
              </w:rPr>
              <w:t>序号</w:t>
            </w:r>
          </w:p>
        </w:tc>
        <w:tc>
          <w:tcPr>
            <w:tcW w:w="4968" w:type="dxa"/>
            <w:gridSpan w:val="2"/>
            <w:tcBorders>
              <w:tl2br w:val="single" w:color="auto" w:sz="4" w:space="0"/>
            </w:tcBorders>
            <w:vAlign w:val="center"/>
          </w:tcPr>
          <w:p>
            <w:pPr>
              <w:jc w:val="right"/>
              <w:rPr>
                <w:rFonts w:ascii="黑体" w:hAnsi="黑体" w:eastAsia="黑体" w:cs="黑体"/>
                <w:b/>
              </w:rPr>
            </w:pPr>
            <w:r>
              <w:rPr>
                <w:rFonts w:hint="eastAsia" w:ascii="黑体" w:hAnsi="黑体" w:eastAsia="黑体" w:cs="黑体"/>
                <w:b/>
              </w:rPr>
              <w:t>响应供应商</w:t>
            </w:r>
          </w:p>
          <w:p>
            <w:pPr>
              <w:rPr>
                <w:rFonts w:ascii="黑体" w:hAnsi="黑体" w:eastAsia="黑体" w:cs="黑体"/>
              </w:rPr>
            </w:pPr>
            <w:r>
              <w:rPr>
                <w:rFonts w:hint="eastAsia" w:ascii="黑体" w:hAnsi="黑体" w:eastAsia="黑体" w:cs="黑体"/>
                <w:b/>
              </w:rPr>
              <w:t>响应有效性审查项</w:t>
            </w:r>
          </w:p>
        </w:tc>
        <w:tc>
          <w:tcPr>
            <w:tcW w:w="995" w:type="dxa"/>
            <w:vAlign w:val="center"/>
          </w:tcPr>
          <w:p>
            <w:pPr>
              <w:jc w:val="center"/>
              <w:rPr>
                <w:rFonts w:ascii="黑体" w:hAnsi="黑体" w:eastAsia="黑体" w:cs="黑体"/>
              </w:rPr>
            </w:pPr>
            <w:r>
              <w:rPr>
                <w:rFonts w:hint="eastAsia" w:ascii="黑体" w:hAnsi="黑体" w:eastAsia="黑体" w:cs="黑体"/>
              </w:rPr>
              <w:t>A响应供应商</w:t>
            </w:r>
          </w:p>
        </w:tc>
        <w:tc>
          <w:tcPr>
            <w:tcW w:w="995" w:type="dxa"/>
            <w:vAlign w:val="center"/>
          </w:tcPr>
          <w:p>
            <w:pPr>
              <w:jc w:val="center"/>
              <w:rPr>
                <w:rFonts w:ascii="黑体" w:hAnsi="黑体" w:eastAsia="黑体" w:cs="黑体"/>
              </w:rPr>
            </w:pPr>
            <w:r>
              <w:rPr>
                <w:rFonts w:hint="eastAsia" w:ascii="黑体" w:hAnsi="黑体" w:eastAsia="黑体" w:cs="黑体"/>
              </w:rPr>
              <w:t>B响应供应商</w:t>
            </w:r>
          </w:p>
        </w:tc>
        <w:tc>
          <w:tcPr>
            <w:tcW w:w="995" w:type="dxa"/>
            <w:vAlign w:val="center"/>
          </w:tcPr>
          <w:p>
            <w:pPr>
              <w:tabs>
                <w:tab w:val="left" w:pos="8640"/>
              </w:tabs>
              <w:jc w:val="center"/>
              <w:rPr>
                <w:rFonts w:ascii="黑体" w:hAnsi="黑体" w:eastAsia="黑体" w:cs="黑体"/>
              </w:rPr>
            </w:pPr>
            <w:r>
              <w:rPr>
                <w:rFonts w:hint="eastAsia" w:ascii="黑体" w:hAnsi="黑体" w:eastAsia="黑体" w:cs="黑体"/>
              </w:rPr>
              <w:t>C响应供应商</w:t>
            </w:r>
          </w:p>
        </w:tc>
        <w:tc>
          <w:tcPr>
            <w:tcW w:w="992" w:type="dxa"/>
            <w:vAlign w:val="center"/>
          </w:tcPr>
          <w:p>
            <w:pPr>
              <w:jc w:val="center"/>
              <w:rPr>
                <w:rFonts w:ascii="黑体" w:hAnsi="黑体" w:eastAsia="黑体" w:cs="黑体"/>
              </w:rPr>
            </w:pPr>
            <w:r>
              <w:rPr>
                <w:rFonts w:hint="eastAsia" w:ascii="黑体" w:hAnsi="黑体" w:eastAsia="黑体" w:cs="黑体"/>
              </w:rPr>
              <w:t>D响应供应商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Align w:val="center"/>
          </w:tcPr>
          <w:p>
            <w:pPr>
              <w:jc w:val="center"/>
              <w:rPr>
                <w:rFonts w:ascii="宋体" w:hAnsi="宋体"/>
                <w:bCs/>
              </w:rPr>
            </w:pPr>
            <w:r>
              <w:rPr>
                <w:rFonts w:hint="eastAsia" w:ascii="宋体" w:hAnsi="宋体"/>
                <w:bCs/>
              </w:rPr>
              <w:t>1</w:t>
            </w:r>
          </w:p>
        </w:tc>
        <w:tc>
          <w:tcPr>
            <w:tcW w:w="4968" w:type="dxa"/>
            <w:gridSpan w:val="2"/>
            <w:vAlign w:val="center"/>
          </w:tcPr>
          <w:p>
            <w:r>
              <w:rPr>
                <w:rFonts w:hint="eastAsia"/>
              </w:rPr>
              <w:t>响应文件语言及有效期符合磋商文件要求。</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30" w:type="dxa"/>
            <w:vAlign w:val="center"/>
          </w:tcPr>
          <w:p>
            <w:pPr>
              <w:jc w:val="center"/>
              <w:rPr>
                <w:rFonts w:ascii="宋体" w:hAnsi="宋体"/>
                <w:bCs/>
              </w:rPr>
            </w:pPr>
            <w:r>
              <w:rPr>
                <w:rFonts w:hint="eastAsia" w:ascii="宋体" w:hAnsi="宋体"/>
                <w:bCs/>
              </w:rPr>
              <w:t>2</w:t>
            </w:r>
          </w:p>
        </w:tc>
        <w:tc>
          <w:tcPr>
            <w:tcW w:w="4968" w:type="dxa"/>
            <w:gridSpan w:val="2"/>
            <w:vAlign w:val="center"/>
          </w:tcPr>
          <w:p>
            <w:r>
              <w:rPr>
                <w:rFonts w:hint="eastAsia"/>
              </w:rPr>
              <w:t>响应文件封面、响应函、法定代表人授权委托书三处的项目名称、项目编号均无遗漏，且与所投项目名称、项目编号一致。</w:t>
            </w:r>
          </w:p>
        </w:tc>
        <w:tc>
          <w:tcPr>
            <w:tcW w:w="995" w:type="dxa"/>
          </w:tcPr>
          <w:p>
            <w:pPr>
              <w:pStyle w:val="13"/>
              <w:tabs>
                <w:tab w:val="left" w:pos="686"/>
                <w:tab w:val="left" w:pos="1030"/>
              </w:tabs>
              <w:spacing w:before="40" w:after="40"/>
              <w:rPr>
                <w:rFonts w:hAnsi="宋体"/>
                <w:sz w:val="21"/>
              </w:rPr>
            </w:pPr>
          </w:p>
        </w:tc>
        <w:tc>
          <w:tcPr>
            <w:tcW w:w="995" w:type="dxa"/>
            <w:vAlign w:val="center"/>
          </w:tcPr>
          <w:p>
            <w:pPr>
              <w:spacing w:before="40" w:after="40"/>
              <w:rPr>
                <w:rFonts w:ascii="宋体" w:hAnsi="宋体"/>
              </w:rPr>
            </w:pPr>
          </w:p>
        </w:tc>
        <w:tc>
          <w:tcPr>
            <w:tcW w:w="995" w:type="dxa"/>
            <w:vAlign w:val="center"/>
          </w:tcPr>
          <w:p>
            <w:pPr>
              <w:spacing w:before="40" w:after="40"/>
              <w:rPr>
                <w:rFonts w:ascii="宋体" w:hAnsi="宋体"/>
              </w:rPr>
            </w:pPr>
          </w:p>
        </w:tc>
        <w:tc>
          <w:tcPr>
            <w:tcW w:w="992" w:type="dxa"/>
            <w:vAlign w:val="center"/>
          </w:tcPr>
          <w:p>
            <w:pPr>
              <w:spacing w:before="40" w:after="4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Align w:val="center"/>
          </w:tcPr>
          <w:p>
            <w:pPr>
              <w:jc w:val="center"/>
              <w:rPr>
                <w:rFonts w:ascii="宋体" w:hAnsi="宋体"/>
                <w:bCs/>
              </w:rPr>
            </w:pPr>
            <w:r>
              <w:rPr>
                <w:rFonts w:hint="eastAsia" w:ascii="宋体" w:hAnsi="宋体"/>
                <w:bCs/>
              </w:rPr>
              <w:t>3</w:t>
            </w:r>
          </w:p>
        </w:tc>
        <w:tc>
          <w:tcPr>
            <w:tcW w:w="4968" w:type="dxa"/>
            <w:gridSpan w:val="2"/>
            <w:vAlign w:val="center"/>
          </w:tcPr>
          <w:p>
            <w:r>
              <w:rPr>
                <w:rFonts w:hint="eastAsia"/>
              </w:rPr>
              <w:t>响应文件签署、盖章均按磋商文件要求签字、盖章（评分标准中要求提供的证明材料除外）。</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Align w:val="center"/>
          </w:tcPr>
          <w:p>
            <w:pPr>
              <w:jc w:val="center"/>
              <w:rPr>
                <w:rFonts w:ascii="宋体" w:hAnsi="宋体"/>
                <w:bCs/>
              </w:rPr>
            </w:pPr>
            <w:r>
              <w:rPr>
                <w:rFonts w:hint="eastAsia" w:ascii="宋体" w:hAnsi="宋体"/>
                <w:bCs/>
              </w:rPr>
              <w:t>4</w:t>
            </w:r>
          </w:p>
        </w:tc>
        <w:tc>
          <w:tcPr>
            <w:tcW w:w="4968" w:type="dxa"/>
            <w:gridSpan w:val="2"/>
            <w:vAlign w:val="center"/>
          </w:tcPr>
          <w:p>
            <w:r>
              <w:rPr>
                <w:rFonts w:hint="eastAsia"/>
              </w:rPr>
              <w:t>首次报价一览表填写符合要求且未超出采购预算或磋商文件规定的最高限价。</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Align w:val="center"/>
          </w:tcPr>
          <w:p>
            <w:pPr>
              <w:jc w:val="center"/>
              <w:rPr>
                <w:rFonts w:ascii="宋体" w:hAnsi="宋体"/>
                <w:bCs/>
              </w:rPr>
            </w:pPr>
            <w:r>
              <w:rPr>
                <w:rFonts w:hint="eastAsia" w:ascii="宋体" w:hAnsi="宋体"/>
                <w:bCs/>
              </w:rPr>
              <w:t>5</w:t>
            </w:r>
          </w:p>
        </w:tc>
        <w:tc>
          <w:tcPr>
            <w:tcW w:w="4968" w:type="dxa"/>
            <w:gridSpan w:val="2"/>
            <w:vAlign w:val="center"/>
          </w:tcPr>
          <w:p>
            <w:r>
              <w:rPr>
                <w:rFonts w:hint="eastAsia"/>
              </w:rPr>
              <w:t>响应磋商文件商务条款，无重大保留或偏差。</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vAlign w:val="center"/>
          </w:tcPr>
          <w:p>
            <w:pPr>
              <w:jc w:val="center"/>
              <w:rPr>
                <w:rFonts w:ascii="宋体" w:hAnsi="宋体"/>
                <w:bCs/>
              </w:rPr>
            </w:pPr>
            <w:r>
              <w:rPr>
                <w:rFonts w:hint="eastAsia" w:ascii="宋体" w:hAnsi="宋体"/>
                <w:bCs/>
              </w:rPr>
              <w:t>6</w:t>
            </w:r>
          </w:p>
        </w:tc>
        <w:tc>
          <w:tcPr>
            <w:tcW w:w="4968" w:type="dxa"/>
            <w:gridSpan w:val="2"/>
            <w:vAlign w:val="center"/>
          </w:tcPr>
          <w:p>
            <w:r>
              <w:rPr>
                <w:rFonts w:hint="eastAsia"/>
              </w:rPr>
              <w:t>没有不符合磋商文件规定的被视为无效响应的其他条款。</w:t>
            </w:r>
          </w:p>
        </w:tc>
        <w:tc>
          <w:tcPr>
            <w:tcW w:w="995" w:type="dxa"/>
          </w:tcPr>
          <w:p>
            <w:pPr>
              <w:tabs>
                <w:tab w:val="left" w:pos="686"/>
                <w:tab w:val="left" w:pos="1030"/>
              </w:tabs>
              <w:spacing w:before="40" w:after="40"/>
              <w:rPr>
                <w:rFonts w:ascii="宋体" w:hAnsi="宋体"/>
              </w:rPr>
            </w:pPr>
          </w:p>
        </w:tc>
        <w:tc>
          <w:tcPr>
            <w:tcW w:w="995" w:type="dxa"/>
            <w:vAlign w:val="center"/>
          </w:tcPr>
          <w:p>
            <w:pPr>
              <w:spacing w:before="40" w:after="40"/>
              <w:rPr>
                <w:rFonts w:ascii="宋体" w:hAnsi="宋体"/>
                <w:b/>
              </w:rPr>
            </w:pPr>
          </w:p>
        </w:tc>
        <w:tc>
          <w:tcPr>
            <w:tcW w:w="995" w:type="dxa"/>
            <w:vAlign w:val="center"/>
          </w:tcPr>
          <w:p>
            <w:pPr>
              <w:spacing w:before="40" w:after="40"/>
              <w:rPr>
                <w:rFonts w:ascii="宋体" w:hAnsi="宋体"/>
                <w:b/>
              </w:rPr>
            </w:pPr>
          </w:p>
        </w:tc>
        <w:tc>
          <w:tcPr>
            <w:tcW w:w="992" w:type="dxa"/>
            <w:vAlign w:val="center"/>
          </w:tcPr>
          <w:p>
            <w:pPr>
              <w:spacing w:before="40" w:after="4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98" w:type="dxa"/>
            <w:gridSpan w:val="3"/>
            <w:vAlign w:val="center"/>
          </w:tcPr>
          <w:p>
            <w:pPr>
              <w:spacing w:before="40" w:after="40" w:line="360" w:lineRule="auto"/>
              <w:jc w:val="center"/>
              <w:rPr>
                <w:rFonts w:ascii="宋体" w:hAnsi="宋体"/>
                <w:b/>
              </w:rPr>
            </w:pPr>
            <w:r>
              <w:rPr>
                <w:rFonts w:hint="eastAsia" w:ascii="宋体" w:hAnsi="宋体"/>
                <w:b/>
              </w:rPr>
              <w:t>结  论</w:t>
            </w:r>
          </w:p>
        </w:tc>
        <w:tc>
          <w:tcPr>
            <w:tcW w:w="995" w:type="dxa"/>
            <w:vAlign w:val="center"/>
          </w:tcPr>
          <w:p>
            <w:pPr>
              <w:spacing w:before="40" w:after="40" w:line="360" w:lineRule="auto"/>
              <w:rPr>
                <w:rFonts w:ascii="宋体" w:hAnsi="宋体"/>
                <w:b/>
              </w:rPr>
            </w:pPr>
          </w:p>
        </w:tc>
        <w:tc>
          <w:tcPr>
            <w:tcW w:w="995" w:type="dxa"/>
            <w:vAlign w:val="center"/>
          </w:tcPr>
          <w:p>
            <w:pPr>
              <w:spacing w:before="40" w:after="40" w:line="360" w:lineRule="auto"/>
              <w:rPr>
                <w:rFonts w:ascii="宋体" w:hAnsi="宋体"/>
                <w:b/>
              </w:rPr>
            </w:pPr>
          </w:p>
        </w:tc>
        <w:tc>
          <w:tcPr>
            <w:tcW w:w="995" w:type="dxa"/>
            <w:vAlign w:val="center"/>
          </w:tcPr>
          <w:p>
            <w:pPr>
              <w:spacing w:before="40" w:after="40" w:line="360" w:lineRule="auto"/>
              <w:rPr>
                <w:rFonts w:ascii="宋体" w:hAnsi="宋体"/>
                <w:b/>
              </w:rPr>
            </w:pPr>
          </w:p>
        </w:tc>
        <w:tc>
          <w:tcPr>
            <w:tcW w:w="992" w:type="dxa"/>
            <w:vAlign w:val="center"/>
          </w:tcPr>
          <w:p>
            <w:pPr>
              <w:spacing w:before="40" w:after="40"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gridSpan w:val="2"/>
            <w:vAlign w:val="center"/>
          </w:tcPr>
          <w:p>
            <w:pPr>
              <w:jc w:val="center"/>
              <w:rPr>
                <w:rFonts w:ascii="宋体" w:hAnsi="宋体"/>
              </w:rPr>
            </w:pPr>
            <w:r>
              <w:rPr>
                <w:rFonts w:hint="eastAsia" w:ascii="宋体" w:hAnsi="宋体"/>
              </w:rPr>
              <w:t>不通过原因说明</w:t>
            </w:r>
          </w:p>
        </w:tc>
        <w:tc>
          <w:tcPr>
            <w:tcW w:w="8403" w:type="dxa"/>
            <w:gridSpan w:val="5"/>
            <w:vAlign w:val="center"/>
          </w:tcPr>
          <w:p>
            <w:pPr>
              <w:spacing w:before="40" w:after="40" w:line="360" w:lineRule="auto"/>
              <w:rPr>
                <w:rFonts w:ascii="宋体" w:hAnsi="宋体"/>
                <w:b/>
              </w:rPr>
            </w:pPr>
          </w:p>
        </w:tc>
      </w:tr>
    </w:tbl>
    <w:p>
      <w:pPr>
        <w:spacing w:before="120" w:line="360" w:lineRule="auto"/>
        <w:ind w:firstLine="420" w:firstLineChars="200"/>
        <w:rPr>
          <w:rFonts w:ascii="宋体" w:hAnsi="宋体"/>
        </w:rPr>
      </w:pPr>
      <w:r>
        <w:rPr>
          <w:rFonts w:hint="eastAsia" w:ascii="宋体" w:hAnsi="宋体"/>
        </w:rPr>
        <w:t>1.评审时评委对响应供应商是否满足要求逐条标注评审意见，“是”标记为“</w:t>
      </w:r>
      <w:r>
        <w:rPr>
          <w:rFonts w:ascii="宋体" w:hAnsi="宋体"/>
        </w:rPr>
        <w:t>√</w:t>
      </w:r>
      <w:r>
        <w:rPr>
          <w:rFonts w:hint="eastAsia" w:ascii="宋体" w:hAnsi="宋体"/>
        </w:rPr>
        <w:t>”，“否”标记为“×”；</w:t>
      </w:r>
    </w:p>
    <w:p>
      <w:pPr>
        <w:spacing w:before="120" w:line="360" w:lineRule="auto"/>
        <w:ind w:firstLine="420" w:firstLineChars="200"/>
        <w:rPr>
          <w:rFonts w:ascii="宋体" w:hAnsi="宋体"/>
        </w:rPr>
      </w:pPr>
      <w:r>
        <w:rPr>
          <w:rFonts w:hint="eastAsia" w:ascii="宋体" w:hAnsi="宋体"/>
        </w:rPr>
        <w:t>2.评审结论栏统一填写为“通过”或“不通过”，出现一个“×”为“不通过”；</w:t>
      </w:r>
    </w:p>
    <w:p>
      <w:pPr>
        <w:spacing w:before="120" w:line="360" w:lineRule="auto"/>
        <w:ind w:firstLine="420" w:firstLineChars="200"/>
        <w:rPr>
          <w:rFonts w:ascii="宋体" w:hAnsi="宋体"/>
        </w:rPr>
      </w:pPr>
      <w:r>
        <w:rPr>
          <w:rFonts w:hint="eastAsia" w:ascii="宋体" w:hAnsi="宋体"/>
        </w:rPr>
        <w:t>3.对结论为“不通过”的响应，要说明原因。</w:t>
      </w:r>
    </w:p>
    <w:p>
      <w:pPr>
        <w:pStyle w:val="9"/>
        <w:sectPr>
          <w:headerReference r:id="rId3" w:type="default"/>
          <w:footerReference r:id="rId4" w:type="default"/>
          <w:pgSz w:w="11907" w:h="16840"/>
          <w:pgMar w:top="1440" w:right="1080" w:bottom="1440" w:left="1080" w:header="794" w:footer="794" w:gutter="0"/>
          <w:cols w:space="720" w:num="1"/>
          <w:docGrid w:linePitch="285" w:charSpace="0"/>
        </w:sectPr>
      </w:pPr>
    </w:p>
    <w:p>
      <w:pPr>
        <w:wordWrap w:val="0"/>
        <w:topLinePunct/>
        <w:spacing w:line="360" w:lineRule="auto"/>
        <w:ind w:firstLine="482" w:firstLineChars="200"/>
        <w:outlineLvl w:val="1"/>
        <w:rPr>
          <w:rFonts w:ascii="黑体" w:hAnsi="仿宋" w:eastAsia="黑体" w:cs="黑体"/>
          <w:b/>
          <w:bCs/>
          <w:sz w:val="24"/>
        </w:rPr>
      </w:pPr>
      <w:bookmarkStart w:id="133" w:name="_Toc24188"/>
      <w:bookmarkStart w:id="134" w:name="_Toc21145"/>
      <w:bookmarkStart w:id="135" w:name="_Toc14127"/>
      <w:bookmarkStart w:id="136" w:name="_Toc14011"/>
      <w:bookmarkStart w:id="137" w:name="_Toc2064"/>
      <w:r>
        <w:rPr>
          <w:rFonts w:hint="eastAsia" w:ascii="黑体" w:hAnsi="仿宋" w:eastAsia="黑体" w:cs="黑体"/>
          <w:b/>
          <w:bCs/>
          <w:sz w:val="24"/>
        </w:rPr>
        <w:t>附表3：《价格评审表》</w:t>
      </w:r>
      <w:bookmarkEnd w:id="133"/>
      <w:bookmarkEnd w:id="134"/>
      <w:bookmarkEnd w:id="135"/>
      <w:bookmarkEnd w:id="136"/>
      <w:bookmarkEnd w:id="137"/>
    </w:p>
    <w:p>
      <w:pPr>
        <w:spacing w:line="360" w:lineRule="auto"/>
        <w:jc w:val="center"/>
        <w:rPr>
          <w:rFonts w:ascii="黑体" w:hAnsi="仿宋" w:eastAsia="黑体" w:cs="黑体"/>
          <w:sz w:val="32"/>
          <w:szCs w:val="32"/>
        </w:rPr>
      </w:pPr>
      <w:r>
        <w:rPr>
          <w:rFonts w:hint="eastAsia" w:ascii="黑体" w:hAnsi="仿宋" w:eastAsia="黑体" w:cs="黑体"/>
          <w:sz w:val="32"/>
          <w:szCs w:val="32"/>
        </w:rPr>
        <w:t>价格评审表</w:t>
      </w:r>
    </w:p>
    <w:tbl>
      <w:tblPr>
        <w:tblStyle w:val="22"/>
        <w:tblW w:w="13354" w:type="dxa"/>
        <w:jc w:val="center"/>
        <w:tblLayout w:type="fixed"/>
        <w:tblCellMar>
          <w:top w:w="0" w:type="dxa"/>
          <w:left w:w="108" w:type="dxa"/>
          <w:bottom w:w="0" w:type="dxa"/>
          <w:right w:w="108" w:type="dxa"/>
        </w:tblCellMar>
      </w:tblPr>
      <w:tblGrid>
        <w:gridCol w:w="3040"/>
        <w:gridCol w:w="8778"/>
        <w:gridCol w:w="791"/>
        <w:gridCol w:w="745"/>
      </w:tblGrid>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类别</w:t>
            </w:r>
          </w:p>
        </w:tc>
        <w:tc>
          <w:tcPr>
            <w:tcW w:w="8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评审内容</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分值</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序号</w:t>
            </w:r>
          </w:p>
        </w:tc>
      </w:tr>
      <w:tr>
        <w:tblPrEx>
          <w:tblCellMar>
            <w:top w:w="0" w:type="dxa"/>
            <w:left w:w="108" w:type="dxa"/>
            <w:bottom w:w="0" w:type="dxa"/>
            <w:right w:w="108" w:type="dxa"/>
          </w:tblCellMar>
        </w:tblPrEx>
        <w:trPr>
          <w:trHeight w:val="774"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
              </w:rPr>
            </w:pPr>
            <w:r>
              <w:rPr>
                <w:rFonts w:hint="eastAsia" w:ascii="黑体" w:hAnsi="黑体" w:eastAsia="黑体" w:cs="黑体"/>
                <w:b/>
              </w:rPr>
              <w:t>价格评分</w:t>
            </w:r>
          </w:p>
        </w:tc>
        <w:tc>
          <w:tcPr>
            <w:tcW w:w="87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pPr>
            <w:r>
              <w:rPr>
                <w:rFonts w:hint="eastAsia"/>
              </w:rPr>
              <w:t>各有效供应商的评审价中，取最低者作为基准价，各有效供应商的价格评分统一按照下列公式计算：</w:t>
            </w:r>
          </w:p>
          <w:p>
            <w:pPr>
              <w:spacing w:line="300" w:lineRule="exact"/>
              <w:ind w:firstLine="420" w:firstLineChars="200"/>
            </w:pPr>
            <w:r>
              <w:rPr>
                <w:rFonts w:hint="eastAsia"/>
              </w:rPr>
              <w:t>价格评分＝（基准价÷评审价）×价格分分值。</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Cs/>
              </w:rPr>
            </w:pPr>
            <w:r>
              <w:rPr>
                <w:rFonts w:hint="eastAsia" w:ascii="宋体" w:hAnsi="宋体"/>
                <w:bCs/>
              </w:rPr>
              <w:t>10分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rPr>
            </w:pPr>
            <w:r>
              <w:rPr>
                <w:rFonts w:hint="eastAsia" w:ascii="宋体" w:hAnsi="宋体"/>
                <w:bCs/>
              </w:rPr>
              <w:t>1</w:t>
            </w:r>
          </w:p>
        </w:tc>
      </w:tr>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hint="eastAsia" w:ascii="宋体" w:hAnsi="宋体"/>
                <w:b/>
              </w:rPr>
              <w:t>小计</w:t>
            </w:r>
          </w:p>
        </w:tc>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rPr>
            </w:pPr>
            <w:r>
              <w:rPr>
                <w:rFonts w:hint="eastAsia" w:ascii="黑体" w:hAnsi="黑体" w:eastAsia="黑体" w:cs="黑体"/>
                <w:b/>
              </w:rPr>
              <w:t>10分</w:t>
            </w:r>
          </w:p>
        </w:tc>
      </w:tr>
    </w:tbl>
    <w:p>
      <w:pPr>
        <w:spacing w:line="360" w:lineRule="auto"/>
        <w:ind w:firstLine="422" w:firstLineChars="200"/>
        <w:rPr>
          <w:rFonts w:ascii="宋体" w:hAnsi="宋体"/>
          <w:b/>
          <w:bCs/>
          <w:u w:val="single"/>
          <w:lang w:val="en-GB"/>
        </w:rPr>
      </w:pPr>
      <w:r>
        <w:rPr>
          <w:rFonts w:hint="eastAsia" w:ascii="宋体" w:hAnsi="宋体"/>
          <w:b/>
          <w:bCs/>
          <w:u w:val="single"/>
          <w:lang w:val="en-GB"/>
        </w:rPr>
        <w:t>注：</w:t>
      </w:r>
      <w:r>
        <w:rPr>
          <w:rFonts w:hint="eastAsia" w:ascii="宋体" w:hAnsi="宋体"/>
          <w:b/>
          <w:bCs/>
          <w:u w:val="single"/>
        </w:rPr>
        <w:t>磋商</w:t>
      </w:r>
      <w:r>
        <w:rPr>
          <w:rFonts w:hint="eastAsia" w:ascii="宋体" w:hAnsi="宋体"/>
          <w:b/>
          <w:bCs/>
          <w:u w:val="single"/>
          <w:lang w:val="en-GB"/>
        </w:rPr>
        <w:t>文件要求提交的与评价指标体系相关的各类有效资料，</w:t>
      </w:r>
      <w:r>
        <w:rPr>
          <w:rFonts w:hint="eastAsia" w:ascii="宋体" w:hAnsi="宋体"/>
          <w:b/>
          <w:bCs/>
          <w:u w:val="single"/>
        </w:rPr>
        <w:t>响应</w:t>
      </w:r>
      <w:r>
        <w:rPr>
          <w:rFonts w:hint="eastAsia" w:ascii="宋体" w:hAnsi="宋体"/>
          <w:b/>
          <w:bCs/>
          <w:u w:val="single"/>
          <w:lang w:val="en-GB"/>
        </w:rPr>
        <w:t>供应商如未按要求提交的，该项评分为零分；</w:t>
      </w:r>
    </w:p>
    <w:p>
      <w:pPr>
        <w:rPr>
          <w:rFonts w:ascii="黑体" w:hAnsi="仿宋" w:eastAsia="黑体" w:cs="黑体"/>
          <w:b/>
          <w:bCs/>
          <w:sz w:val="24"/>
        </w:rPr>
      </w:pPr>
      <w:r>
        <w:rPr>
          <w:rFonts w:hint="eastAsia" w:ascii="黑体" w:hAnsi="仿宋" w:eastAsia="黑体" w:cs="黑体"/>
          <w:b/>
          <w:bCs/>
          <w:sz w:val="24"/>
        </w:rPr>
        <w:br w:type="page"/>
      </w:r>
    </w:p>
    <w:p>
      <w:pPr>
        <w:spacing w:line="360" w:lineRule="auto"/>
        <w:ind w:firstLine="482" w:firstLineChars="200"/>
        <w:outlineLvl w:val="1"/>
        <w:rPr>
          <w:rFonts w:ascii="黑体" w:hAnsi="仿宋" w:eastAsia="黑体" w:cs="Times New Roman"/>
          <w:b/>
          <w:bCs/>
          <w:sz w:val="24"/>
        </w:rPr>
      </w:pPr>
      <w:bookmarkStart w:id="138" w:name="_Toc645"/>
      <w:r>
        <w:rPr>
          <w:rFonts w:hint="eastAsia" w:ascii="黑体" w:hAnsi="仿宋" w:eastAsia="黑体" w:cs="黑体"/>
          <w:b/>
          <w:bCs/>
          <w:sz w:val="24"/>
        </w:rPr>
        <w:t>附表4：《技术评审表》</w:t>
      </w:r>
      <w:bookmarkEnd w:id="138"/>
    </w:p>
    <w:p>
      <w:pPr>
        <w:spacing w:line="360" w:lineRule="auto"/>
        <w:jc w:val="center"/>
        <w:rPr>
          <w:rFonts w:ascii="黑体" w:hAnsi="仿宋" w:eastAsia="黑体" w:cs="Times New Roman"/>
          <w:sz w:val="32"/>
          <w:szCs w:val="32"/>
        </w:rPr>
      </w:pPr>
      <w:bookmarkStart w:id="139" w:name="_Toc483349422"/>
      <w:bookmarkStart w:id="140" w:name="_Toc31567"/>
      <w:r>
        <w:rPr>
          <w:rFonts w:hint="eastAsia" w:ascii="黑体" w:hAnsi="仿宋" w:eastAsia="黑体" w:cs="黑体"/>
          <w:sz w:val="32"/>
          <w:szCs w:val="32"/>
        </w:rPr>
        <w:t>技术评审表</w:t>
      </w:r>
      <w:bookmarkEnd w:id="139"/>
      <w:bookmarkEnd w:id="140"/>
    </w:p>
    <w:tbl>
      <w:tblPr>
        <w:tblStyle w:val="22"/>
        <w:tblW w:w="13354" w:type="dxa"/>
        <w:jc w:val="center"/>
        <w:tblLayout w:type="fixed"/>
        <w:tblCellMar>
          <w:top w:w="0" w:type="dxa"/>
          <w:left w:w="108" w:type="dxa"/>
          <w:bottom w:w="0" w:type="dxa"/>
          <w:right w:w="108" w:type="dxa"/>
        </w:tblCellMar>
      </w:tblPr>
      <w:tblGrid>
        <w:gridCol w:w="3040"/>
        <w:gridCol w:w="8778"/>
        <w:gridCol w:w="791"/>
        <w:gridCol w:w="745"/>
      </w:tblGrid>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类别</w:t>
            </w:r>
          </w:p>
        </w:tc>
        <w:tc>
          <w:tcPr>
            <w:tcW w:w="8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评审内容</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分值</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序号</w:t>
            </w:r>
          </w:p>
        </w:tc>
      </w:tr>
      <w:tr>
        <w:tblPrEx>
          <w:tblCellMar>
            <w:top w:w="0" w:type="dxa"/>
            <w:left w:w="108" w:type="dxa"/>
            <w:bottom w:w="0" w:type="dxa"/>
            <w:right w:w="108" w:type="dxa"/>
          </w:tblCellMar>
        </w:tblPrEx>
        <w:trPr>
          <w:trHeight w:val="1197"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b/>
              </w:rPr>
            </w:pPr>
            <w:r>
              <w:rPr>
                <w:rFonts w:hint="eastAsia" w:ascii="黑体" w:hAnsi="黑体" w:eastAsia="黑体" w:cs="黑体"/>
                <w:b/>
              </w:rPr>
              <w:t>整体方案</w:t>
            </w:r>
          </w:p>
        </w:tc>
        <w:tc>
          <w:tcPr>
            <w:tcW w:w="87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pPr>
            <w:r>
              <w:rPr>
                <w:rFonts w:hint="eastAsia"/>
              </w:rPr>
              <w:t>依据磋商响应文件所提供的供应商对本项目的认识及整体维护方案，结合相关技术支持材料，从其采购需求的解读程度及整体系统的架构上，横向比较，自主排序赋分：</w:t>
            </w:r>
          </w:p>
          <w:p>
            <w:pPr>
              <w:spacing w:line="300" w:lineRule="exact"/>
              <w:ind w:firstLine="420" w:firstLineChars="200"/>
            </w:pPr>
            <w:r>
              <w:rPr>
                <w:rFonts w:hint="eastAsia"/>
              </w:rPr>
              <w:t>1、对相关业务认识深入，采购需求解读精确，整体维护方案完整全面，贴合项目需求，技术支持文件详尽，得25-35分；</w:t>
            </w:r>
          </w:p>
          <w:p>
            <w:pPr>
              <w:spacing w:line="300" w:lineRule="exact"/>
              <w:ind w:firstLine="420" w:firstLineChars="200"/>
            </w:pPr>
            <w:r>
              <w:rPr>
                <w:rFonts w:hint="eastAsia"/>
              </w:rPr>
              <w:t>2、熟悉驾培行业信息管理业务，采购需求解读较精确，整体维护方案完整，基本满足系统日常使用，技术支持文件较详尽，得15-24分；</w:t>
            </w:r>
          </w:p>
          <w:p>
            <w:pPr>
              <w:spacing w:line="300" w:lineRule="exact"/>
              <w:ind w:firstLine="420" w:firstLineChars="200"/>
            </w:pPr>
            <w:r>
              <w:rPr>
                <w:rFonts w:hint="eastAsia"/>
              </w:rPr>
              <w:t>3、不了解驾培行业信息管理业务，维护方案与使用需求有较大偏差，技术支持文件缺失，得7-14分。</w:t>
            </w:r>
          </w:p>
          <w:p>
            <w:pPr>
              <w:spacing w:line="300" w:lineRule="exact"/>
              <w:ind w:firstLine="420" w:firstLineChars="200"/>
            </w:pPr>
            <w:r>
              <w:rPr>
                <w:rFonts w:hint="eastAsia"/>
              </w:rPr>
              <w:t>4、未提供整体方案描述，得0-6分。</w:t>
            </w:r>
          </w:p>
        </w:tc>
        <w:tc>
          <w:tcPr>
            <w:tcW w:w="791"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bCs/>
              </w:rPr>
            </w:pPr>
            <w:r>
              <w:rPr>
                <w:rFonts w:hint="eastAsia" w:ascii="宋体" w:hAnsi="宋体"/>
                <w:bCs/>
              </w:rPr>
              <w:t>35分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18"/>
                <w:szCs w:val="18"/>
              </w:rPr>
            </w:pPr>
            <w:r>
              <w:rPr>
                <w:rFonts w:hint="eastAsia" w:ascii="宋体" w:hAnsi="宋体"/>
                <w:bCs/>
                <w:sz w:val="18"/>
                <w:szCs w:val="18"/>
              </w:rPr>
              <w:t>1</w:t>
            </w:r>
          </w:p>
        </w:tc>
      </w:tr>
      <w:tr>
        <w:tblPrEx>
          <w:tblCellMar>
            <w:top w:w="0" w:type="dxa"/>
            <w:left w:w="108" w:type="dxa"/>
            <w:bottom w:w="0" w:type="dxa"/>
            <w:right w:w="108" w:type="dxa"/>
          </w:tblCellMar>
        </w:tblPrEx>
        <w:trPr>
          <w:trHeight w:val="637"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b/>
              </w:rPr>
            </w:pPr>
            <w:r>
              <w:rPr>
                <w:rFonts w:hint="eastAsia" w:ascii="黑体" w:hAnsi="黑体" w:eastAsia="黑体" w:cs="黑体"/>
                <w:b/>
              </w:rPr>
              <w:t>工作计划</w:t>
            </w:r>
          </w:p>
        </w:tc>
        <w:tc>
          <w:tcPr>
            <w:tcW w:w="87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pPr>
            <w:r>
              <w:rPr>
                <w:rFonts w:hint="eastAsia"/>
              </w:rPr>
              <w:t>依据磋商响应文件所提供的工作计划（含日常维护流程、安全维护方案、数据质量保障措施、平台升级改造响应方案等），横向比较，自主排序赋分：</w:t>
            </w:r>
          </w:p>
          <w:p>
            <w:pPr>
              <w:spacing w:line="300" w:lineRule="exact"/>
              <w:ind w:firstLine="420" w:firstLineChars="200"/>
            </w:pPr>
            <w:r>
              <w:rPr>
                <w:rFonts w:hint="eastAsia"/>
              </w:rPr>
              <w:t>1、日常维护流程合理规范，平台安全维护方案细致全面，安全保障性好，数据质量保障性高，平台升级改造响应方案及时有效，各项服务内容完全响应，得8-12分；</w:t>
            </w:r>
          </w:p>
          <w:p>
            <w:pPr>
              <w:spacing w:line="300" w:lineRule="exact"/>
              <w:ind w:firstLine="420" w:firstLineChars="200"/>
            </w:pPr>
            <w:r>
              <w:rPr>
                <w:rFonts w:hint="eastAsia"/>
              </w:rPr>
              <w:t>2、日常维护流程较规范，平台安全维护方案较全面，平台安全性较差，数据质量保障措施较完善，升级改造响应方案较及时，各项服务内容基本响应，得4-8分；</w:t>
            </w:r>
          </w:p>
          <w:p>
            <w:pPr>
              <w:spacing w:line="300" w:lineRule="exact"/>
              <w:ind w:firstLine="420" w:firstLineChars="200"/>
            </w:pPr>
            <w:r>
              <w:rPr>
                <w:rFonts w:hint="eastAsia"/>
              </w:rPr>
              <w:t>3、日常维护流程较简单，平台安全性较差，缺乏数据质量保障及升级改造响应措施，各项服务内容存在缺项，得0-4分。</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Cs/>
              </w:rPr>
            </w:pPr>
            <w:r>
              <w:rPr>
                <w:rFonts w:hint="eastAsia" w:ascii="宋体" w:hAnsi="宋体"/>
                <w:bCs/>
              </w:rPr>
              <w:t>12分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18"/>
                <w:szCs w:val="18"/>
              </w:rPr>
            </w:pPr>
            <w:r>
              <w:rPr>
                <w:rFonts w:hint="eastAsia" w:ascii="宋体" w:hAnsi="宋体"/>
                <w:bCs/>
                <w:sz w:val="18"/>
                <w:szCs w:val="18"/>
              </w:rPr>
              <w:t>2</w:t>
            </w:r>
          </w:p>
        </w:tc>
      </w:tr>
      <w:tr>
        <w:tblPrEx>
          <w:tblCellMar>
            <w:top w:w="0" w:type="dxa"/>
            <w:left w:w="108" w:type="dxa"/>
            <w:bottom w:w="0" w:type="dxa"/>
            <w:right w:w="108" w:type="dxa"/>
          </w:tblCellMar>
        </w:tblPrEx>
        <w:trPr>
          <w:trHeight w:val="1022" w:hRule="atLeast"/>
          <w:jc w:val="center"/>
        </w:trPr>
        <w:tc>
          <w:tcPr>
            <w:tcW w:w="30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b/>
              </w:rPr>
            </w:pPr>
            <w:r>
              <w:rPr>
                <w:rFonts w:hint="eastAsia" w:ascii="黑体" w:hAnsi="黑体" w:eastAsia="黑体" w:cs="黑体"/>
                <w:b/>
              </w:rPr>
              <w:t>合理化建议及承诺</w:t>
            </w:r>
          </w:p>
        </w:tc>
        <w:tc>
          <w:tcPr>
            <w:tcW w:w="87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pPr>
            <w:r>
              <w:rPr>
                <w:rFonts w:hint="eastAsia"/>
              </w:rPr>
              <w:t>依据磋商响应文件所提供的对本项目工作重点及难点的分析以及拟采用的解决方案和合理化建议，横向比较，自主排序赋分0-4分。</w:t>
            </w:r>
          </w:p>
        </w:tc>
        <w:tc>
          <w:tcPr>
            <w:tcW w:w="791"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bCs/>
              </w:rPr>
            </w:pPr>
            <w:r>
              <w:rPr>
                <w:rFonts w:hint="eastAsia" w:ascii="宋体" w:hAnsi="宋体"/>
                <w:bCs/>
              </w:rPr>
              <w:t>4分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18"/>
                <w:szCs w:val="18"/>
              </w:rPr>
            </w:pPr>
            <w:r>
              <w:rPr>
                <w:rFonts w:hint="eastAsia" w:ascii="宋体" w:hAnsi="宋体"/>
                <w:bCs/>
                <w:sz w:val="18"/>
                <w:szCs w:val="18"/>
              </w:rPr>
              <w:t>3</w:t>
            </w:r>
          </w:p>
        </w:tc>
      </w:tr>
      <w:tr>
        <w:tblPrEx>
          <w:tblCellMar>
            <w:top w:w="0" w:type="dxa"/>
            <w:left w:w="108" w:type="dxa"/>
            <w:bottom w:w="0" w:type="dxa"/>
            <w:right w:w="108" w:type="dxa"/>
          </w:tblCellMar>
        </w:tblPrEx>
        <w:trPr>
          <w:trHeight w:val="1022" w:hRule="atLeast"/>
          <w:jc w:val="center"/>
        </w:trPr>
        <w:tc>
          <w:tcPr>
            <w:tcW w:w="304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b/>
              </w:rPr>
            </w:pPr>
          </w:p>
        </w:tc>
        <w:tc>
          <w:tcPr>
            <w:tcW w:w="87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pPr>
            <w:r>
              <w:rPr>
                <w:rFonts w:hint="eastAsia"/>
              </w:rPr>
              <w:t>依据磋商响应文件所提供的针对本项目的相关服务承诺（包含人员到位承诺、服务响应时间及其他实质性承诺），从其承诺内容及承诺是否可行等方面，横向比较，自主排序赋分0-4分。</w:t>
            </w:r>
          </w:p>
        </w:tc>
        <w:tc>
          <w:tcPr>
            <w:tcW w:w="791"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bCs/>
              </w:rPr>
            </w:pPr>
            <w:r>
              <w:rPr>
                <w:rFonts w:hint="eastAsia" w:ascii="宋体" w:hAnsi="宋体"/>
                <w:bCs/>
              </w:rPr>
              <w:t>4分</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rPr>
            </w:pPr>
            <w:r>
              <w:rPr>
                <w:rFonts w:hint="eastAsia" w:ascii="宋体" w:hAnsi="宋体"/>
                <w:bCs/>
              </w:rPr>
              <w:t>4</w:t>
            </w:r>
          </w:p>
        </w:tc>
      </w:tr>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hint="eastAsia" w:ascii="宋体" w:hAnsi="宋体"/>
                <w:b/>
              </w:rPr>
              <w:t>小计</w:t>
            </w:r>
          </w:p>
        </w:tc>
        <w:tc>
          <w:tcPr>
            <w:tcW w:w="103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rPr>
            </w:pPr>
            <w:r>
              <w:rPr>
                <w:rFonts w:hint="eastAsia" w:ascii="黑体" w:hAnsi="黑体" w:eastAsia="黑体" w:cs="黑体"/>
                <w:b/>
                <w:sz w:val="24"/>
              </w:rPr>
              <w:t>55分</w:t>
            </w:r>
          </w:p>
        </w:tc>
      </w:tr>
    </w:tbl>
    <w:p>
      <w:pPr>
        <w:wordWrap w:val="0"/>
        <w:topLinePunct/>
        <w:spacing w:line="500" w:lineRule="exact"/>
        <w:ind w:firstLine="422" w:firstLineChars="200"/>
        <w:rPr>
          <w:rFonts w:ascii="宋体" w:hAnsi="宋体"/>
          <w:b/>
          <w:bCs/>
          <w:u w:val="single"/>
          <w:lang w:val="en-GB"/>
        </w:rPr>
      </w:pPr>
      <w:r>
        <w:rPr>
          <w:rFonts w:hint="eastAsia" w:ascii="宋体" w:hAnsi="宋体"/>
          <w:b/>
          <w:bCs/>
          <w:u w:val="single"/>
          <w:lang w:val="en-GB"/>
        </w:rPr>
        <w:t>注：磋商文件要求提交的与评价指标体系相关的各类有效资料，响应供应商如未按要求提交的，该项评分为零分；</w:t>
      </w:r>
    </w:p>
    <w:p>
      <w:pPr>
        <w:wordWrap w:val="0"/>
        <w:topLinePunct/>
        <w:spacing w:line="500" w:lineRule="exact"/>
        <w:ind w:firstLine="422" w:firstLineChars="200"/>
        <w:outlineLvl w:val="1"/>
        <w:rPr>
          <w:rFonts w:ascii="黑体" w:hAnsi="仿宋" w:eastAsia="黑体" w:cs="Times New Roman"/>
          <w:b/>
          <w:bCs/>
          <w:sz w:val="24"/>
        </w:rPr>
      </w:pPr>
      <w:r>
        <w:rPr>
          <w:rFonts w:hint="eastAsia" w:ascii="宋体" w:hAnsi="宋体"/>
          <w:b/>
          <w:bCs/>
          <w:u w:val="single"/>
          <w:lang w:val="en-GB"/>
        </w:rPr>
        <w:br w:type="page"/>
      </w:r>
      <w:bookmarkStart w:id="141" w:name="_Toc27695"/>
      <w:bookmarkStart w:id="142" w:name="_Toc223856296"/>
      <w:bookmarkStart w:id="143" w:name="_Toc278274488"/>
      <w:bookmarkStart w:id="144" w:name="_Toc278794809"/>
      <w:r>
        <w:rPr>
          <w:rFonts w:hint="eastAsia" w:ascii="黑体" w:hAnsi="仿宋" w:eastAsia="黑体" w:cs="黑体"/>
          <w:b/>
          <w:bCs/>
          <w:sz w:val="24"/>
        </w:rPr>
        <w:t>附表5：《商务评审表》</w:t>
      </w:r>
      <w:bookmarkEnd w:id="141"/>
    </w:p>
    <w:bookmarkEnd w:id="142"/>
    <w:bookmarkEnd w:id="143"/>
    <w:bookmarkEnd w:id="144"/>
    <w:p>
      <w:pPr>
        <w:spacing w:line="360" w:lineRule="auto"/>
        <w:jc w:val="center"/>
        <w:rPr>
          <w:rFonts w:ascii="黑体" w:hAnsi="仿宋" w:eastAsia="黑体" w:cs="黑体"/>
          <w:sz w:val="32"/>
          <w:szCs w:val="32"/>
        </w:rPr>
      </w:pPr>
      <w:bookmarkStart w:id="145" w:name="_Toc483349423"/>
      <w:r>
        <w:rPr>
          <w:rFonts w:hint="eastAsia" w:ascii="黑体" w:hAnsi="仿宋" w:eastAsia="黑体" w:cs="黑体"/>
          <w:sz w:val="32"/>
          <w:szCs w:val="32"/>
        </w:rPr>
        <w:t>商务评审表</w:t>
      </w:r>
      <w:bookmarkEnd w:id="145"/>
    </w:p>
    <w:tbl>
      <w:tblPr>
        <w:tblStyle w:val="22"/>
        <w:tblW w:w="13354" w:type="dxa"/>
        <w:jc w:val="center"/>
        <w:tblLayout w:type="fixed"/>
        <w:tblCellMar>
          <w:top w:w="0" w:type="dxa"/>
          <w:left w:w="108" w:type="dxa"/>
          <w:bottom w:w="0" w:type="dxa"/>
          <w:right w:w="108" w:type="dxa"/>
        </w:tblCellMar>
      </w:tblPr>
      <w:tblGrid>
        <w:gridCol w:w="2402"/>
        <w:gridCol w:w="9416"/>
        <w:gridCol w:w="791"/>
        <w:gridCol w:w="745"/>
      </w:tblGrid>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类别</w:t>
            </w:r>
          </w:p>
        </w:tc>
        <w:tc>
          <w:tcPr>
            <w:tcW w:w="9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评审内容</w:t>
            </w:r>
          </w:p>
        </w:tc>
        <w:tc>
          <w:tcPr>
            <w:tcW w:w="791" w:type="dxa"/>
            <w:tcBorders>
              <w:top w:val="single" w:color="auto" w:sz="4" w:space="0"/>
              <w:left w:val="nil"/>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分值</w:t>
            </w:r>
          </w:p>
        </w:tc>
        <w:tc>
          <w:tcPr>
            <w:tcW w:w="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Times New Roman"/>
                <w:sz w:val="24"/>
              </w:rPr>
            </w:pPr>
            <w:r>
              <w:rPr>
                <w:rFonts w:hint="eastAsia" w:ascii="黑体" w:hAnsi="黑体" w:eastAsia="黑体" w:cs="黑体"/>
                <w:sz w:val="24"/>
              </w:rPr>
              <w:t>序号</w:t>
            </w:r>
          </w:p>
        </w:tc>
      </w:tr>
      <w:tr>
        <w:tblPrEx>
          <w:tblCellMar>
            <w:top w:w="0" w:type="dxa"/>
            <w:left w:w="108" w:type="dxa"/>
            <w:bottom w:w="0" w:type="dxa"/>
            <w:right w:w="108" w:type="dxa"/>
          </w:tblCellMar>
        </w:tblPrEx>
        <w:trPr>
          <w:trHeight w:val="417" w:hRule="atLeast"/>
          <w:jc w:val="center"/>
        </w:trPr>
        <w:tc>
          <w:tcPr>
            <w:tcW w:w="2402" w:type="dxa"/>
            <w:vMerge w:val="restart"/>
            <w:tcBorders>
              <w:top w:val="single" w:color="auto" w:sz="4" w:space="0"/>
              <w:left w:val="single" w:color="auto" w:sz="4" w:space="0"/>
              <w:right w:val="single" w:color="auto" w:sz="4" w:space="0"/>
            </w:tcBorders>
            <w:vAlign w:val="center"/>
          </w:tcPr>
          <w:p>
            <w:pPr>
              <w:spacing w:line="300" w:lineRule="exact"/>
              <w:jc w:val="center"/>
              <w:rPr>
                <w:rFonts w:ascii="黑体" w:hAnsi="黑体" w:eastAsia="黑体" w:cs="黑体"/>
                <w:b/>
              </w:rPr>
            </w:pPr>
            <w:r>
              <w:rPr>
                <w:rFonts w:hint="eastAsia" w:ascii="黑体" w:hAnsi="黑体" w:eastAsia="黑体" w:cs="黑体"/>
                <w:b/>
              </w:rPr>
              <w:t>实施团队</w:t>
            </w:r>
          </w:p>
        </w:tc>
        <w:tc>
          <w:tcPr>
            <w:tcW w:w="941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pPr>
            <w:r>
              <w:rPr>
                <w:rFonts w:hint="eastAsia"/>
              </w:rPr>
              <w:t>依据磋商响应文件所提供的维护团队信息，根据人员清单及专业能力（须提供相关工作经验、相关资质等证明材料）等方面，横向比较，自主排序赋分：</w:t>
            </w:r>
          </w:p>
          <w:p>
            <w:pPr>
              <w:spacing w:line="300" w:lineRule="exact"/>
              <w:ind w:firstLine="420" w:firstLineChars="200"/>
            </w:pPr>
            <w:r>
              <w:rPr>
                <w:rFonts w:hint="eastAsia"/>
              </w:rPr>
              <w:t>1、针对本项目的实施团队人员充足，组织架构合理，岗位职责明确，项目人员专业技术能力强，同类项目工作经验丰富，得15-20分；</w:t>
            </w:r>
          </w:p>
          <w:p>
            <w:pPr>
              <w:spacing w:line="300" w:lineRule="exact"/>
              <w:ind w:firstLine="420" w:firstLineChars="200"/>
            </w:pPr>
            <w:r>
              <w:rPr>
                <w:rFonts w:hint="eastAsia"/>
              </w:rPr>
              <w:t>2、针对本项目的实施团队人员较充足，组织架构较合理，岗位职责较明确，项目人员专业技术能力较强，同类项目工作经验较少，得8-14分；</w:t>
            </w:r>
          </w:p>
          <w:p>
            <w:pPr>
              <w:spacing w:line="300" w:lineRule="exact"/>
              <w:ind w:firstLine="420" w:firstLineChars="200"/>
              <w:rPr>
                <w:lang w:val="zh-CN"/>
              </w:rPr>
            </w:pPr>
            <w:r>
              <w:rPr>
                <w:rFonts w:hint="eastAsia"/>
              </w:rPr>
              <w:t>3、针对本项目的实施团队人员较少，组织架构不合理，岗位职责混乱，项目人员专业技术能力差，缺乏同类项目工作经验，得0-7分。</w:t>
            </w:r>
          </w:p>
        </w:tc>
        <w:tc>
          <w:tcPr>
            <w:tcW w:w="7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bCs/>
              </w:rPr>
              <w:t>20分</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r>
      <w:tr>
        <w:tblPrEx>
          <w:tblCellMar>
            <w:top w:w="0" w:type="dxa"/>
            <w:left w:w="108" w:type="dxa"/>
            <w:bottom w:w="0" w:type="dxa"/>
            <w:right w:w="108" w:type="dxa"/>
          </w:tblCellMar>
        </w:tblPrEx>
        <w:trPr>
          <w:trHeight w:val="417" w:hRule="atLeast"/>
          <w:jc w:val="center"/>
        </w:trPr>
        <w:tc>
          <w:tcPr>
            <w:tcW w:w="240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b/>
              </w:rPr>
            </w:pPr>
          </w:p>
        </w:tc>
        <w:tc>
          <w:tcPr>
            <w:tcW w:w="941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pPr>
            <w:r>
              <w:rPr>
                <w:rFonts w:hint="eastAsia"/>
              </w:rPr>
              <w:t>依据磋商响应文件所提供项目负责人相关信息，横向比较项目负责人专业证书、职称证书及相关工作经验（提供2018年1月1日以来同类项目成功实施案例证明材料，以合同复印件或相关证明材料复印件为准），自主赋分0-5分。</w:t>
            </w:r>
          </w:p>
          <w:p>
            <w:pPr>
              <w:spacing w:line="300" w:lineRule="exact"/>
              <w:ind w:firstLine="420" w:firstLineChars="200"/>
            </w:pPr>
            <w:r>
              <w:rPr>
                <w:rFonts w:hint="eastAsia"/>
              </w:rPr>
              <w:t>未提供项目负责人在本单位近年来（2020年1月1日以后）任意连续6个月社保记录，本项不得分。</w:t>
            </w:r>
          </w:p>
        </w:tc>
        <w:tc>
          <w:tcPr>
            <w:tcW w:w="7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bCs/>
              </w:rPr>
              <w:t>5分</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r>
      <w:tr>
        <w:tblPrEx>
          <w:tblCellMar>
            <w:top w:w="0" w:type="dxa"/>
            <w:left w:w="108" w:type="dxa"/>
            <w:bottom w:w="0" w:type="dxa"/>
            <w:right w:w="108" w:type="dxa"/>
          </w:tblCellMar>
        </w:tblPrEx>
        <w:trPr>
          <w:trHeight w:val="605"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b/>
              </w:rPr>
            </w:pPr>
            <w:r>
              <w:rPr>
                <w:rFonts w:hint="eastAsia" w:ascii="黑体" w:hAnsi="黑体" w:eastAsia="黑体" w:cs="黑体"/>
                <w:b/>
              </w:rPr>
              <w:t>业绩</w:t>
            </w:r>
          </w:p>
        </w:tc>
        <w:tc>
          <w:tcPr>
            <w:tcW w:w="941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lang w:val="zh-CN"/>
              </w:rPr>
            </w:pPr>
            <w:r>
              <w:rPr>
                <w:rFonts w:hint="eastAsia"/>
              </w:rPr>
              <w:t>提供2018年1月1日至今承接类似信息化运维项目业绩，每个得2分，满分10分。（以提供合同原件与响应文件中所附的复印件一致为准）</w:t>
            </w:r>
          </w:p>
        </w:tc>
        <w:tc>
          <w:tcPr>
            <w:tcW w:w="7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bCs/>
              </w:rPr>
              <w:t>10分</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r>
      <w:tr>
        <w:tblPrEx>
          <w:tblCellMar>
            <w:top w:w="0" w:type="dxa"/>
            <w:left w:w="108" w:type="dxa"/>
            <w:bottom w:w="0" w:type="dxa"/>
            <w:right w:w="108" w:type="dxa"/>
          </w:tblCellMar>
        </w:tblPrEx>
        <w:trPr>
          <w:trHeight w:val="34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
              </w:rPr>
            </w:pPr>
            <w:r>
              <w:rPr>
                <w:rFonts w:hint="eastAsia" w:ascii="黑体" w:hAnsi="黑体" w:eastAsia="黑体" w:cs="黑体"/>
                <w:b/>
              </w:rPr>
              <w:t>小计</w:t>
            </w:r>
          </w:p>
        </w:tc>
        <w:tc>
          <w:tcPr>
            <w:tcW w:w="10952" w:type="dxa"/>
            <w:gridSpan w:val="3"/>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黑体" w:hAnsi="黑体" w:eastAsia="黑体" w:cs="黑体"/>
                <w:b/>
                <w:sz w:val="24"/>
              </w:rPr>
            </w:pPr>
            <w:r>
              <w:rPr>
                <w:rFonts w:hint="eastAsia" w:ascii="黑体" w:hAnsi="黑体" w:eastAsia="黑体" w:cs="黑体"/>
                <w:b/>
                <w:sz w:val="24"/>
              </w:rPr>
              <w:t>35分</w:t>
            </w:r>
          </w:p>
        </w:tc>
      </w:tr>
    </w:tbl>
    <w:p>
      <w:pPr>
        <w:wordWrap w:val="0"/>
        <w:topLinePunct/>
        <w:spacing w:line="500" w:lineRule="exact"/>
        <w:ind w:firstLine="422" w:firstLineChars="200"/>
        <w:rPr>
          <w:rFonts w:ascii="宋体" w:hAnsi="宋体"/>
          <w:b/>
          <w:bCs/>
          <w:u w:val="single"/>
          <w:lang w:val="en-GB"/>
        </w:rPr>
      </w:pPr>
      <w:r>
        <w:rPr>
          <w:rFonts w:hint="eastAsia" w:ascii="宋体" w:hAnsi="宋体"/>
          <w:b/>
          <w:bCs/>
          <w:u w:val="single"/>
          <w:lang w:val="en-GB"/>
        </w:rPr>
        <w:t>注：磋商文件要求提交的与评价指标体系相关的各类有效资料，响应供应商如未按要求提交的，该项评分为零分；</w:t>
      </w:r>
    </w:p>
    <w:p>
      <w:pPr>
        <w:wordWrap w:val="0"/>
        <w:topLinePunct/>
        <w:spacing w:line="500" w:lineRule="exact"/>
        <w:ind w:firstLine="480" w:firstLineChars="200"/>
        <w:rPr>
          <w:rFonts w:ascii="??_GB2312" w:hAnsi="仿宋" w:eastAsia="Times New Roman" w:cs="Times New Roman"/>
          <w:sz w:val="24"/>
        </w:rPr>
      </w:pPr>
    </w:p>
    <w:p>
      <w:pPr>
        <w:spacing w:line="360" w:lineRule="auto"/>
        <w:ind w:firstLine="480" w:firstLineChars="200"/>
        <w:rPr>
          <w:rFonts w:ascii="??_GB2312" w:hAnsi="仿宋" w:eastAsia="Times New Roman" w:cs="Times New Roman"/>
          <w:sz w:val="24"/>
        </w:rPr>
        <w:sectPr>
          <w:pgSz w:w="16838" w:h="11906" w:orient="landscape"/>
          <w:pgMar w:top="1080" w:right="1440" w:bottom="1080" w:left="1440" w:header="851" w:footer="992" w:gutter="0"/>
          <w:cols w:space="720" w:num="1"/>
          <w:docGrid w:type="lines" w:linePitch="312" w:charSpace="0"/>
        </w:sectPr>
      </w:pPr>
    </w:p>
    <w:p>
      <w:pPr>
        <w:spacing w:line="360" w:lineRule="auto"/>
        <w:jc w:val="center"/>
        <w:outlineLvl w:val="0"/>
        <w:rPr>
          <w:rFonts w:ascii="黑体" w:hAnsi="黑体" w:eastAsia="黑体" w:cs="黑体"/>
          <w:b/>
          <w:bCs/>
          <w:sz w:val="32"/>
          <w:szCs w:val="32"/>
        </w:rPr>
      </w:pPr>
      <w:bookmarkStart w:id="146" w:name="_Toc17058"/>
      <w:r>
        <w:rPr>
          <w:rFonts w:hint="eastAsia" w:ascii="黑体" w:hAnsi="黑体" w:eastAsia="黑体" w:cs="黑体"/>
          <w:b/>
          <w:bCs/>
          <w:sz w:val="32"/>
          <w:szCs w:val="32"/>
        </w:rPr>
        <w:t>第五部分 政府采购合同格式</w:t>
      </w:r>
      <w:bookmarkEnd w:id="146"/>
    </w:p>
    <w:p>
      <w:pPr>
        <w:spacing w:line="360" w:lineRule="auto"/>
        <w:ind w:firstLine="481"/>
        <w:jc w:val="left"/>
        <w:rPr>
          <w:rFonts w:ascii="黑体" w:hAnsi="仿宋" w:eastAsia="黑体" w:cs="仿宋"/>
          <w:b/>
          <w:sz w:val="24"/>
          <w:u w:val="single"/>
        </w:rPr>
      </w:pPr>
      <w:bookmarkStart w:id="147" w:name="_Toc24356"/>
      <w:bookmarkStart w:id="148" w:name="_Toc26893"/>
      <w:bookmarkStart w:id="149" w:name="_Toc11252"/>
      <w:bookmarkStart w:id="150" w:name="_Toc32018"/>
      <w:r>
        <w:rPr>
          <w:rFonts w:hint="eastAsia" w:ascii="黑体" w:hAnsi="仿宋" w:eastAsia="黑体" w:cs="仿宋"/>
          <w:b/>
          <w:sz w:val="24"/>
          <w:u w:val="single"/>
        </w:rPr>
        <w:t>注：本合同仅为合同的参考文本，合同签订双方可根据项目的具体要求进行修订。</w:t>
      </w:r>
      <w:bookmarkEnd w:id="147"/>
      <w:bookmarkEnd w:id="148"/>
      <w:bookmarkEnd w:id="149"/>
      <w:bookmarkEnd w:id="150"/>
    </w:p>
    <w:p>
      <w:pPr>
        <w:spacing w:line="360" w:lineRule="auto"/>
        <w:ind w:firstLine="481"/>
        <w:jc w:val="left"/>
        <w:rPr>
          <w:rFonts w:ascii="黑体" w:hAnsi="仿宋" w:eastAsia="黑体" w:cs="仿宋"/>
          <w:b/>
          <w:sz w:val="24"/>
        </w:rPr>
      </w:pPr>
    </w:p>
    <w:p>
      <w:pPr>
        <w:spacing w:line="360" w:lineRule="auto"/>
        <w:jc w:val="center"/>
        <w:outlineLvl w:val="1"/>
        <w:rPr>
          <w:rFonts w:ascii="黑体" w:hAnsi="仿宋" w:eastAsia="黑体" w:cs="Times New Roman"/>
          <w:sz w:val="32"/>
          <w:szCs w:val="32"/>
        </w:rPr>
      </w:pPr>
      <w:bookmarkStart w:id="151" w:name="_Toc484353362"/>
      <w:bookmarkStart w:id="152" w:name="_Toc23240"/>
      <w:bookmarkStart w:id="153" w:name="_Toc17018"/>
      <w:bookmarkStart w:id="154" w:name="_Toc25002"/>
      <w:bookmarkStart w:id="155" w:name="_Toc483349426"/>
      <w:bookmarkStart w:id="156" w:name="_Toc24759"/>
      <w:bookmarkStart w:id="157" w:name="_Toc25256"/>
      <w:bookmarkStart w:id="158" w:name="_Toc24645"/>
      <w:bookmarkStart w:id="159" w:name="_Toc16885"/>
      <w:r>
        <w:rPr>
          <w:rFonts w:hint="eastAsia" w:ascii="黑体" w:hAnsi="黑体" w:eastAsia="黑体" w:cs="黑体"/>
          <w:b/>
          <w:bCs/>
          <w:sz w:val="32"/>
          <w:szCs w:val="32"/>
        </w:rPr>
        <w:t>政府采购合同</w:t>
      </w:r>
      <w:bookmarkEnd w:id="151"/>
      <w:bookmarkEnd w:id="152"/>
      <w:bookmarkEnd w:id="153"/>
      <w:bookmarkEnd w:id="154"/>
      <w:bookmarkEnd w:id="155"/>
      <w:bookmarkEnd w:id="156"/>
      <w:bookmarkEnd w:id="157"/>
      <w:bookmarkEnd w:id="158"/>
    </w:p>
    <w:p>
      <w:pPr>
        <w:spacing w:line="360" w:lineRule="auto"/>
        <w:ind w:firstLine="480" w:firstLineChars="200"/>
        <w:rPr>
          <w:rFonts w:ascii="宋体" w:hAnsi="宋体"/>
          <w:color w:val="000000"/>
          <w:sz w:val="24"/>
        </w:rPr>
      </w:pPr>
      <w:r>
        <w:rPr>
          <w:rFonts w:hint="eastAsia" w:ascii="宋体" w:hAnsi="宋体"/>
          <w:color w:val="000000"/>
          <w:sz w:val="24"/>
        </w:rPr>
        <w:t>采购人：</w:t>
      </w:r>
      <w:r>
        <w:rPr>
          <w:rFonts w:hint="eastAsia" w:ascii="宋体" w:hAnsi="宋体"/>
          <w:b/>
          <w:color w:val="000000"/>
          <w:sz w:val="24"/>
          <w:u w:val="single"/>
        </w:rPr>
        <w:t>陕西省道路运输事业发展中心</w:t>
      </w:r>
    </w:p>
    <w:p>
      <w:pPr>
        <w:spacing w:line="360" w:lineRule="auto"/>
        <w:ind w:firstLine="480" w:firstLineChars="200"/>
        <w:rPr>
          <w:rFonts w:ascii="宋体" w:hAnsi="宋体"/>
          <w:color w:val="000000"/>
          <w:sz w:val="24"/>
        </w:rPr>
      </w:pPr>
      <w:r>
        <w:rPr>
          <w:rFonts w:hint="eastAsia" w:ascii="宋体" w:hAnsi="宋体"/>
          <w:color w:val="000000"/>
          <w:sz w:val="24"/>
        </w:rPr>
        <w:t>成交供应商：</w:t>
      </w:r>
      <w:r>
        <w:rPr>
          <w:rFonts w:hint="eastAsia" w:ascii="宋体" w:hAnsi="宋体"/>
          <w:b/>
          <w:color w:val="000000"/>
          <w:sz w:val="24"/>
          <w:u w:val="single"/>
        </w:rPr>
        <w:t>（成交供应商名称）</w:t>
      </w:r>
    </w:p>
    <w:p>
      <w:pPr>
        <w:spacing w:line="360" w:lineRule="auto"/>
        <w:ind w:firstLine="480" w:firstLineChars="200"/>
        <w:rPr>
          <w:rFonts w:ascii="宋体" w:hAnsi="宋体"/>
          <w:b/>
          <w:color w:val="000000"/>
          <w:sz w:val="24"/>
        </w:rPr>
      </w:pPr>
      <w:r>
        <w:rPr>
          <w:rFonts w:hint="eastAsia" w:ascii="宋体" w:hAnsi="宋体"/>
          <w:color w:val="000000"/>
          <w:sz w:val="24"/>
        </w:rPr>
        <w:t>根据《中华人民共和国民法典》、《中华人民共和国招标投标法》、《中华人民共和国招标投标法实施条例》、《中华人民共和国政府采购法》、《中华人民共和国政府采购法实施条例》及国家有关法律和行政法规，遵循平等、自愿和诚实信用的原则，（</w:t>
      </w:r>
      <w:r>
        <w:rPr>
          <w:rFonts w:hint="eastAsia" w:ascii="宋体" w:hAnsi="宋体"/>
          <w:b/>
          <w:bCs/>
          <w:color w:val="000000"/>
          <w:sz w:val="24"/>
        </w:rPr>
        <w:t>在</w:t>
      </w:r>
      <w:r>
        <w:rPr>
          <w:rFonts w:hint="eastAsia" w:ascii="宋体" w:hAnsi="宋体"/>
          <w:b/>
          <w:bCs/>
          <w:color w:val="000000"/>
          <w:sz w:val="24"/>
          <w:u w:val="single"/>
        </w:rPr>
        <w:t>陕西省财政厅政府采购与行政事业单位资产管理处</w:t>
      </w:r>
      <w:r>
        <w:rPr>
          <w:rFonts w:hint="eastAsia" w:ascii="宋体" w:hAnsi="宋体"/>
          <w:color w:val="000000"/>
          <w:sz w:val="24"/>
        </w:rPr>
        <w:t>的组织协调下）双方就</w:t>
      </w:r>
      <w:r>
        <w:rPr>
          <w:rFonts w:hint="eastAsia" w:ascii="宋体" w:hAnsi="宋体"/>
          <w:color w:val="000000"/>
          <w:sz w:val="24"/>
          <w:u w:val="single"/>
        </w:rPr>
        <w:t>陕西省驾驶员培训监管服务平台维护项目</w:t>
      </w:r>
      <w:r>
        <w:rPr>
          <w:rFonts w:hint="eastAsia" w:ascii="宋体" w:hAnsi="宋体"/>
          <w:color w:val="000000"/>
          <w:sz w:val="24"/>
        </w:rPr>
        <w:t>，订立服务合同。</w:t>
      </w:r>
    </w:p>
    <w:p>
      <w:pPr>
        <w:spacing w:line="360" w:lineRule="auto"/>
        <w:ind w:firstLine="480" w:firstLineChars="200"/>
        <w:rPr>
          <w:rFonts w:ascii="宋体" w:hAnsi="宋体"/>
          <w:b/>
          <w:color w:val="000000"/>
          <w:sz w:val="24"/>
        </w:rPr>
      </w:pPr>
      <w:bookmarkStart w:id="160" w:name="_Hlk14421923"/>
      <w:r>
        <w:rPr>
          <w:rFonts w:hint="eastAsia" w:ascii="宋体" w:hAnsi="宋体"/>
          <w:color w:val="000000"/>
          <w:sz w:val="24"/>
        </w:rPr>
        <w:t>1.合同内容及</w:t>
      </w:r>
      <w:bookmarkStart w:id="161" w:name="_Hlk14421743"/>
      <w:r>
        <w:rPr>
          <w:rFonts w:hint="eastAsia" w:ascii="宋体" w:hAnsi="宋体"/>
          <w:color w:val="000000"/>
          <w:sz w:val="24"/>
        </w:rPr>
        <w:t>含税总金额</w:t>
      </w:r>
      <w:bookmarkEnd w:id="161"/>
      <w:r>
        <w:rPr>
          <w:rFonts w:hint="eastAsia" w:ascii="宋体" w:hAnsi="宋体"/>
          <w:color w:val="000000"/>
          <w:sz w:val="24"/>
        </w:rPr>
        <w:t>：即成交供应商的磋商响应文件具体内容及其成交总金额。</w:t>
      </w:r>
      <w:r>
        <w:rPr>
          <w:rFonts w:hint="eastAsia" w:ascii="宋体" w:hAnsi="宋体"/>
          <w:b/>
          <w:color w:val="000000"/>
          <w:sz w:val="24"/>
        </w:rPr>
        <w:t>成交总金额如遇财政预算核减，按财政核减后金额执行。</w:t>
      </w:r>
    </w:p>
    <w:p>
      <w:pPr>
        <w:spacing w:line="360" w:lineRule="auto"/>
        <w:ind w:firstLine="480" w:firstLineChars="200"/>
        <w:rPr>
          <w:rFonts w:ascii="宋体" w:hAnsi="宋体"/>
          <w:color w:val="000000"/>
          <w:sz w:val="24"/>
        </w:rPr>
      </w:pPr>
      <w:r>
        <w:rPr>
          <w:rFonts w:hint="eastAsia" w:ascii="宋体" w:hAnsi="宋体"/>
          <w:color w:val="000000"/>
          <w:sz w:val="24"/>
        </w:rPr>
        <w:t>2.服务内容：（即交付的服务与磋商响应文件所指明的服务内容及分项相一致。）</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知识产权：采购人对本合同履行期间产生的成果（包括成交供应商交付的全部成果以及本合同履行过程中产生的技术文件）拥有全部权利，包括知识产权、所有权及相应利益。成交供应商保证采购人在使用合同服务时，不承担任何涉及知识产权法律诉讼的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bookmarkStart w:id="162" w:name="OLE_LINK2"/>
      <w:r>
        <w:rPr>
          <w:rFonts w:hint="eastAsia" w:ascii="宋体" w:hAnsi="宋体"/>
          <w:color w:val="000000" w:themeColor="text1"/>
          <w:sz w:val="24"/>
          <w14:textFill>
            <w14:solidFill>
              <w14:schemeClr w14:val="tx1"/>
            </w14:solidFill>
          </w14:textFill>
        </w:rPr>
        <w:t>.服务期：</w:t>
      </w:r>
      <w:r>
        <w:rPr>
          <w:rFonts w:hint="eastAsia" w:ascii="宋体" w:hAnsi="宋体"/>
          <w:sz w:val="24"/>
        </w:rPr>
        <w:t>2022年12月23日至2023年12月22日</w:t>
      </w:r>
      <w:r>
        <w:rPr>
          <w:rFonts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sz w:val="24"/>
        </w:rPr>
        <w:t>成交供应商未征得采购人书面同意和谅解而单方面延迟服务期，采购人有权终止合同，成交供应商应承担违约责任。成交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bookmarkEnd w:id="162"/>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5.服务地点：陕西省道路运输事业发展中心指定地点。</w:t>
      </w:r>
    </w:p>
    <w:p>
      <w:pPr>
        <w:spacing w:line="360" w:lineRule="auto"/>
        <w:ind w:firstLine="480" w:firstLineChars="200"/>
        <w:rPr>
          <w:rFonts w:ascii="宋体" w:hAnsi="宋体"/>
          <w:color w:val="000000"/>
          <w:sz w:val="24"/>
        </w:rPr>
      </w:pPr>
      <w:r>
        <w:rPr>
          <w:rFonts w:hint="eastAsia" w:ascii="宋体" w:hAnsi="宋体"/>
          <w:color w:val="000000"/>
          <w:sz w:val="24"/>
        </w:rPr>
        <w:t>6.结算：成交供应商持相关手续向采购人申请付款。</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6.1.付款方式：</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合同含税金额（大写）：元（人民币）¥： 元</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合同签订前，成交供应商需先缴纳合同总价款5%履约保证金。履约保证金在运维服务期满验收合格后一次无息退回，若成交供应商违约，采购人有权从履约保证金中直接扣减。</w:t>
      </w:r>
    </w:p>
    <w:p>
      <w:pPr>
        <w:spacing w:line="360" w:lineRule="auto"/>
        <w:ind w:firstLine="480" w:firstLineChars="200"/>
        <w:rPr>
          <w:rFonts w:ascii="宋体" w:hAnsi="宋体"/>
          <w:sz w:val="24"/>
        </w:rPr>
      </w:pPr>
      <w:r>
        <w:rPr>
          <w:rFonts w:hint="eastAsia" w:ascii="宋体" w:hAnsi="宋体"/>
          <w:sz w:val="24"/>
        </w:rPr>
        <w:t xml:space="preserve">服务费支付方式： </w:t>
      </w:r>
    </w:p>
    <w:p>
      <w:pPr>
        <w:spacing w:line="360" w:lineRule="auto"/>
        <w:ind w:firstLine="480" w:firstLineChars="200"/>
        <w:rPr>
          <w:rFonts w:ascii="宋体" w:hAnsi="宋体"/>
          <w:sz w:val="24"/>
        </w:rPr>
      </w:pPr>
      <w:r>
        <w:rPr>
          <w:rFonts w:hint="eastAsia" w:ascii="宋体" w:hAnsi="宋体"/>
          <w:sz w:val="24"/>
        </w:rPr>
        <w:t>（1）合同签订后90日内，支付合同总金额的50%；</w:t>
      </w:r>
    </w:p>
    <w:p>
      <w:pPr>
        <w:spacing w:line="360" w:lineRule="auto"/>
        <w:ind w:firstLine="480" w:firstLineChars="200"/>
        <w:rPr>
          <w:rFonts w:ascii="宋体" w:hAnsi="宋体"/>
          <w:sz w:val="24"/>
        </w:rPr>
      </w:pPr>
      <w:r>
        <w:rPr>
          <w:rFonts w:hint="eastAsia" w:ascii="宋体" w:hAnsi="宋体"/>
          <w:sz w:val="24"/>
        </w:rPr>
        <w:t>（2）履行运维服务满6个月后且系统运行平稳，成交供应商提交截止到2023年6月30日的运维服务报告及付款申请，或在财政预算执行时限内，支付剩余50%合同款项；</w:t>
      </w:r>
    </w:p>
    <w:p>
      <w:pPr>
        <w:spacing w:line="360" w:lineRule="auto"/>
        <w:ind w:firstLine="480" w:firstLineChars="200"/>
        <w:rPr>
          <w:rFonts w:ascii="宋体" w:hAnsi="宋体"/>
          <w:sz w:val="24"/>
        </w:rPr>
      </w:pPr>
      <w:r>
        <w:rPr>
          <w:rFonts w:hint="eastAsia" w:ascii="宋体" w:hAnsi="宋体"/>
          <w:sz w:val="24"/>
        </w:rPr>
        <w:t>（3）运维服务期满且验收合格后，采购人在30日内将履约保证金一次性无息退还；</w:t>
      </w:r>
    </w:p>
    <w:p>
      <w:pPr>
        <w:spacing w:line="360" w:lineRule="auto"/>
        <w:ind w:firstLine="480" w:firstLineChars="200"/>
        <w:rPr>
          <w:rFonts w:ascii="宋体" w:hAnsi="宋体"/>
          <w:sz w:val="24"/>
        </w:rPr>
      </w:pPr>
      <w:r>
        <w:rPr>
          <w:rFonts w:hint="eastAsia" w:ascii="宋体" w:hAnsi="宋体"/>
          <w:sz w:val="24"/>
        </w:rPr>
        <w:t>（4）供应商在采购人办理以上各期付款的支付手续前，应向采购人出具等额的符合国家规定的发票；</w:t>
      </w:r>
    </w:p>
    <w:p>
      <w:pPr>
        <w:spacing w:line="360" w:lineRule="auto"/>
        <w:ind w:firstLine="480" w:firstLineChars="200"/>
        <w:rPr>
          <w:rFonts w:ascii="宋体" w:hAnsi="宋体"/>
          <w:sz w:val="24"/>
        </w:rPr>
      </w:pPr>
      <w:r>
        <w:rPr>
          <w:rFonts w:hint="eastAsia" w:ascii="宋体" w:hAnsi="宋体"/>
          <w:sz w:val="24"/>
        </w:rPr>
        <w:t>（5）上述时间不包括采购人正常办理支付报批手续的时间。</w:t>
      </w:r>
    </w:p>
    <w:p>
      <w:pPr>
        <w:spacing w:line="360" w:lineRule="auto"/>
        <w:ind w:firstLine="480" w:firstLineChars="200"/>
        <w:rPr>
          <w:rFonts w:ascii="宋体" w:hAnsi="宋体"/>
          <w:sz w:val="24"/>
        </w:rPr>
      </w:pPr>
      <w:r>
        <w:rPr>
          <w:rFonts w:hint="eastAsia" w:ascii="宋体" w:hAnsi="宋体"/>
          <w:sz w:val="24"/>
        </w:rPr>
        <w:t>（6）执行过程中，合同总金额如遇财政预算核减，按财政核减后金额执行。</w:t>
      </w:r>
    </w:p>
    <w:p>
      <w:pPr>
        <w:spacing w:line="360" w:lineRule="auto"/>
        <w:ind w:firstLine="480" w:firstLineChars="200"/>
        <w:rPr>
          <w:rFonts w:ascii="宋体" w:hAnsi="宋体"/>
          <w:sz w:val="24"/>
        </w:rPr>
      </w:pPr>
      <w:r>
        <w:rPr>
          <w:rFonts w:hint="eastAsia" w:ascii="宋体" w:hAnsi="宋体"/>
          <w:sz w:val="24"/>
        </w:rPr>
        <w:t>6.2.结算方式：</w:t>
      </w:r>
    </w:p>
    <w:p>
      <w:pPr>
        <w:spacing w:line="360" w:lineRule="auto"/>
        <w:ind w:firstLine="480" w:firstLineChars="200"/>
        <w:rPr>
          <w:rFonts w:ascii="宋体" w:hAnsi="宋体"/>
          <w:sz w:val="24"/>
        </w:rPr>
      </w:pPr>
      <w:r>
        <w:rPr>
          <w:rFonts w:hint="eastAsia" w:ascii="宋体" w:hAnsi="宋体"/>
          <w:sz w:val="24"/>
        </w:rPr>
        <w:t>银行转账。</w:t>
      </w:r>
    </w:p>
    <w:p>
      <w:pPr>
        <w:spacing w:line="360" w:lineRule="auto"/>
        <w:ind w:firstLine="480" w:firstLineChars="200"/>
        <w:rPr>
          <w:rFonts w:ascii="宋体" w:hAnsi="宋体"/>
          <w:sz w:val="24"/>
        </w:rPr>
      </w:pPr>
      <w:r>
        <w:rPr>
          <w:rFonts w:hint="eastAsia" w:ascii="宋体" w:hAnsi="宋体"/>
          <w:sz w:val="24"/>
        </w:rPr>
        <w:t>成交供应商</w:t>
      </w:r>
      <w:r>
        <w:rPr>
          <w:rFonts w:hint="eastAsia" w:ascii="宋体" w:hAnsi="宋体"/>
          <w:sz w:val="24"/>
          <w:lang w:val="zh-TW"/>
        </w:rPr>
        <w:t>对</w:t>
      </w:r>
      <w:r>
        <w:rPr>
          <w:rFonts w:hint="eastAsia" w:ascii="宋体" w:hAnsi="宋体"/>
          <w:sz w:val="24"/>
        </w:rPr>
        <w:t>其</w:t>
      </w:r>
      <w:r>
        <w:rPr>
          <w:rFonts w:hint="eastAsia" w:ascii="宋体" w:hAnsi="宋体"/>
          <w:sz w:val="24"/>
          <w:lang w:val="zh-TW"/>
        </w:rPr>
        <w:t>账户信息的准确性和可用性承担全部责任，若</w:t>
      </w:r>
      <w:r>
        <w:rPr>
          <w:rFonts w:hint="eastAsia" w:ascii="宋体" w:hAnsi="宋体"/>
          <w:sz w:val="24"/>
        </w:rPr>
        <w:t>其提供的</w:t>
      </w:r>
      <w:r>
        <w:rPr>
          <w:rFonts w:hint="eastAsia" w:ascii="宋体" w:hAnsi="宋体"/>
          <w:sz w:val="24"/>
          <w:lang w:val="zh-TW"/>
        </w:rPr>
        <w:t>账户信息发生任何变化，</w:t>
      </w:r>
      <w:r>
        <w:rPr>
          <w:rFonts w:hint="eastAsia" w:ascii="宋体" w:hAnsi="宋体"/>
          <w:sz w:val="24"/>
        </w:rPr>
        <w:t>成交供应商</w:t>
      </w:r>
      <w:r>
        <w:rPr>
          <w:rFonts w:hint="eastAsia" w:ascii="宋体" w:hAnsi="宋体"/>
          <w:sz w:val="24"/>
          <w:lang w:val="zh-TW"/>
        </w:rPr>
        <w:t>应提前5个工作日书面通知</w:t>
      </w:r>
      <w:r>
        <w:rPr>
          <w:rFonts w:hint="eastAsia" w:ascii="宋体" w:hAnsi="宋体"/>
          <w:sz w:val="24"/>
        </w:rPr>
        <w:t>采购人</w:t>
      </w:r>
      <w:r>
        <w:rPr>
          <w:rFonts w:hint="eastAsia" w:ascii="宋体" w:hAnsi="宋体"/>
          <w:sz w:val="24"/>
          <w:lang w:val="zh-TW"/>
        </w:rPr>
        <w:t>，否则</w:t>
      </w:r>
      <w:r>
        <w:rPr>
          <w:rFonts w:hint="eastAsia" w:ascii="宋体" w:hAnsi="宋体"/>
          <w:sz w:val="24"/>
        </w:rPr>
        <w:t>采购人</w:t>
      </w:r>
      <w:r>
        <w:rPr>
          <w:rFonts w:hint="eastAsia" w:ascii="宋体" w:hAnsi="宋体"/>
          <w:sz w:val="24"/>
          <w:lang w:val="zh-TW"/>
        </w:rPr>
        <w:t>不对</w:t>
      </w:r>
      <w:r>
        <w:rPr>
          <w:rFonts w:hint="eastAsia" w:ascii="宋体" w:hAnsi="宋体"/>
          <w:sz w:val="24"/>
        </w:rPr>
        <w:t>成交供应商</w:t>
      </w:r>
      <w:r>
        <w:rPr>
          <w:rFonts w:hint="eastAsia" w:ascii="宋体" w:hAnsi="宋体"/>
          <w:sz w:val="24"/>
          <w:lang w:val="zh-TW"/>
        </w:rPr>
        <w:t>未能收到或迟延收到任何款项承担责任。</w:t>
      </w:r>
    </w:p>
    <w:p>
      <w:pPr>
        <w:spacing w:line="360" w:lineRule="auto"/>
        <w:ind w:firstLine="480" w:firstLineChars="200"/>
        <w:rPr>
          <w:rFonts w:ascii="宋体" w:hAnsi="宋体"/>
          <w:sz w:val="24"/>
        </w:rPr>
      </w:pPr>
      <w:r>
        <w:rPr>
          <w:rFonts w:hint="eastAsia" w:ascii="宋体" w:hAnsi="宋体"/>
          <w:sz w:val="24"/>
        </w:rPr>
        <w:t>7.采购项目执行内容需要调整时，经采购人同意后，可以对相应的原设备进行调整，并协商确定价格差额计算方法和负担办法。</w:t>
      </w:r>
    </w:p>
    <w:p>
      <w:pPr>
        <w:spacing w:line="360" w:lineRule="auto"/>
        <w:ind w:firstLine="480" w:firstLineChars="200"/>
        <w:rPr>
          <w:rFonts w:ascii="宋体" w:hAnsi="宋体"/>
          <w:sz w:val="24"/>
        </w:rPr>
      </w:pPr>
      <w:r>
        <w:rPr>
          <w:rFonts w:hint="eastAsia" w:ascii="宋体" w:hAnsi="宋体"/>
          <w:sz w:val="24"/>
        </w:rPr>
        <w:t>8.服务变更</w:t>
      </w:r>
    </w:p>
    <w:p>
      <w:pPr>
        <w:spacing w:line="360" w:lineRule="auto"/>
        <w:ind w:firstLine="480" w:firstLineChars="200"/>
        <w:rPr>
          <w:rFonts w:ascii="宋体" w:hAnsi="宋体"/>
          <w:sz w:val="24"/>
        </w:rPr>
      </w:pPr>
      <w:r>
        <w:rPr>
          <w:rFonts w:hint="eastAsia" w:ascii="宋体" w:hAnsi="宋体"/>
          <w:sz w:val="24"/>
        </w:rPr>
        <w:t>成交后，咨询服务内容需要变更、调整时，应办理相应的变更、调整审批手续，并协商确定变更调整后的服务价款计算方法和服务期顺延等事宜。</w:t>
      </w:r>
    </w:p>
    <w:p>
      <w:pPr>
        <w:spacing w:line="360" w:lineRule="auto"/>
        <w:ind w:firstLine="480" w:firstLineChars="200"/>
        <w:rPr>
          <w:rFonts w:ascii="宋体" w:hAnsi="宋体"/>
          <w:sz w:val="24"/>
        </w:rPr>
      </w:pPr>
      <w:r>
        <w:rPr>
          <w:rFonts w:hint="eastAsia" w:ascii="宋体" w:hAnsi="宋体"/>
          <w:sz w:val="24"/>
        </w:rPr>
        <w:t>9.验收：运维服务期满后，由成交供应商提请验收，采购人负责组织验收；验收合格须交接项目实施的全部资料。验收须以合同、国家相应的标准、规范等为依据。</w:t>
      </w:r>
    </w:p>
    <w:p>
      <w:pPr>
        <w:spacing w:line="360" w:lineRule="auto"/>
        <w:ind w:firstLine="480" w:firstLineChars="200"/>
        <w:rPr>
          <w:rFonts w:ascii="宋体" w:hAnsi="宋体"/>
          <w:sz w:val="24"/>
        </w:rPr>
      </w:pPr>
      <w:r>
        <w:rPr>
          <w:rFonts w:hint="eastAsia" w:ascii="宋体" w:hAnsi="宋体"/>
          <w:sz w:val="24"/>
        </w:rPr>
        <w:t>10.不可抗力：</w:t>
      </w:r>
    </w:p>
    <w:p>
      <w:pPr>
        <w:spacing w:line="360" w:lineRule="auto"/>
        <w:ind w:firstLine="480" w:firstLineChars="200"/>
        <w:rPr>
          <w:rFonts w:ascii="宋体" w:hAnsi="宋体"/>
          <w:sz w:val="24"/>
        </w:rPr>
      </w:pPr>
      <w:r>
        <w:rPr>
          <w:rFonts w:hint="eastAsia" w:ascii="宋体" w:hAnsi="宋体"/>
          <w:sz w:val="24"/>
        </w:rPr>
        <w:t>10.1合同任一方由于受诸如洪水、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10.2遭受不可抗力一方应在不可抗力事故发生后尽快以书面形式通知对方，并于事故发生后14天内将有关部门出具的证明文件、详细情况报告以及不可抗力对履行合同影响程度的说明通知对方。</w:t>
      </w:r>
    </w:p>
    <w:p>
      <w:pPr>
        <w:spacing w:line="360" w:lineRule="auto"/>
        <w:ind w:firstLine="480" w:firstLineChars="200"/>
        <w:rPr>
          <w:rFonts w:ascii="宋体" w:hAnsi="宋体"/>
          <w:sz w:val="24"/>
        </w:rPr>
      </w:pPr>
      <w:r>
        <w:rPr>
          <w:rFonts w:hint="eastAsia" w:ascii="宋体" w:hAnsi="宋体"/>
          <w:sz w:val="24"/>
        </w:rPr>
        <w:t>10.3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spacing w:line="360" w:lineRule="auto"/>
        <w:ind w:firstLine="480" w:firstLineChars="200"/>
        <w:rPr>
          <w:rFonts w:ascii="宋体" w:hAnsi="宋体"/>
          <w:sz w:val="24"/>
        </w:rPr>
      </w:pPr>
      <w:r>
        <w:rPr>
          <w:rFonts w:hint="eastAsia" w:ascii="宋体" w:hAnsi="宋体"/>
          <w:sz w:val="24"/>
        </w:rPr>
        <w:t>10.4一旦不可抗力事故的影响持续120天以上，甲乙双方通过友好协商，在合理的时间内达成进一步履行合同或终止合同的协议。</w:t>
      </w:r>
    </w:p>
    <w:p>
      <w:pPr>
        <w:spacing w:line="360" w:lineRule="auto"/>
        <w:ind w:firstLine="480" w:firstLineChars="200"/>
        <w:rPr>
          <w:rFonts w:ascii="宋体" w:hAnsi="宋体"/>
          <w:sz w:val="24"/>
        </w:rPr>
      </w:pPr>
      <w:r>
        <w:rPr>
          <w:rFonts w:hint="eastAsia" w:ascii="宋体" w:hAnsi="宋体"/>
          <w:sz w:val="24"/>
        </w:rPr>
        <w:t>11.合同一经签订，不得擅自变更、中止或者终止合同。对确需变更、调整或者中止、终止合同的，应按规定履行相应的手续。</w:t>
      </w:r>
    </w:p>
    <w:p>
      <w:pPr>
        <w:spacing w:line="360" w:lineRule="auto"/>
        <w:ind w:firstLine="480" w:firstLineChars="200"/>
        <w:rPr>
          <w:rFonts w:ascii="宋体" w:hAnsi="宋体"/>
          <w:sz w:val="24"/>
        </w:rPr>
      </w:pPr>
      <w:r>
        <w:rPr>
          <w:rFonts w:hint="eastAsia" w:ascii="宋体" w:hAnsi="宋体"/>
          <w:sz w:val="24"/>
        </w:rPr>
        <w:t>12.违约责任：</w:t>
      </w:r>
    </w:p>
    <w:p>
      <w:pPr>
        <w:spacing w:line="360" w:lineRule="auto"/>
        <w:ind w:firstLine="480" w:firstLineChars="200"/>
        <w:rPr>
          <w:rFonts w:ascii="宋体" w:hAnsi="宋体"/>
          <w:sz w:val="24"/>
        </w:rPr>
      </w:pPr>
      <w:r>
        <w:rPr>
          <w:rFonts w:hint="eastAsia" w:ascii="宋体" w:hAnsi="宋体"/>
          <w:sz w:val="24"/>
        </w:rPr>
        <w:t>12.1依据《中华人民共和国民法典》、《中华人民共和国政府采购法》、《中华人民共和国政府采购法实施条例》的相关条款规定和本合同约定，成交供应商未全面履行合同义务或者发生违约，若连续或累计履行迟延超过30日，采购人有权终止合同，成交供应商应返还采购人支付价款，并承担合同总价30%的违约金，造成采购人损失的应当赔偿，并报请有关监督管理机关依法进行相应的行政处罚。采购人违约的，应当赔偿给成交供应商造成的经济损失。</w:t>
      </w:r>
    </w:p>
    <w:p>
      <w:pPr>
        <w:spacing w:line="360" w:lineRule="auto"/>
        <w:ind w:firstLine="480" w:firstLineChars="200"/>
        <w:rPr>
          <w:rFonts w:ascii="宋体" w:hAnsi="宋体"/>
          <w:sz w:val="24"/>
        </w:rPr>
      </w:pPr>
      <w:r>
        <w:rPr>
          <w:rFonts w:hint="eastAsia" w:ascii="宋体" w:hAnsi="宋体"/>
          <w:sz w:val="24"/>
        </w:rPr>
        <w:t>12.2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采购人有权解除合同，成交供应商应返还采购人支付的合同价款，并承担合同价款30%的违约金，造成损失的应当赔偿。</w:t>
      </w:r>
    </w:p>
    <w:p>
      <w:pPr>
        <w:spacing w:line="360" w:lineRule="auto"/>
        <w:ind w:firstLine="480" w:firstLineChars="200"/>
        <w:rPr>
          <w:rFonts w:ascii="宋体" w:hAnsi="宋体"/>
          <w:sz w:val="24"/>
        </w:rPr>
      </w:pPr>
      <w:r>
        <w:rPr>
          <w:rFonts w:hint="eastAsia" w:ascii="宋体" w:hAnsi="宋体"/>
          <w:sz w:val="24"/>
        </w:rPr>
        <w:t>12.3若成交供应商未按照合同约定履行或者履行合同不符合采购人要求的，采购人有权解除合同，成交供应商应返还采购人支付的合同价款，并承担合同价款30%的违约金，造成损失的应当赔偿。</w:t>
      </w:r>
    </w:p>
    <w:p>
      <w:pPr>
        <w:spacing w:line="360" w:lineRule="auto"/>
        <w:ind w:firstLine="480" w:firstLineChars="200"/>
        <w:rPr>
          <w:rFonts w:ascii="宋体" w:hAnsi="宋体"/>
          <w:sz w:val="24"/>
        </w:rPr>
      </w:pPr>
      <w:r>
        <w:rPr>
          <w:rFonts w:hint="eastAsia" w:ascii="宋体" w:hAnsi="宋体"/>
          <w:sz w:val="24"/>
        </w:rPr>
        <w:t>12.4成交供应商应保证所提供的服务或其任何一部分均不会侵犯任何第三方的专利权、商标权或著作权。若因此造成的任何纠纷均由成交供应商承担责任，包括但不限于采购人因此产生的诉讼费、律师费、损害赔偿等。</w:t>
      </w:r>
    </w:p>
    <w:p>
      <w:pPr>
        <w:spacing w:line="360" w:lineRule="auto"/>
        <w:ind w:firstLine="480" w:firstLineChars="200"/>
        <w:rPr>
          <w:rFonts w:ascii="宋体" w:hAnsi="宋体"/>
          <w:sz w:val="24"/>
        </w:rPr>
      </w:pPr>
      <w:r>
        <w:rPr>
          <w:rFonts w:hint="eastAsia" w:ascii="宋体" w:hAnsi="宋体"/>
          <w:sz w:val="24"/>
        </w:rPr>
        <w:t>12.5如果出现政府采购监督管理部门在处理投诉事项期间，书面通知甲方暂停采购活动的情形，或者询问或质疑事项可能影响成交结果的，导致甲方中止履行合同的情形，均不视为甲方违约。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0" w:firstLineChars="200"/>
        <w:rPr>
          <w:rFonts w:ascii="宋体" w:hAnsi="宋体"/>
          <w:sz w:val="24"/>
        </w:rPr>
      </w:pPr>
      <w:r>
        <w:rPr>
          <w:rFonts w:hint="eastAsia" w:ascii="宋体" w:hAnsi="宋体"/>
          <w:sz w:val="24"/>
        </w:rPr>
        <w:t>12.6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2" w:firstLineChars="200"/>
        <w:rPr>
          <w:rFonts w:ascii="宋体" w:hAnsi="宋体"/>
          <w:b/>
          <w:sz w:val="24"/>
        </w:rPr>
      </w:pPr>
      <w:r>
        <w:rPr>
          <w:rFonts w:hint="eastAsia" w:ascii="宋体" w:hAnsi="宋体"/>
          <w:b/>
          <w:sz w:val="24"/>
        </w:rPr>
        <w:t>13履行瑕疵</w:t>
      </w:r>
    </w:p>
    <w:p>
      <w:pPr>
        <w:spacing w:line="360" w:lineRule="auto"/>
        <w:ind w:firstLine="480" w:firstLineChars="200"/>
        <w:rPr>
          <w:rFonts w:ascii="宋体" w:hAnsi="宋体"/>
          <w:sz w:val="24"/>
        </w:rPr>
      </w:pPr>
      <w:r>
        <w:rPr>
          <w:rFonts w:hint="eastAsia" w:ascii="宋体" w:hAnsi="宋体"/>
          <w:sz w:val="24"/>
        </w:rPr>
        <w:t>在合同履行过程中，如果乙方遇到不能按时提供服务或履行合同义务有瑕疵的情况，应及时以书面形式将不能正常提供服务的理由、预期延误时间通知甲方；甲方收到乙方通知后，认为其理由正当的，可以书面形式酌情同意乙方可以延长履行的具体时间；认为理由不正当的有权解除合同，引入第三方提供服务，乙方应退还甲方已付服务费并承担甲方因引入第三方继续提供服务给甲方造成的直接或间接损失。</w:t>
      </w:r>
    </w:p>
    <w:p>
      <w:pPr>
        <w:spacing w:line="360" w:lineRule="auto"/>
        <w:ind w:firstLine="480" w:firstLineChars="200"/>
        <w:rPr>
          <w:rFonts w:ascii="宋体" w:hAnsi="宋体"/>
          <w:sz w:val="24"/>
        </w:rPr>
      </w:pPr>
      <w:r>
        <w:rPr>
          <w:rFonts w:hint="eastAsia" w:ascii="宋体" w:hAnsi="宋体"/>
          <w:sz w:val="24"/>
        </w:rPr>
        <w:t>因乙方履行义务存在瑕疵却未及时书面通知甲方，给甲方造成的损失由乙方承担。乙方未履行通知义务不影响甲方自行判断乙方履行情况并行使合同解除权等相关权利。</w:t>
      </w:r>
    </w:p>
    <w:p>
      <w:pPr>
        <w:spacing w:line="360" w:lineRule="auto"/>
        <w:ind w:firstLine="480" w:firstLineChars="200"/>
        <w:rPr>
          <w:rFonts w:ascii="宋体" w:hAnsi="宋体"/>
          <w:b/>
          <w:sz w:val="24"/>
        </w:rPr>
      </w:pPr>
      <w:r>
        <w:rPr>
          <w:rFonts w:hint="eastAsia" w:ascii="宋体" w:hAnsi="宋体"/>
          <w:sz w:val="24"/>
        </w:rPr>
        <w:t>14</w:t>
      </w:r>
      <w:r>
        <w:rPr>
          <w:rFonts w:hint="eastAsia" w:ascii="宋体" w:hAnsi="宋体"/>
          <w:b/>
          <w:sz w:val="24"/>
        </w:rPr>
        <w:t>合同转让和分包</w:t>
      </w:r>
    </w:p>
    <w:p>
      <w:pPr>
        <w:spacing w:line="360" w:lineRule="auto"/>
        <w:ind w:firstLine="480" w:firstLineChars="200"/>
      </w:pPr>
      <w:r>
        <w:rPr>
          <w:rFonts w:hint="eastAsia" w:ascii="宋体" w:hAnsi="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olor w:val="000000"/>
          <w:sz w:val="24"/>
        </w:rPr>
      </w:pPr>
      <w:r>
        <w:rPr>
          <w:rFonts w:hint="eastAsia" w:ascii="宋体" w:hAnsi="宋体"/>
          <w:color w:val="000000"/>
          <w:sz w:val="24"/>
        </w:rPr>
        <w:t>15.</w:t>
      </w:r>
      <w:r>
        <w:rPr>
          <w:rFonts w:hint="eastAsia" w:ascii="宋体" w:hAnsi="宋体"/>
          <w:sz w:val="24"/>
        </w:rPr>
        <w:t>本合同用中文书写。本合同一式捌份，采购人执肆份，成交供应商执贰份，陕西省财政厅政府采购与行政事业单位资产管理处备案壹份，采购代理机构执壹份，所有合同均具有相同的法律效力。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sz w:val="24"/>
        </w:rPr>
        <w:t>16.</w:t>
      </w:r>
      <w:r>
        <w:rPr>
          <w:rFonts w:hint="eastAsia" w:ascii="宋体" w:hAnsi="宋体"/>
          <w:color w:val="000000" w:themeColor="text1"/>
          <w:sz w:val="24"/>
          <w14:textFill>
            <w14:solidFill>
              <w14:schemeClr w14:val="tx1"/>
            </w14:solidFill>
          </w14:textFill>
        </w:rPr>
        <w:t>保密</w:t>
      </w:r>
      <w:bookmarkStart w:id="163" w:name="_Toc337558738"/>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16.1参与招标投标活动的各方应对磋商文件和磋商响应文件中的商业和技术等秘密保密，违者应对由此造成的后果承担法律责任。</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16.2</w:t>
      </w:r>
      <w:bookmarkEnd w:id="163"/>
      <w:r>
        <w:rPr>
          <w:rFonts w:hint="eastAsia" w:ascii="宋体" w:hAnsi="宋体"/>
          <w:color w:val="000000" w:themeColor="text1"/>
          <w:sz w:val="24"/>
          <w14:textFill>
            <w14:solidFill>
              <w14:schemeClr w14:val="tx1"/>
            </w14:solidFill>
          </w14:textFill>
        </w:rPr>
        <w:t>除法律规定或合同另有约定外，未经采购人同意，成交供应商不得将采购人提供的图纸、文件以及声明需要保密的资料信息等商业秘密泄露给第三方。</w:t>
      </w:r>
    </w:p>
    <w:p>
      <w:pPr>
        <w:spacing w:line="360" w:lineRule="auto"/>
        <w:ind w:firstLine="480" w:firstLineChars="200"/>
        <w:rPr>
          <w:rFonts w:ascii="宋体" w:hAnsi="宋体"/>
          <w:sz w:val="24"/>
        </w:rPr>
      </w:pPr>
      <w:r>
        <w:rPr>
          <w:rFonts w:hint="eastAsia" w:ascii="宋体" w:hAnsi="宋体"/>
          <w:color w:val="000000" w:themeColor="text1"/>
          <w:sz w:val="24"/>
          <w14:textFill>
            <w14:solidFill>
              <w14:schemeClr w14:val="tx1"/>
            </w14:solidFill>
          </w14:textFill>
        </w:rPr>
        <w:t>16.3除法律规定或合同另有约定外，未经成交供应商同意，采购人不得将成交供应商提供的技术秘密及声明需要保密的资料信息等商业秘密泄露给第三方。</w:t>
      </w:r>
    </w:p>
    <w:p>
      <w:pPr>
        <w:numPr>
          <w:ilvl w:val="255"/>
          <w:numId w:val="0"/>
        </w:num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17.其他未尽事宜以采购人与成交供应商签订的合同条款为准。</w:t>
      </w:r>
      <w:bookmarkEnd w:id="160"/>
    </w:p>
    <w:p>
      <w:pPr>
        <w:spacing w:line="360" w:lineRule="auto"/>
        <w:ind w:firstLine="480" w:firstLineChars="200"/>
      </w:pPr>
      <w:r>
        <w:rPr>
          <w:rFonts w:hint="eastAsia" w:ascii="宋体" w:hAnsi="宋体"/>
          <w:color w:val="000000"/>
          <w:sz w:val="24"/>
        </w:rPr>
        <w:t>18.合同争议的解决：合同执行中发生争议的，当事人双方应协商解决，协商达不成一致时，可向采购人所在地辖区法院提请诉讼。</w:t>
      </w:r>
    </w:p>
    <w:p>
      <w:pPr>
        <w:numPr>
          <w:ilvl w:val="255"/>
          <w:numId w:val="0"/>
        </w:numPr>
        <w:spacing w:line="360" w:lineRule="auto"/>
        <w:ind w:firstLine="480" w:firstLineChars="200"/>
      </w:pPr>
      <w:r>
        <w:rPr>
          <w:rFonts w:hint="eastAsia" w:ascii="宋体" w:hAnsi="宋体"/>
          <w:color w:val="000000" w:themeColor="text1"/>
          <w:sz w:val="24"/>
          <w14:textFill>
            <w14:solidFill>
              <w14:schemeClr w14:val="tx1"/>
            </w14:solidFill>
          </w14:textFill>
        </w:rPr>
        <w:t>19.</w:t>
      </w:r>
      <w:r>
        <w:rPr>
          <w:rFonts w:hint="eastAsia" w:ascii="宋体" w:hAnsi="宋体"/>
          <w:color w:val="000000" w:themeColor="text1"/>
          <w:sz w:val="24"/>
          <w:lang w:val="zh-CN"/>
          <w14:textFill>
            <w14:solidFill>
              <w14:schemeClr w14:val="tx1"/>
            </w14:solidFill>
          </w14:textFill>
        </w:rPr>
        <w:t>本合同自双方</w:t>
      </w:r>
      <w:r>
        <w:rPr>
          <w:rFonts w:hint="eastAsia" w:ascii="宋体" w:hAnsi="宋体"/>
          <w:color w:val="000000" w:themeColor="text1"/>
          <w:sz w:val="24"/>
          <w14:textFill>
            <w14:solidFill>
              <w14:schemeClr w14:val="tx1"/>
            </w14:solidFill>
          </w14:textFill>
        </w:rPr>
        <w:t>法定代表人或授权代表签字并盖公章</w:t>
      </w:r>
      <w:r>
        <w:rPr>
          <w:rFonts w:hint="eastAsia" w:ascii="宋体" w:hAnsi="宋体"/>
          <w:color w:val="000000" w:themeColor="text1"/>
          <w:sz w:val="24"/>
          <w:lang w:val="zh-CN"/>
          <w14:textFill>
            <w14:solidFill>
              <w14:schemeClr w14:val="tx1"/>
            </w14:solidFill>
          </w14:textFill>
        </w:rPr>
        <w:t>之日起生效。本合同未涉事宜双方可协商确定并签订补充协议。补充协议、下列合同附件均为合同的有效组成部分，与本合同具有同等法律效力。</w:t>
      </w:r>
    </w:p>
    <w:p>
      <w:pPr>
        <w:pStyle w:val="9"/>
      </w:pPr>
    </w:p>
    <w:p>
      <w:pPr>
        <w:rPr>
          <w:sz w:val="28"/>
          <w:szCs w:val="28"/>
        </w:rPr>
      </w:pPr>
    </w:p>
    <w:p>
      <w:pPr>
        <w:spacing w:line="360" w:lineRule="auto"/>
        <w:rPr>
          <w:rFonts w:ascii="宋体" w:hAnsi="宋体"/>
          <w:bCs/>
          <w:sz w:val="24"/>
        </w:rPr>
      </w:pPr>
      <w:r>
        <w:rPr>
          <w:rFonts w:hint="eastAsia" w:ascii="宋体" w:hAnsi="宋体"/>
          <w:bCs/>
          <w:sz w:val="24"/>
        </w:rPr>
        <w:t xml:space="preserve">甲  </w:t>
      </w:r>
      <w:r>
        <w:rPr>
          <w:rFonts w:hint="eastAsia" w:ascii="宋体" w:hAnsi="宋体"/>
          <w:kern w:val="0"/>
          <w:sz w:val="24"/>
        </w:rPr>
        <w:t>方</w:t>
      </w:r>
      <w:r>
        <w:rPr>
          <w:rFonts w:hint="eastAsia" w:ascii="宋体" w:hAnsi="宋体"/>
          <w:bCs/>
          <w:sz w:val="24"/>
        </w:rPr>
        <w:t xml:space="preserve">：（公章）                    乙  </w:t>
      </w:r>
      <w:r>
        <w:rPr>
          <w:rFonts w:hint="eastAsia" w:ascii="宋体" w:hAnsi="宋体"/>
          <w:kern w:val="0"/>
          <w:sz w:val="24"/>
        </w:rPr>
        <w:t>方</w:t>
      </w:r>
      <w:r>
        <w:rPr>
          <w:rFonts w:hint="eastAsia" w:ascii="宋体" w:hAnsi="宋体"/>
          <w:bCs/>
          <w:sz w:val="24"/>
        </w:rPr>
        <w:t>：（公章）</w:t>
      </w:r>
    </w:p>
    <w:p>
      <w:pPr>
        <w:spacing w:line="360" w:lineRule="auto"/>
        <w:rPr>
          <w:rFonts w:ascii="宋体" w:hAnsi="宋体"/>
          <w:bCs/>
          <w:sz w:val="24"/>
        </w:rPr>
      </w:pPr>
      <w:r>
        <w:rPr>
          <w:rFonts w:hint="eastAsia" w:ascii="宋体" w:hAnsi="宋体"/>
          <w:bCs/>
          <w:sz w:val="24"/>
        </w:rPr>
        <w:t>地  址：                            地  址：</w:t>
      </w:r>
    </w:p>
    <w:p>
      <w:pPr>
        <w:spacing w:line="360" w:lineRule="auto"/>
        <w:rPr>
          <w:rFonts w:ascii="宋体" w:hAnsi="宋体"/>
          <w:bCs/>
          <w:sz w:val="24"/>
        </w:rPr>
      </w:pPr>
      <w:r>
        <w:rPr>
          <w:rFonts w:hint="eastAsia" w:ascii="宋体" w:hAnsi="宋体"/>
          <w:bCs/>
          <w:sz w:val="24"/>
        </w:rPr>
        <w:t>社会统一信用代码：                  社会统一信用代码：</w:t>
      </w:r>
    </w:p>
    <w:p>
      <w:pPr>
        <w:tabs>
          <w:tab w:val="left" w:pos="540"/>
        </w:tabs>
        <w:spacing w:line="360" w:lineRule="auto"/>
        <w:rPr>
          <w:rFonts w:ascii="宋体" w:hAnsi="宋体"/>
          <w:bCs/>
          <w:sz w:val="24"/>
        </w:rPr>
      </w:pPr>
      <w:r>
        <w:rPr>
          <w:rFonts w:hint="eastAsia" w:ascii="宋体" w:hAnsi="宋体"/>
          <w:bCs/>
          <w:sz w:val="24"/>
        </w:rPr>
        <w:t>法定代表人或其授权                  法定代表人或其授权</w:t>
      </w:r>
    </w:p>
    <w:p>
      <w:pPr>
        <w:tabs>
          <w:tab w:val="left" w:pos="540"/>
        </w:tabs>
        <w:spacing w:line="360" w:lineRule="auto"/>
        <w:rPr>
          <w:rFonts w:ascii="宋体" w:hAnsi="宋体"/>
          <w:bCs/>
          <w:sz w:val="24"/>
        </w:rPr>
      </w:pPr>
      <w:r>
        <w:rPr>
          <w:rFonts w:hint="eastAsia" w:ascii="宋体" w:hAnsi="宋体"/>
          <w:bCs/>
          <w:sz w:val="24"/>
        </w:rPr>
        <w:t>的代理人（签字）                    的代理人(签字)</w:t>
      </w:r>
    </w:p>
    <w:p>
      <w:pPr>
        <w:tabs>
          <w:tab w:val="left" w:pos="5040"/>
        </w:tabs>
        <w:spacing w:line="360" w:lineRule="auto"/>
        <w:rPr>
          <w:rFonts w:ascii="宋体" w:hAnsi="宋体"/>
          <w:bCs/>
          <w:sz w:val="24"/>
        </w:rPr>
      </w:pPr>
      <w:r>
        <w:rPr>
          <w:rFonts w:hint="eastAsia" w:ascii="宋体" w:hAnsi="宋体"/>
          <w:bCs/>
          <w:sz w:val="24"/>
        </w:rPr>
        <w:t>电    话：                          电    话：</w:t>
      </w:r>
    </w:p>
    <w:p>
      <w:pPr>
        <w:spacing w:line="360" w:lineRule="auto"/>
        <w:rPr>
          <w:rFonts w:ascii="宋体" w:hAnsi="宋体"/>
          <w:bCs/>
          <w:sz w:val="24"/>
        </w:rPr>
      </w:pPr>
      <w:r>
        <w:rPr>
          <w:rFonts w:hint="eastAsia" w:ascii="宋体" w:hAnsi="宋体"/>
          <w:bCs/>
          <w:sz w:val="24"/>
        </w:rPr>
        <w:t>传    真：                          传    真：</w:t>
      </w:r>
    </w:p>
    <w:p>
      <w:pPr>
        <w:spacing w:line="360" w:lineRule="auto"/>
        <w:rPr>
          <w:rFonts w:ascii="宋体" w:hAnsi="宋体"/>
          <w:bCs/>
          <w:sz w:val="24"/>
        </w:rPr>
      </w:pPr>
      <w:r>
        <w:rPr>
          <w:rFonts w:hint="eastAsia" w:ascii="宋体" w:hAnsi="宋体"/>
          <w:bCs/>
          <w:sz w:val="24"/>
        </w:rPr>
        <w:t>开户银行：                          开户银行：</w:t>
      </w:r>
    </w:p>
    <w:p>
      <w:pPr>
        <w:spacing w:line="360" w:lineRule="auto"/>
        <w:rPr>
          <w:rFonts w:ascii="宋体" w:hAnsi="宋体"/>
          <w:bCs/>
          <w:sz w:val="24"/>
        </w:rPr>
      </w:pPr>
      <w:r>
        <w:rPr>
          <w:rFonts w:hint="eastAsia" w:ascii="宋体" w:hAnsi="宋体"/>
          <w:bCs/>
          <w:sz w:val="24"/>
        </w:rPr>
        <w:t>账    号：                          账    号：</w:t>
      </w:r>
    </w:p>
    <w:p>
      <w:pPr>
        <w:spacing w:line="360" w:lineRule="auto"/>
      </w:pPr>
      <w:r>
        <w:rPr>
          <w:rFonts w:hint="eastAsia" w:ascii="宋体" w:hAnsi="宋体"/>
          <w:bCs/>
          <w:sz w:val="24"/>
        </w:rPr>
        <w:t>邮政编码：                          邮政编码：</w:t>
      </w:r>
    </w:p>
    <w:p>
      <w:pPr>
        <w:pStyle w:val="6"/>
        <w:spacing w:line="360" w:lineRule="auto"/>
        <w:ind w:firstLine="0" w:firstLineChars="0"/>
        <w:rPr>
          <w:rFonts w:ascii="宋体" w:hAnsi="宋体"/>
          <w:sz w:val="24"/>
        </w:rPr>
      </w:pPr>
      <w:r>
        <w:rPr>
          <w:rFonts w:hint="eastAsia" w:ascii="宋体" w:hAnsi="宋体"/>
          <w:sz w:val="24"/>
        </w:rPr>
        <w:br w:type="page"/>
      </w:r>
    </w:p>
    <w:p>
      <w:pPr>
        <w:spacing w:line="360" w:lineRule="auto"/>
        <w:jc w:val="center"/>
        <w:outlineLvl w:val="0"/>
        <w:rPr>
          <w:rFonts w:ascii="黑体" w:hAnsi="黑体" w:eastAsia="黑体" w:cs="黑体"/>
          <w:b/>
          <w:bCs/>
          <w:szCs w:val="32"/>
        </w:rPr>
      </w:pPr>
      <w:r>
        <w:rPr>
          <w:rFonts w:hint="eastAsia" w:ascii="黑体" w:hAnsi="黑体" w:eastAsia="黑体" w:cs="黑体"/>
          <w:b/>
          <w:bCs/>
          <w:sz w:val="32"/>
          <w:szCs w:val="32"/>
        </w:rPr>
        <w:t xml:space="preserve">第六部分 </w:t>
      </w:r>
      <w:r>
        <w:rPr>
          <w:rFonts w:hint="eastAsia" w:ascii="黑体" w:hAnsi="黑体" w:eastAsia="黑体" w:cs="黑体"/>
          <w:b/>
          <w:bCs/>
          <w:sz w:val="32"/>
          <w:szCs w:val="32"/>
          <w:lang w:val="zh-CN"/>
        </w:rPr>
        <w:t>响应文件格式</w:t>
      </w:r>
      <w:bookmarkEnd w:id="159"/>
    </w:p>
    <w:p>
      <w:pPr>
        <w:wordWrap w:val="0"/>
        <w:topLinePunct/>
        <w:spacing w:line="360" w:lineRule="auto"/>
        <w:ind w:firstLine="422" w:firstLineChars="200"/>
        <w:rPr>
          <w:rFonts w:ascii="宋体" w:hAnsi="宋体"/>
          <w:b/>
          <w:bCs/>
          <w:szCs w:val="21"/>
          <w:u w:val="single"/>
          <w:lang w:val="en-GB"/>
        </w:rPr>
      </w:pPr>
      <w:r>
        <w:rPr>
          <w:rFonts w:hint="eastAsia" w:ascii="宋体" w:hAnsi="宋体"/>
          <w:b/>
          <w:bCs/>
          <w:szCs w:val="21"/>
          <w:u w:val="single"/>
          <w:lang w:val="en-GB"/>
        </w:rPr>
        <w:t>注：请供应商按照以下要求的格式、内容、顺序制作响应文件，并请编制目录及页码，否则可能将影响对响应文件的评价</w:t>
      </w:r>
      <w:r>
        <w:rPr>
          <w:rFonts w:hint="eastAsia" w:ascii="宋体" w:hAnsi="宋体"/>
          <w:b/>
          <w:bCs/>
          <w:szCs w:val="21"/>
          <w:u w:val="single"/>
        </w:rPr>
        <w:t>或导致响应无效</w:t>
      </w:r>
      <w:r>
        <w:rPr>
          <w:rFonts w:hint="eastAsia" w:ascii="宋体" w:hAnsi="宋体"/>
          <w:b/>
          <w:bCs/>
          <w:szCs w:val="21"/>
          <w:u w:val="single"/>
          <w:lang w:val="en-GB"/>
        </w:rPr>
        <w:t>。</w:t>
      </w: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宋体" w:hAnsi="宋体"/>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uto"/>
        <w:ind w:firstLine="482" w:firstLineChars="200"/>
        <w:rPr>
          <w:rFonts w:ascii="仿宋_GB2312" w:hAnsi="仿宋" w:eastAsia="仿宋_GB2312" w:cs="仿宋"/>
          <w:b/>
          <w:bCs/>
          <w:sz w:val="24"/>
          <w:u w:val="single"/>
        </w:rPr>
      </w:pPr>
    </w:p>
    <w:p>
      <w:pPr>
        <w:spacing w:line="360" w:lineRule="atLeast"/>
        <w:rPr>
          <w:rFonts w:ascii="宋体" w:hAnsi="宋体"/>
          <w:sz w:val="32"/>
          <w:szCs w:val="32"/>
        </w:rPr>
      </w:pPr>
      <w:r>
        <w:rPr>
          <w:rFonts w:hint="eastAsia" w:ascii="黑体" w:hAnsi="黑体" w:eastAsia="黑体" w:cs="黑体"/>
          <w:b/>
          <w:sz w:val="28"/>
          <w:szCs w:val="28"/>
        </w:rPr>
        <w:t xml:space="preserve">项目编号： </w:t>
      </w:r>
      <w:r>
        <w:rPr>
          <w:rFonts w:hint="eastAsia" w:ascii="宋体" w:hAnsi="宋体"/>
          <w:sz w:val="32"/>
          <w:szCs w:val="32"/>
        </w:rPr>
        <w:t xml:space="preserve">             </w:t>
      </w:r>
      <w:r>
        <w:rPr>
          <w:rFonts w:hint="eastAsia" w:ascii="宋体" w:hAnsi="宋体" w:cs="Arial"/>
          <w:kern w:val="0"/>
          <w:sz w:val="30"/>
          <w:szCs w:val="30"/>
        </w:rPr>
        <w:t xml:space="preserve">                        </w:t>
      </w:r>
    </w:p>
    <w:p>
      <w:pPr>
        <w:spacing w:line="360" w:lineRule="atLeast"/>
        <w:rPr>
          <w:rFonts w:ascii="宋体" w:hAnsi="宋体"/>
          <w:b/>
          <w:sz w:val="28"/>
          <w:szCs w:val="28"/>
        </w:rPr>
      </w:pPr>
      <w:r>
        <w:rPr>
          <w:rFonts w:hint="eastAsia" w:ascii="宋体" w:hAnsi="宋体"/>
          <w:szCs w:val="21"/>
        </w:rPr>
        <w:t xml:space="preserve">                                                             </w:t>
      </w:r>
      <w:r>
        <w:rPr>
          <w:rFonts w:hint="eastAsia" w:ascii="宋体" w:hAnsi="宋体"/>
          <w:b/>
          <w:sz w:val="28"/>
          <w:szCs w:val="28"/>
        </w:rPr>
        <w:t>（正本或副本）</w:t>
      </w:r>
    </w:p>
    <w:p>
      <w:pPr>
        <w:spacing w:line="360" w:lineRule="atLeast"/>
        <w:rPr>
          <w:rFonts w:ascii="宋体" w:hAnsi="宋体"/>
          <w:szCs w:val="21"/>
        </w:rPr>
      </w:pPr>
    </w:p>
    <w:p>
      <w:pPr>
        <w:spacing w:line="360" w:lineRule="atLeast"/>
        <w:rPr>
          <w:rFonts w:ascii="宋体" w:hAnsi="宋体"/>
          <w:szCs w:val="21"/>
        </w:rPr>
      </w:pPr>
    </w:p>
    <w:p>
      <w:pPr>
        <w:jc w:val="center"/>
        <w:rPr>
          <w:rFonts w:ascii="宋体" w:hAnsi="宋体"/>
          <w:sz w:val="44"/>
          <w14:shadow w14:blurRad="50800" w14:dist="38100" w14:dir="2700000" w14:sx="100000" w14:sy="100000" w14:kx="0" w14:ky="0" w14:algn="tl">
            <w14:srgbClr w14:val="000000">
              <w14:alpha w14:val="60001"/>
            </w14:srgbClr>
          </w14:shadow>
        </w:rPr>
      </w:pPr>
    </w:p>
    <w:p>
      <w:pPr>
        <w:jc w:val="center"/>
        <w:rPr>
          <w:rFonts w:ascii="宋体" w:hAnsi="宋体"/>
          <w:sz w:val="44"/>
          <w14:shadow w14:blurRad="50800" w14:dist="38100" w14:dir="2700000" w14:sx="100000" w14:sy="100000" w14:kx="0" w14:ky="0" w14:algn="tl">
            <w14:srgbClr w14:val="000000">
              <w14:alpha w14:val="60001"/>
            </w14:srgbClr>
          </w14:shadow>
        </w:rPr>
      </w:pPr>
    </w:p>
    <w:p>
      <w:pPr>
        <w:ind w:firstLine="1791" w:firstLineChars="343"/>
        <w:rPr>
          <w:rFonts w:ascii="黑体" w:hAnsi="黑体" w:eastAsia="黑体" w:cs="黑体"/>
          <w:b/>
          <w:sz w:val="52"/>
          <w:szCs w:val="52"/>
        </w:rPr>
      </w:pPr>
      <w:r>
        <w:rPr>
          <w:rFonts w:hint="eastAsia" w:ascii="黑体" w:hAnsi="黑体" w:eastAsia="黑体" w:cs="黑体"/>
          <w:b/>
          <w:sz w:val="52"/>
          <w:szCs w:val="52"/>
          <w:u w:val="single"/>
        </w:rPr>
        <w:t xml:space="preserve">             </w:t>
      </w:r>
      <w:r>
        <w:rPr>
          <w:rFonts w:hint="eastAsia" w:ascii="黑体" w:hAnsi="黑体" w:eastAsia="黑体" w:cs="黑体"/>
          <w:b/>
          <w:sz w:val="52"/>
          <w:szCs w:val="52"/>
        </w:rPr>
        <w:t>项目</w:t>
      </w:r>
    </w:p>
    <w:p>
      <w:pPr>
        <w:ind w:firstLine="3331" w:firstLineChars="638"/>
        <w:rPr>
          <w:rFonts w:ascii="宋体" w:hAnsi="宋体"/>
          <w:b/>
          <w:sz w:val="52"/>
          <w:szCs w:val="52"/>
          <w:u w:val="single"/>
        </w:rPr>
      </w:pPr>
    </w:p>
    <w:p>
      <w:pPr>
        <w:ind w:firstLine="2073" w:firstLineChars="288"/>
        <w:rPr>
          <w:rFonts w:ascii="宋体" w:hAnsi="宋体"/>
          <w:sz w:val="72"/>
          <w:szCs w:val="72"/>
        </w:rPr>
      </w:pPr>
    </w:p>
    <w:p>
      <w:pPr>
        <w:spacing w:line="360" w:lineRule="atLeast"/>
        <w:jc w:val="center"/>
        <w:rPr>
          <w:rFonts w:ascii="黑体" w:hAnsi="黑体" w:eastAsia="黑体" w:cs="黑体"/>
          <w:b/>
          <w:sz w:val="72"/>
          <w:szCs w:val="72"/>
        </w:rPr>
      </w:pPr>
      <w:r>
        <w:rPr>
          <w:rFonts w:hint="eastAsia" w:ascii="黑体" w:hAnsi="黑体" w:eastAsia="黑体" w:cs="黑体"/>
          <w:b/>
          <w:sz w:val="72"/>
          <w:szCs w:val="72"/>
        </w:rPr>
        <w:t>响应文件</w:t>
      </w:r>
    </w:p>
    <w:p>
      <w:pPr>
        <w:spacing w:line="360" w:lineRule="atLeast"/>
        <w:jc w:val="center"/>
        <w:rPr>
          <w:rFonts w:ascii="宋体" w:hAnsi="宋体"/>
          <w:sz w:val="52"/>
          <w:szCs w:val="52"/>
        </w:rPr>
      </w:pPr>
    </w:p>
    <w:p>
      <w:pPr>
        <w:spacing w:line="360" w:lineRule="atLeast"/>
        <w:jc w:val="center"/>
        <w:rPr>
          <w:rFonts w:ascii="宋体" w:hAnsi="宋体"/>
          <w:sz w:val="52"/>
          <w:szCs w:val="52"/>
        </w:rPr>
      </w:pPr>
    </w:p>
    <w:p>
      <w:pPr>
        <w:spacing w:line="360" w:lineRule="atLeast"/>
        <w:jc w:val="center"/>
        <w:rPr>
          <w:rFonts w:ascii="宋体" w:hAnsi="宋体"/>
          <w:sz w:val="52"/>
          <w:szCs w:val="52"/>
        </w:rPr>
      </w:pPr>
    </w:p>
    <w:p>
      <w:pPr>
        <w:spacing w:line="360" w:lineRule="atLeast"/>
        <w:jc w:val="center"/>
        <w:rPr>
          <w:rFonts w:ascii="宋体" w:hAnsi="宋体"/>
          <w:sz w:val="52"/>
          <w:szCs w:val="52"/>
        </w:rPr>
      </w:pPr>
    </w:p>
    <w:p>
      <w:pPr>
        <w:spacing w:line="360" w:lineRule="atLeast"/>
        <w:rPr>
          <w:rFonts w:ascii="宋体" w:hAnsi="宋体"/>
          <w:sz w:val="24"/>
        </w:rPr>
      </w:pPr>
    </w:p>
    <w:p>
      <w:pPr>
        <w:spacing w:line="360" w:lineRule="atLeast"/>
        <w:rPr>
          <w:rFonts w:ascii="宋体" w:hAnsi="宋体"/>
          <w:sz w:val="24"/>
        </w:rPr>
      </w:pPr>
    </w:p>
    <w:p>
      <w:pPr>
        <w:spacing w:line="360" w:lineRule="atLeast"/>
        <w:rPr>
          <w:rFonts w:ascii="宋体" w:hAnsi="宋体"/>
          <w:sz w:val="24"/>
        </w:rPr>
      </w:pPr>
    </w:p>
    <w:p>
      <w:pPr>
        <w:spacing w:line="360" w:lineRule="atLeast"/>
        <w:ind w:firstLine="1120" w:firstLineChars="400"/>
        <w:rPr>
          <w:rFonts w:ascii="黑体" w:hAnsi="黑体" w:eastAsia="黑体" w:cs="黑体"/>
          <w:sz w:val="28"/>
          <w:szCs w:val="28"/>
        </w:rPr>
      </w:pPr>
      <w:r>
        <w:rPr>
          <w:rFonts w:hint="eastAsia" w:ascii="黑体" w:hAnsi="黑体" w:eastAsia="黑体" w:cs="黑体"/>
          <w:sz w:val="28"/>
          <w:szCs w:val="28"/>
        </w:rPr>
        <w:t>供应商：</w:t>
      </w:r>
      <w:r>
        <w:rPr>
          <w:rFonts w:hint="eastAsia" w:ascii="黑体" w:hAnsi="黑体" w:eastAsia="黑体" w:cs="黑体"/>
          <w:sz w:val="28"/>
          <w:szCs w:val="28"/>
          <w:u w:val="single"/>
        </w:rPr>
        <w:t xml:space="preserve">                      </w:t>
      </w:r>
    </w:p>
    <w:p>
      <w:pPr>
        <w:spacing w:line="360" w:lineRule="atLeast"/>
        <w:ind w:firstLine="1120" w:firstLineChars="400"/>
        <w:rPr>
          <w:rFonts w:ascii="黑体" w:hAnsi="黑体" w:eastAsia="黑体" w:cs="黑体"/>
          <w:sz w:val="28"/>
          <w:szCs w:val="28"/>
          <w:u w:val="single"/>
        </w:rPr>
      </w:pPr>
      <w:r>
        <w:rPr>
          <w:rFonts w:hint="eastAsia" w:ascii="黑体" w:hAnsi="黑体" w:eastAsia="黑体" w:cs="黑体"/>
          <w:sz w:val="28"/>
          <w:szCs w:val="28"/>
        </w:rPr>
        <w:t>时间：</w:t>
      </w:r>
      <w:r>
        <w:rPr>
          <w:rFonts w:hint="eastAsia" w:ascii="黑体" w:hAnsi="黑体" w:eastAsia="黑体" w:cs="黑体"/>
          <w:sz w:val="28"/>
          <w:szCs w:val="28"/>
          <w:u w:val="single"/>
        </w:rPr>
        <w:t xml:space="preserve">                           </w:t>
      </w:r>
    </w:p>
    <w:p>
      <w:pPr>
        <w:jc w:val="center"/>
        <w:rPr>
          <w:rFonts w:ascii="黑体" w:hAnsi="黑体" w:eastAsia="黑体" w:cs="黑体"/>
          <w:sz w:val="32"/>
          <w:szCs w:val="32"/>
        </w:rPr>
      </w:pPr>
      <w:bookmarkStart w:id="164" w:name="_Toc2288"/>
      <w:bookmarkStart w:id="165" w:name="_Toc3239"/>
      <w:bookmarkStart w:id="166" w:name="_Toc24497"/>
      <w:r>
        <w:rPr>
          <w:rFonts w:hint="eastAsia" w:ascii="黑体" w:hAnsi="黑体" w:eastAsia="黑体" w:cs="黑体"/>
          <w:sz w:val="32"/>
          <w:szCs w:val="32"/>
        </w:rPr>
        <w:t>目  录</w:t>
      </w:r>
      <w:bookmarkEnd w:id="164"/>
      <w:bookmarkEnd w:id="165"/>
      <w:bookmarkEnd w:id="166"/>
    </w:p>
    <w:p/>
    <w:p>
      <w:pPr>
        <w:spacing w:line="360" w:lineRule="auto"/>
        <w:rPr>
          <w:rFonts w:eastAsia="黑体"/>
        </w:rPr>
      </w:pPr>
      <w:bookmarkStart w:id="167" w:name="_Toc26733"/>
      <w:bookmarkStart w:id="168" w:name="_Toc483349431"/>
      <w:r>
        <w:rPr>
          <w:rFonts w:hint="eastAsia" w:ascii="黑体" w:hAnsi="黑体" w:eastAsia="黑体" w:cs="黑体"/>
          <w:b/>
          <w:bCs/>
          <w:sz w:val="24"/>
        </w:rPr>
        <w:t>一、资格证明文件</w:t>
      </w:r>
      <w:bookmarkEnd w:id="167"/>
      <w:bookmarkEnd w:id="168"/>
      <w:r>
        <w:rPr>
          <w:rFonts w:hint="eastAsia" w:ascii="黑体" w:hAnsi="黑体" w:eastAsia="黑体" w:cs="黑体"/>
          <w:b/>
          <w:bCs/>
          <w:sz w:val="24"/>
        </w:rPr>
        <w:t>..........................................................</w:t>
      </w:r>
      <w:r>
        <w:rPr>
          <w:rFonts w:hint="eastAsia" w:eastAsia="黑体"/>
        </w:rPr>
        <w:t>x</w:t>
      </w:r>
    </w:p>
    <w:p>
      <w:pPr>
        <w:spacing w:line="360" w:lineRule="auto"/>
        <w:rPr>
          <w:rFonts w:ascii="黑体" w:hAnsi="黑体" w:eastAsia="黑体" w:cs="Times New Roman"/>
          <w:b/>
          <w:bCs/>
          <w:sz w:val="24"/>
        </w:rPr>
      </w:pPr>
      <w:bookmarkStart w:id="169" w:name="_Toc483349432"/>
      <w:bookmarkStart w:id="170" w:name="_Toc18346"/>
      <w:r>
        <w:rPr>
          <w:rFonts w:hint="eastAsia" w:ascii="黑体" w:hAnsi="黑体" w:eastAsia="黑体" w:cs="黑体"/>
          <w:b/>
          <w:bCs/>
          <w:sz w:val="24"/>
        </w:rPr>
        <w:t>二、自查表</w:t>
      </w:r>
      <w:bookmarkEnd w:id="169"/>
      <w:bookmarkEnd w:id="170"/>
      <w:r>
        <w:rPr>
          <w:rFonts w:hint="eastAsia" w:ascii="黑体" w:hAnsi="黑体" w:eastAsia="黑体" w:cs="黑体"/>
          <w:b/>
          <w:bCs/>
          <w:sz w:val="24"/>
        </w:rPr>
        <w:t>................................................................</w:t>
      </w:r>
      <w:r>
        <w:rPr>
          <w:rFonts w:hint="eastAsia" w:eastAsia="黑体"/>
        </w:rPr>
        <w:t>x</w:t>
      </w:r>
    </w:p>
    <w:p>
      <w:pPr>
        <w:spacing w:line="360" w:lineRule="auto"/>
        <w:rPr>
          <w:rFonts w:ascii="黑体" w:hAnsi="黑体" w:eastAsia="黑体" w:cs="Times New Roman"/>
          <w:b/>
          <w:bCs/>
          <w:sz w:val="24"/>
        </w:rPr>
      </w:pPr>
      <w:bookmarkStart w:id="171" w:name="_Toc483349433"/>
      <w:bookmarkStart w:id="172" w:name="_Toc4584"/>
      <w:r>
        <w:rPr>
          <w:rFonts w:hint="eastAsia" w:ascii="黑体" w:hAnsi="黑体" w:eastAsia="黑体" w:cs="黑体"/>
          <w:b/>
          <w:bCs/>
          <w:sz w:val="24"/>
        </w:rPr>
        <w:t>三、响应函（格式）</w:t>
      </w:r>
      <w:bookmarkEnd w:id="171"/>
      <w:bookmarkEnd w:id="172"/>
      <w:r>
        <w:rPr>
          <w:rFonts w:hint="eastAsia" w:ascii="黑体" w:hAnsi="黑体" w:eastAsia="黑体" w:cs="黑体"/>
          <w:b/>
          <w:bCs/>
          <w:sz w:val="24"/>
        </w:rPr>
        <w:t>........................................................</w:t>
      </w:r>
      <w:r>
        <w:rPr>
          <w:rFonts w:hint="eastAsia" w:eastAsia="黑体"/>
        </w:rPr>
        <w:t>x</w:t>
      </w:r>
    </w:p>
    <w:p>
      <w:pPr>
        <w:spacing w:line="360" w:lineRule="auto"/>
        <w:rPr>
          <w:rFonts w:ascii="黑体" w:hAnsi="黑体" w:eastAsia="黑体" w:cs="Times New Roman"/>
          <w:b/>
          <w:bCs/>
          <w:sz w:val="24"/>
        </w:rPr>
      </w:pPr>
      <w:bookmarkStart w:id="173" w:name="_Toc29371"/>
      <w:bookmarkStart w:id="174" w:name="_Toc483349434"/>
      <w:r>
        <w:rPr>
          <w:rFonts w:hint="eastAsia" w:ascii="黑体" w:hAnsi="黑体" w:eastAsia="黑体" w:cs="黑体"/>
          <w:b/>
          <w:bCs/>
          <w:sz w:val="24"/>
        </w:rPr>
        <w:t>四、报价表</w:t>
      </w:r>
      <w:bookmarkEnd w:id="173"/>
      <w:bookmarkEnd w:id="174"/>
      <w:r>
        <w:rPr>
          <w:rFonts w:hint="eastAsia" w:ascii="黑体" w:hAnsi="黑体" w:eastAsia="黑体" w:cs="黑体"/>
          <w:b/>
          <w:bCs/>
          <w:sz w:val="24"/>
        </w:rPr>
        <w:t>................................................................</w:t>
      </w:r>
      <w:r>
        <w:rPr>
          <w:rFonts w:hint="eastAsia" w:eastAsia="黑体"/>
        </w:rPr>
        <w:t>x</w:t>
      </w:r>
    </w:p>
    <w:p>
      <w:pPr>
        <w:spacing w:line="360" w:lineRule="auto"/>
        <w:rPr>
          <w:rFonts w:ascii="黑体" w:hAnsi="黑体" w:eastAsia="黑体" w:cs="Times New Roman"/>
          <w:b/>
          <w:bCs/>
          <w:sz w:val="24"/>
        </w:rPr>
      </w:pPr>
      <w:bookmarkStart w:id="175" w:name="_Toc483349435"/>
      <w:bookmarkStart w:id="176" w:name="_Toc27473"/>
      <w:r>
        <w:rPr>
          <w:rFonts w:hint="eastAsia" w:ascii="黑体" w:hAnsi="黑体" w:eastAsia="黑体" w:cs="黑体"/>
          <w:b/>
          <w:bCs/>
          <w:sz w:val="24"/>
        </w:rPr>
        <w:t>五、技术部分</w:t>
      </w:r>
      <w:bookmarkEnd w:id="175"/>
      <w:bookmarkEnd w:id="176"/>
      <w:r>
        <w:rPr>
          <w:rFonts w:hint="eastAsia" w:ascii="黑体" w:hAnsi="黑体" w:eastAsia="黑体" w:cs="黑体"/>
          <w:b/>
          <w:bCs/>
          <w:sz w:val="24"/>
        </w:rPr>
        <w:t>..............................................................</w:t>
      </w:r>
      <w:r>
        <w:rPr>
          <w:rFonts w:hint="eastAsia" w:eastAsia="黑体"/>
        </w:rPr>
        <w:t>x</w:t>
      </w:r>
    </w:p>
    <w:p>
      <w:pPr>
        <w:spacing w:line="360" w:lineRule="auto"/>
        <w:rPr>
          <w:rFonts w:ascii="黑体" w:hAnsi="黑体" w:eastAsia="黑体" w:cs="Times New Roman"/>
          <w:b/>
          <w:bCs/>
          <w:sz w:val="24"/>
        </w:rPr>
      </w:pPr>
      <w:bookmarkStart w:id="177" w:name="_Toc25422"/>
      <w:bookmarkStart w:id="178" w:name="_Toc483349436"/>
      <w:r>
        <w:rPr>
          <w:rFonts w:hint="eastAsia" w:ascii="黑体" w:hAnsi="黑体" w:eastAsia="黑体" w:cs="黑体"/>
          <w:b/>
          <w:bCs/>
          <w:sz w:val="24"/>
        </w:rPr>
        <w:t>六、商务部分</w:t>
      </w:r>
      <w:bookmarkEnd w:id="177"/>
      <w:bookmarkEnd w:id="178"/>
      <w:r>
        <w:rPr>
          <w:rFonts w:hint="eastAsia" w:ascii="黑体" w:hAnsi="黑体" w:eastAsia="黑体" w:cs="黑体"/>
          <w:b/>
          <w:bCs/>
          <w:sz w:val="24"/>
        </w:rPr>
        <w:t>..............................................................</w:t>
      </w:r>
      <w:r>
        <w:rPr>
          <w:rFonts w:hint="eastAsia" w:eastAsia="黑体"/>
        </w:rPr>
        <w:t>x</w:t>
      </w:r>
    </w:p>
    <w:p>
      <w:pPr>
        <w:spacing w:line="360" w:lineRule="auto"/>
        <w:rPr>
          <w:rFonts w:ascii="黑体" w:hAnsi="黑体" w:eastAsia="黑体" w:cs="Times New Roman"/>
          <w:b/>
          <w:bCs/>
          <w:sz w:val="24"/>
        </w:rPr>
      </w:pPr>
      <w:bookmarkStart w:id="179" w:name="_Toc483349437"/>
      <w:bookmarkStart w:id="180" w:name="_Toc32072"/>
      <w:r>
        <w:rPr>
          <w:rFonts w:hint="eastAsia" w:ascii="黑体" w:hAnsi="黑体" w:eastAsia="黑体" w:cs="黑体"/>
          <w:b/>
          <w:bCs/>
          <w:sz w:val="24"/>
        </w:rPr>
        <w:t>七、供应商认为必要说明的其它内容</w:t>
      </w:r>
      <w:bookmarkEnd w:id="179"/>
      <w:bookmarkEnd w:id="180"/>
      <w:r>
        <w:rPr>
          <w:rFonts w:hint="eastAsia" w:ascii="黑体" w:hAnsi="黑体" w:eastAsia="黑体" w:cs="黑体"/>
          <w:b/>
          <w:bCs/>
          <w:sz w:val="24"/>
        </w:rPr>
        <w:t>..........................................</w:t>
      </w:r>
      <w:r>
        <w:rPr>
          <w:rFonts w:hint="eastAsia" w:eastAsia="黑体"/>
        </w:rPr>
        <w:t>x</w:t>
      </w:r>
    </w:p>
    <w:p>
      <w:pPr>
        <w:spacing w:line="360" w:lineRule="auto"/>
        <w:rPr>
          <w:rFonts w:ascii="黑体" w:hAnsi="黑体" w:eastAsia="黑体" w:cs="Times New Roman"/>
          <w:b/>
          <w:bCs/>
          <w:sz w:val="24"/>
        </w:rPr>
      </w:pPr>
      <w:bookmarkStart w:id="181" w:name="_Toc29690"/>
      <w:bookmarkStart w:id="182" w:name="_Toc483349438"/>
      <w:r>
        <w:rPr>
          <w:rFonts w:hint="eastAsia" w:ascii="黑体" w:hAnsi="黑体" w:eastAsia="黑体" w:cs="黑体"/>
          <w:b/>
          <w:bCs/>
          <w:sz w:val="24"/>
        </w:rPr>
        <w:t>八、承诺书</w:t>
      </w:r>
      <w:bookmarkEnd w:id="181"/>
      <w:bookmarkEnd w:id="182"/>
      <w:r>
        <w:rPr>
          <w:rFonts w:hint="eastAsia" w:ascii="黑体" w:hAnsi="黑体" w:eastAsia="黑体" w:cs="黑体"/>
          <w:b/>
          <w:bCs/>
          <w:sz w:val="24"/>
        </w:rPr>
        <w:t>................................................................</w:t>
      </w:r>
      <w:r>
        <w:rPr>
          <w:rFonts w:hint="eastAsia" w:eastAsia="黑体"/>
        </w:rPr>
        <w:t>x</w:t>
      </w:r>
    </w:p>
    <w:p>
      <w:pPr>
        <w:spacing w:line="360" w:lineRule="auto"/>
        <w:jc w:val="center"/>
        <w:rPr>
          <w:rFonts w:ascii="黑体" w:hAnsi="仿宋" w:eastAsia="黑体" w:cs="仿宋"/>
          <w:b/>
          <w:sz w:val="24"/>
        </w:rPr>
      </w:pPr>
    </w:p>
    <w:p>
      <w:pPr>
        <w:spacing w:line="360" w:lineRule="auto"/>
        <w:jc w:val="center"/>
        <w:rPr>
          <w:rFonts w:ascii="黑体" w:hAnsi="仿宋" w:eastAsia="黑体" w:cs="仿宋"/>
          <w:b/>
          <w:sz w:val="24"/>
        </w:rPr>
      </w:pPr>
    </w:p>
    <w:p>
      <w:pPr>
        <w:spacing w:line="360" w:lineRule="auto"/>
        <w:jc w:val="center"/>
        <w:rPr>
          <w:rFonts w:ascii="黑体" w:hAnsi="仿宋" w:eastAsia="黑体" w:cs="仿宋"/>
          <w:b/>
          <w:sz w:val="24"/>
        </w:rPr>
      </w:pPr>
    </w:p>
    <w:p>
      <w:pPr>
        <w:spacing w:line="360" w:lineRule="auto"/>
        <w:jc w:val="center"/>
        <w:rPr>
          <w:rFonts w:ascii="黑体" w:hAnsi="仿宋" w:eastAsia="黑体" w:cs="仿宋"/>
          <w:b/>
          <w:sz w:val="24"/>
        </w:rPr>
      </w:pPr>
    </w:p>
    <w:p>
      <w:pPr>
        <w:spacing w:line="360" w:lineRule="auto"/>
        <w:jc w:val="center"/>
        <w:rPr>
          <w:rFonts w:ascii="黑体" w:hAnsi="仿宋" w:eastAsia="黑体" w:cs="仿宋"/>
          <w:b/>
          <w:sz w:val="24"/>
        </w:rPr>
      </w:pPr>
    </w:p>
    <w:p>
      <w:pPr>
        <w:spacing w:line="360" w:lineRule="auto"/>
        <w:jc w:val="center"/>
        <w:rPr>
          <w:rFonts w:ascii="黑体" w:hAnsi="仿宋" w:eastAsia="黑体" w:cs="仿宋"/>
          <w:b/>
          <w:sz w:val="24"/>
        </w:rPr>
      </w:pPr>
    </w:p>
    <w:p>
      <w:pPr>
        <w:spacing w:line="360" w:lineRule="auto"/>
        <w:jc w:val="center"/>
        <w:rPr>
          <w:rFonts w:ascii="黑体" w:hAnsi="仿宋" w:eastAsia="黑体" w:cs="仿宋"/>
          <w:b/>
          <w:sz w:val="24"/>
        </w:rPr>
      </w:pPr>
    </w:p>
    <w:p>
      <w:pPr>
        <w:spacing w:line="360" w:lineRule="auto"/>
        <w:jc w:val="center"/>
        <w:rPr>
          <w:rFonts w:ascii="黑体" w:hAnsi="仿宋" w:eastAsia="黑体" w:cs="仿宋"/>
          <w:b/>
          <w:sz w:val="24"/>
        </w:rPr>
      </w:pPr>
    </w:p>
    <w:p>
      <w:pPr>
        <w:spacing w:line="360" w:lineRule="auto"/>
        <w:jc w:val="center"/>
        <w:rPr>
          <w:rFonts w:ascii="黑体" w:hAnsi="仿宋" w:eastAsia="黑体" w:cs="仿宋"/>
          <w:b/>
          <w:sz w:val="24"/>
        </w:rPr>
      </w:pPr>
    </w:p>
    <w:p>
      <w:pPr>
        <w:spacing w:line="360" w:lineRule="auto"/>
        <w:jc w:val="center"/>
        <w:rPr>
          <w:rFonts w:ascii="黑体" w:hAnsi="仿宋" w:eastAsia="黑体" w:cs="仿宋"/>
          <w:b/>
          <w:sz w:val="24"/>
        </w:rPr>
      </w:pPr>
    </w:p>
    <w:p>
      <w:pPr>
        <w:rPr>
          <w:rFonts w:ascii="黑体" w:hAnsi="仿宋" w:eastAsia="黑体" w:cs="仿宋"/>
          <w:b/>
          <w:sz w:val="24"/>
        </w:rPr>
      </w:pPr>
      <w:r>
        <w:rPr>
          <w:rFonts w:ascii="黑体" w:hAnsi="仿宋" w:eastAsia="黑体" w:cs="仿宋"/>
          <w:b/>
          <w:sz w:val="24"/>
        </w:rPr>
        <w:br w:type="page"/>
      </w:r>
    </w:p>
    <w:p>
      <w:pPr>
        <w:spacing w:line="360" w:lineRule="auto"/>
        <w:jc w:val="center"/>
        <w:outlineLvl w:val="1"/>
        <w:rPr>
          <w:rFonts w:ascii="黑体" w:hAnsi="仿宋" w:eastAsia="黑体" w:cs="仿宋"/>
          <w:b/>
          <w:sz w:val="32"/>
          <w:szCs w:val="32"/>
        </w:rPr>
      </w:pPr>
      <w:bookmarkStart w:id="183" w:name="_Toc16970"/>
      <w:bookmarkStart w:id="184" w:name="_Toc30302"/>
      <w:bookmarkStart w:id="185" w:name="_Toc23545"/>
      <w:bookmarkStart w:id="186" w:name="_Toc9082"/>
      <w:bookmarkStart w:id="187" w:name="_Toc278794812"/>
      <w:r>
        <w:rPr>
          <w:rFonts w:hint="eastAsia" w:ascii="黑体" w:hAnsi="仿宋" w:eastAsia="黑体" w:cs="仿宋"/>
          <w:b/>
          <w:sz w:val="32"/>
          <w:szCs w:val="32"/>
        </w:rPr>
        <w:t>一、资格证明文件</w:t>
      </w:r>
      <w:bookmarkEnd w:id="183"/>
      <w:bookmarkEnd w:id="184"/>
      <w:bookmarkEnd w:id="185"/>
      <w:bookmarkEnd w:id="186"/>
    </w:p>
    <w:p>
      <w:pPr>
        <w:pStyle w:val="12"/>
        <w:spacing w:line="500" w:lineRule="exact"/>
        <w:ind w:left="-120" w:leftChars="-57" w:firstLine="527" w:firstLineChars="250"/>
        <w:rPr>
          <w:rFonts w:hAnsi="宋体"/>
          <w:b/>
          <w:bCs/>
          <w:u w:val="single"/>
        </w:rPr>
      </w:pPr>
      <w:r>
        <w:rPr>
          <w:rFonts w:hint="eastAsia" w:hAnsi="宋体"/>
          <w:b/>
          <w:bCs/>
          <w:u w:val="single"/>
        </w:rPr>
        <w:t>注：</w:t>
      </w:r>
      <w:r>
        <w:rPr>
          <w:rFonts w:hint="eastAsia" w:hAnsi="宋体"/>
          <w:b/>
          <w:bCs/>
          <w:u w:val="single"/>
          <w:lang w:val="en-GB"/>
        </w:rPr>
        <w:t>资格证明文件按照《</w:t>
      </w:r>
      <w:r>
        <w:rPr>
          <w:rFonts w:hint="eastAsia" w:hAnsi="宋体"/>
          <w:b/>
          <w:bCs/>
          <w:u w:val="single"/>
        </w:rPr>
        <w:t>第三部分 供应商须知</w:t>
      </w:r>
      <w:r>
        <w:rPr>
          <w:rFonts w:hint="eastAsia" w:hAnsi="宋体"/>
          <w:b/>
          <w:bCs/>
          <w:u w:val="single"/>
          <w:lang w:val="en-GB"/>
        </w:rPr>
        <w:t>》2.2条要求内容组成，</w:t>
      </w:r>
      <w:r>
        <w:rPr>
          <w:rFonts w:hint="eastAsia" w:hAnsi="宋体"/>
          <w:b/>
          <w:bCs/>
          <w:u w:val="single"/>
        </w:rPr>
        <w:t>未按照要求提供将有可能导致响应无效。</w:t>
      </w: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jc w:val="center"/>
        <w:rPr>
          <w:rFonts w:ascii="黑体" w:hAnsi="仿宋" w:eastAsia="黑体" w:cs="仿宋"/>
          <w:bCs/>
          <w:sz w:val="32"/>
          <w:szCs w:val="32"/>
        </w:rPr>
      </w:pPr>
    </w:p>
    <w:p>
      <w:pPr>
        <w:spacing w:line="360" w:lineRule="auto"/>
        <w:jc w:val="center"/>
        <w:rPr>
          <w:rFonts w:ascii="黑体" w:hAnsi="仿宋" w:eastAsia="黑体" w:cs="仿宋"/>
          <w:bCs/>
          <w:sz w:val="32"/>
          <w:szCs w:val="32"/>
        </w:rPr>
      </w:pPr>
    </w:p>
    <w:p>
      <w:pPr>
        <w:spacing w:line="360" w:lineRule="auto"/>
        <w:ind w:firstLine="482" w:firstLineChars="200"/>
        <w:rPr>
          <w:rFonts w:ascii="宋体" w:hAnsi="宋体"/>
          <w:b/>
          <w:bCs/>
          <w:sz w:val="24"/>
        </w:rPr>
      </w:pPr>
      <w:r>
        <w:rPr>
          <w:rFonts w:hint="eastAsia" w:ascii="宋体" w:hAnsi="宋体"/>
          <w:b/>
          <w:bCs/>
          <w:sz w:val="24"/>
        </w:rPr>
        <w:br w:type="page"/>
      </w:r>
    </w:p>
    <w:p>
      <w:pPr>
        <w:spacing w:line="360" w:lineRule="auto"/>
        <w:ind w:firstLine="482" w:firstLineChars="200"/>
        <w:rPr>
          <w:rFonts w:ascii="宋体" w:hAnsi="宋体"/>
          <w:b/>
          <w:bCs/>
          <w:sz w:val="24"/>
        </w:rPr>
      </w:pPr>
      <w:r>
        <w:rPr>
          <w:rFonts w:hint="eastAsia" w:ascii="宋体" w:hAnsi="宋体"/>
          <w:b/>
          <w:bCs/>
          <w:sz w:val="24"/>
        </w:rPr>
        <w:t>1.1供应商资格声明</w:t>
      </w:r>
    </w:p>
    <w:p>
      <w:pPr>
        <w:spacing w:line="360" w:lineRule="auto"/>
        <w:ind w:firstLine="480" w:firstLineChars="200"/>
        <w:rPr>
          <w:rFonts w:ascii="宋体" w:hAnsi="宋体"/>
          <w:color w:val="0000FF"/>
          <w:sz w:val="24"/>
        </w:rPr>
      </w:pPr>
    </w:p>
    <w:p>
      <w:pPr>
        <w:spacing w:line="360" w:lineRule="auto"/>
        <w:jc w:val="center"/>
        <w:rPr>
          <w:rFonts w:ascii="黑体" w:hAnsi="仿宋" w:eastAsia="黑体" w:cs="仿宋"/>
          <w:bCs/>
          <w:sz w:val="32"/>
          <w:szCs w:val="32"/>
        </w:rPr>
      </w:pPr>
      <w:bookmarkStart w:id="188" w:name="_Toc31886"/>
      <w:bookmarkStart w:id="189" w:name="_Toc9644"/>
      <w:bookmarkStart w:id="190" w:name="_Toc32276"/>
      <w:r>
        <w:rPr>
          <w:rFonts w:hint="eastAsia" w:ascii="黑体" w:hAnsi="仿宋" w:eastAsia="黑体" w:cs="仿宋"/>
          <w:bCs/>
          <w:sz w:val="32"/>
          <w:szCs w:val="32"/>
        </w:rPr>
        <w:t>供应商资格声明（格式）</w:t>
      </w:r>
      <w:bookmarkEnd w:id="188"/>
      <w:bookmarkEnd w:id="189"/>
      <w:bookmarkEnd w:id="190"/>
    </w:p>
    <w:p>
      <w:pPr>
        <w:spacing w:line="360" w:lineRule="auto"/>
        <w:ind w:firstLine="359" w:firstLineChars="171"/>
        <w:rPr>
          <w:rFonts w:ascii="宋体" w:hAnsi="宋体"/>
          <w:color w:val="000000"/>
          <w:szCs w:val="21"/>
        </w:rPr>
      </w:pPr>
    </w:p>
    <w:p>
      <w:pPr>
        <w:spacing w:line="360" w:lineRule="auto"/>
        <w:rPr>
          <w:rFonts w:ascii="宋体" w:hAnsi="宋体"/>
          <w:b/>
          <w:bCs/>
          <w:sz w:val="24"/>
        </w:rPr>
      </w:pPr>
      <w:r>
        <w:rPr>
          <w:rFonts w:hint="eastAsia" w:ascii="宋体" w:hAnsi="宋体"/>
          <w:sz w:val="24"/>
        </w:rPr>
        <w:t>致：</w:t>
      </w:r>
      <w:r>
        <w:rPr>
          <w:rFonts w:hint="eastAsia" w:ascii="宋体" w:hAnsi="宋体"/>
          <w:b/>
          <w:bCs/>
          <w:sz w:val="24"/>
        </w:rPr>
        <w:t>陕西德勤招标有限公司</w:t>
      </w:r>
    </w:p>
    <w:p>
      <w:pPr>
        <w:spacing w:line="360" w:lineRule="auto"/>
        <w:ind w:firstLine="480" w:firstLineChars="200"/>
        <w:rPr>
          <w:rFonts w:ascii="宋体" w:hAnsi="宋体"/>
          <w:sz w:val="24"/>
        </w:rPr>
      </w:pPr>
      <w:bookmarkStart w:id="191" w:name="_Toc21728"/>
      <w:bookmarkStart w:id="192" w:name="_Toc18251"/>
      <w:bookmarkStart w:id="193" w:name="_Toc29197"/>
      <w:r>
        <w:rPr>
          <w:rFonts w:hint="eastAsia" w:ascii="宋体" w:hAnsi="宋体"/>
          <w:sz w:val="24"/>
        </w:rPr>
        <w:t>作为参加贵公司组织的竞争性磋商项目的供应商，本公司郑重声明</w:t>
      </w:r>
      <w:r>
        <w:rPr>
          <w:rFonts w:hint="eastAsia" w:ascii="宋体" w:hAnsi="宋体"/>
          <w:b/>
          <w:bCs/>
          <w:sz w:val="24"/>
          <w:u w:val="single"/>
        </w:rPr>
        <w:t>我方符合磋商文件中“供应商资格要求”规定的条件</w:t>
      </w:r>
      <w:r>
        <w:rPr>
          <w:rFonts w:hint="eastAsia" w:ascii="宋体" w:hAnsi="宋体"/>
          <w:sz w:val="24"/>
        </w:rPr>
        <w:t>，申告并承诺如下：</w:t>
      </w:r>
      <w:bookmarkEnd w:id="191"/>
      <w:bookmarkEnd w:id="192"/>
      <w:bookmarkEnd w:id="193"/>
    </w:p>
    <w:p>
      <w:pPr>
        <w:spacing w:line="360" w:lineRule="auto"/>
        <w:ind w:firstLine="480" w:firstLineChars="200"/>
        <w:rPr>
          <w:rFonts w:ascii="宋体" w:hAnsi="宋体"/>
          <w:sz w:val="24"/>
        </w:rPr>
      </w:pPr>
      <w:bookmarkStart w:id="194" w:name="_Toc5504"/>
      <w:bookmarkStart w:id="195" w:name="_Toc986"/>
      <w:bookmarkStart w:id="196" w:name="_Toc10633"/>
      <w:bookmarkStart w:id="197" w:name="_Toc10094"/>
      <w:r>
        <w:rPr>
          <w:rFonts w:hint="eastAsia" w:ascii="宋体" w:hAnsi="宋体"/>
          <w:sz w:val="24"/>
        </w:rPr>
        <w:t>1.我方具有独立承担民事责任的能力，且是中华人民共和国境内注册的法人</w:t>
      </w:r>
      <w:bookmarkEnd w:id="194"/>
      <w:r>
        <w:rPr>
          <w:rFonts w:hint="eastAsia" w:ascii="宋体" w:hAnsi="宋体"/>
          <w:sz w:val="24"/>
        </w:rPr>
        <w:t>、其他组织或自然人；</w:t>
      </w:r>
      <w:bookmarkEnd w:id="195"/>
    </w:p>
    <w:p>
      <w:pPr>
        <w:spacing w:line="360" w:lineRule="auto"/>
        <w:ind w:firstLine="480" w:firstLineChars="200"/>
        <w:rPr>
          <w:rFonts w:ascii="宋体" w:hAnsi="宋体"/>
          <w:sz w:val="24"/>
        </w:rPr>
      </w:pPr>
      <w:bookmarkStart w:id="198" w:name="_Toc23492"/>
      <w:r>
        <w:rPr>
          <w:rFonts w:hint="eastAsia" w:ascii="宋体" w:hAnsi="宋体"/>
          <w:sz w:val="24"/>
        </w:rPr>
        <w:t>2.我方具有良好的商业信誉和健全的财务会计制度；</w:t>
      </w:r>
      <w:bookmarkEnd w:id="196"/>
      <w:bookmarkEnd w:id="197"/>
      <w:bookmarkEnd w:id="198"/>
    </w:p>
    <w:p>
      <w:pPr>
        <w:spacing w:line="360" w:lineRule="auto"/>
        <w:ind w:firstLine="480" w:firstLineChars="200"/>
        <w:rPr>
          <w:rFonts w:ascii="宋体" w:hAnsi="宋体"/>
          <w:sz w:val="24"/>
        </w:rPr>
      </w:pPr>
      <w:bookmarkStart w:id="199" w:name="_Toc21112"/>
      <w:bookmarkStart w:id="200" w:name="_Toc16240"/>
      <w:bookmarkStart w:id="201" w:name="_Toc21747"/>
      <w:r>
        <w:rPr>
          <w:rFonts w:hint="eastAsia" w:ascii="宋体" w:hAnsi="宋体"/>
          <w:sz w:val="24"/>
        </w:rPr>
        <w:t>3.我方具有履行合同所必须的设备和专业技术能力；</w:t>
      </w:r>
      <w:bookmarkEnd w:id="199"/>
      <w:bookmarkEnd w:id="200"/>
      <w:bookmarkEnd w:id="201"/>
    </w:p>
    <w:p>
      <w:pPr>
        <w:spacing w:line="360" w:lineRule="auto"/>
        <w:ind w:firstLine="480" w:firstLineChars="200"/>
        <w:rPr>
          <w:rFonts w:ascii="宋体" w:hAnsi="宋体"/>
          <w:sz w:val="24"/>
        </w:rPr>
      </w:pPr>
      <w:bookmarkStart w:id="202" w:name="_Toc13349"/>
      <w:bookmarkStart w:id="203" w:name="_Toc21919"/>
      <w:bookmarkStart w:id="204" w:name="_Toc23084"/>
      <w:r>
        <w:rPr>
          <w:rFonts w:hint="eastAsia" w:ascii="宋体" w:hAnsi="宋体"/>
          <w:sz w:val="24"/>
        </w:rPr>
        <w:t>4.我方具有依法缴纳税收和社会保障资金的良好记录；</w:t>
      </w:r>
      <w:bookmarkEnd w:id="202"/>
      <w:bookmarkEnd w:id="203"/>
      <w:bookmarkEnd w:id="204"/>
    </w:p>
    <w:p>
      <w:pPr>
        <w:spacing w:line="360" w:lineRule="auto"/>
        <w:ind w:firstLine="480" w:firstLineChars="200"/>
        <w:rPr>
          <w:rFonts w:ascii="宋体" w:hAnsi="宋体"/>
          <w:sz w:val="24"/>
        </w:rPr>
      </w:pPr>
      <w:bookmarkStart w:id="205" w:name="_Toc14836"/>
      <w:bookmarkStart w:id="206" w:name="_Toc1324"/>
      <w:bookmarkStart w:id="207" w:name="_Toc8077"/>
      <w:r>
        <w:rPr>
          <w:rFonts w:hint="eastAsia" w:ascii="宋体" w:hAnsi="宋体"/>
          <w:sz w:val="24"/>
        </w:rPr>
        <w:t>5.我方参加本次政府采购活动前三年内，在经营活动中没有重大违法记录；</w:t>
      </w:r>
      <w:bookmarkEnd w:id="205"/>
      <w:bookmarkEnd w:id="206"/>
      <w:bookmarkEnd w:id="207"/>
    </w:p>
    <w:p>
      <w:pPr>
        <w:spacing w:line="360" w:lineRule="auto"/>
        <w:ind w:firstLine="480" w:firstLineChars="200"/>
        <w:rPr>
          <w:rFonts w:ascii="宋体" w:hAnsi="宋体"/>
          <w:sz w:val="24"/>
        </w:rPr>
      </w:pPr>
      <w:bookmarkStart w:id="208" w:name="_Toc16165"/>
      <w:bookmarkStart w:id="209" w:name="_Toc10055"/>
      <w:bookmarkStart w:id="210" w:name="_Toc5411"/>
      <w:r>
        <w:rPr>
          <w:rFonts w:hint="eastAsia" w:ascii="宋体" w:hAnsi="宋体"/>
          <w:sz w:val="24"/>
        </w:rPr>
        <w:t>6.我方具有法律、行政法规规定的其他条件；</w:t>
      </w:r>
      <w:bookmarkEnd w:id="208"/>
      <w:bookmarkEnd w:id="209"/>
      <w:bookmarkEnd w:id="210"/>
    </w:p>
    <w:p>
      <w:pPr>
        <w:spacing w:line="360" w:lineRule="auto"/>
        <w:ind w:firstLine="480" w:firstLineChars="200"/>
        <w:rPr>
          <w:rFonts w:ascii="宋体" w:hAnsi="宋体"/>
          <w:sz w:val="24"/>
        </w:rPr>
      </w:pPr>
      <w:bookmarkStart w:id="211" w:name="_Toc26686"/>
      <w:bookmarkStart w:id="212" w:name="_Toc6797"/>
      <w:bookmarkStart w:id="213" w:name="_Toc4518"/>
      <w:r>
        <w:rPr>
          <w:rFonts w:hint="eastAsia" w:ascii="宋体" w:hAnsi="宋体"/>
          <w:sz w:val="24"/>
        </w:rPr>
        <w:t>7.我方具备采购人根据采购项目提出的特殊条件（如果有）。</w:t>
      </w:r>
      <w:bookmarkEnd w:id="211"/>
      <w:bookmarkEnd w:id="212"/>
      <w:bookmarkEnd w:id="213"/>
    </w:p>
    <w:p>
      <w:pPr>
        <w:spacing w:line="360" w:lineRule="auto"/>
        <w:ind w:firstLine="480" w:firstLineChars="200"/>
        <w:rPr>
          <w:rFonts w:ascii="宋体" w:hAnsi="宋体"/>
          <w:sz w:val="24"/>
        </w:rPr>
      </w:pPr>
      <w:bookmarkStart w:id="214" w:name="_Toc15093"/>
      <w:bookmarkStart w:id="215" w:name="_Toc718"/>
      <w:bookmarkStart w:id="216" w:name="_Toc14587"/>
      <w:r>
        <w:rPr>
          <w:rFonts w:hint="eastAsia" w:ascii="宋体" w:hAnsi="宋体"/>
          <w:sz w:val="24"/>
        </w:rPr>
        <w:t>相关证明材料附后，如有需要，我方可根据采购人的要求提供更多证明材料，以便核查。</w:t>
      </w:r>
      <w:bookmarkEnd w:id="214"/>
      <w:bookmarkEnd w:id="215"/>
      <w:bookmarkEnd w:id="216"/>
    </w:p>
    <w:p>
      <w:pPr>
        <w:spacing w:line="360" w:lineRule="auto"/>
        <w:ind w:firstLine="482" w:firstLineChars="200"/>
        <w:rPr>
          <w:rFonts w:ascii="宋体" w:hAnsi="宋体"/>
          <w:b/>
          <w:bCs/>
          <w:sz w:val="24"/>
          <w:u w:val="single"/>
        </w:rPr>
      </w:pPr>
      <w:bookmarkStart w:id="217" w:name="_Toc12460"/>
      <w:bookmarkStart w:id="218" w:name="_Toc3663"/>
      <w:bookmarkStart w:id="219" w:name="_Toc22356"/>
      <w:r>
        <w:rPr>
          <w:rFonts w:hint="eastAsia" w:ascii="宋体" w:hAnsi="宋体"/>
          <w:b/>
          <w:bCs/>
          <w:sz w:val="24"/>
          <w:u w:val="single"/>
        </w:rPr>
        <w:t>以上内容如有虚假或与事实不符的，磋商小组可将我方做无效响应处理，相关法律责任和处罚也由我方承担。</w:t>
      </w:r>
      <w:bookmarkEnd w:id="217"/>
      <w:bookmarkEnd w:id="218"/>
      <w:bookmarkEnd w:id="219"/>
    </w:p>
    <w:p>
      <w:pPr>
        <w:spacing w:line="360" w:lineRule="auto"/>
        <w:ind w:firstLine="480" w:firstLineChars="200"/>
        <w:rPr>
          <w:rFonts w:ascii="宋体" w:hAnsi="宋体"/>
          <w:sz w:val="24"/>
        </w:rPr>
      </w:pPr>
    </w:p>
    <w:p>
      <w:pPr>
        <w:spacing w:line="360" w:lineRule="auto"/>
        <w:ind w:firstLine="410" w:firstLineChars="171"/>
        <w:rPr>
          <w:rFonts w:ascii="宋体" w:hAnsi="宋体"/>
          <w:color w:val="000000"/>
          <w:sz w:val="24"/>
        </w:rPr>
      </w:pPr>
    </w:p>
    <w:p>
      <w:pPr>
        <w:spacing w:line="360" w:lineRule="auto"/>
        <w:ind w:firstLine="410" w:firstLineChars="171"/>
        <w:rPr>
          <w:rFonts w:ascii="宋体" w:hAnsi="宋体"/>
          <w:color w:val="000000"/>
          <w:sz w:val="24"/>
        </w:rPr>
      </w:pPr>
    </w:p>
    <w:p>
      <w:pPr>
        <w:spacing w:line="360" w:lineRule="auto"/>
        <w:ind w:firstLine="410" w:firstLineChars="171"/>
        <w:rPr>
          <w:rFonts w:ascii="宋体" w:hAnsi="宋体"/>
          <w:color w:val="000000"/>
          <w:sz w:val="24"/>
        </w:rPr>
      </w:pPr>
    </w:p>
    <w:p>
      <w:pPr>
        <w:spacing w:line="360" w:lineRule="auto"/>
        <w:ind w:firstLine="410" w:firstLineChars="171"/>
        <w:rPr>
          <w:rFonts w:ascii="宋体" w:hAnsi="宋体"/>
          <w:color w:val="000000"/>
          <w:sz w:val="24"/>
        </w:rPr>
      </w:pPr>
    </w:p>
    <w:p>
      <w:pPr>
        <w:spacing w:line="360" w:lineRule="auto"/>
        <w:ind w:firstLine="410" w:firstLineChars="171"/>
        <w:rPr>
          <w:rFonts w:ascii="宋体" w:hAnsi="宋体"/>
          <w:color w:val="000000"/>
          <w:sz w:val="24"/>
        </w:rPr>
      </w:pPr>
    </w:p>
    <w:p>
      <w:pPr>
        <w:spacing w:line="360" w:lineRule="auto"/>
        <w:ind w:firstLine="410" w:firstLineChars="171"/>
        <w:rPr>
          <w:rFonts w:ascii="宋体" w:hAnsi="宋体"/>
          <w:color w:val="000000"/>
          <w:sz w:val="24"/>
        </w:rPr>
      </w:pPr>
    </w:p>
    <w:p>
      <w:pPr>
        <w:spacing w:line="360" w:lineRule="auto"/>
        <w:ind w:firstLine="480" w:firstLineChars="200"/>
        <w:rPr>
          <w:rFonts w:ascii="宋体" w:hAnsi="宋体"/>
          <w:sz w:val="24"/>
          <w:u w:val="single"/>
        </w:rPr>
      </w:pPr>
      <w:r>
        <w:rPr>
          <w:rFonts w:hint="eastAsia" w:ascii="宋体" w:hAnsi="宋体"/>
          <w:sz w:val="24"/>
        </w:rPr>
        <w:t>供应商法定代表人（或法定代表人授权代表）签字：</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供应商名称（盖章）：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br w:type="page"/>
      </w:r>
    </w:p>
    <w:p>
      <w:pPr>
        <w:spacing w:line="360" w:lineRule="auto"/>
        <w:ind w:firstLine="480" w:firstLineChars="200"/>
        <w:rPr>
          <w:rFonts w:ascii="宋体" w:hAnsi="宋体"/>
          <w:sz w:val="24"/>
        </w:rPr>
      </w:pPr>
      <w:bookmarkStart w:id="220" w:name="_Toc31698"/>
      <w:r>
        <w:rPr>
          <w:rFonts w:hint="eastAsia" w:ascii="宋体" w:hAnsi="宋体"/>
          <w:sz w:val="24"/>
        </w:rPr>
        <w:t>1）企业法人、其他组织营业执照副本或事业单位法人证书，自然人提供身份证明（复印件加盖响应供应商公章）；</w:t>
      </w:r>
      <w:bookmarkEnd w:id="220"/>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bookmarkStart w:id="221" w:name="_Toc2640"/>
      <w:bookmarkStart w:id="222" w:name="_Toc864"/>
      <w:bookmarkStart w:id="223" w:name="_Toc26245"/>
      <w:r>
        <w:rPr>
          <w:rFonts w:hint="eastAsia" w:ascii="宋体" w:hAnsi="宋体"/>
          <w:sz w:val="24"/>
        </w:rPr>
        <w:t>2）</w:t>
      </w:r>
      <w:bookmarkEnd w:id="221"/>
      <w:bookmarkEnd w:id="222"/>
      <w:bookmarkEnd w:id="223"/>
      <w:r>
        <w:rPr>
          <w:rFonts w:hint="eastAsia" w:ascii="宋体" w:hAnsi="宋体"/>
          <w:sz w:val="24"/>
        </w:rPr>
        <w:t>2020年度或2021年度经审计的财务报告（成立时间至磋商会议日期不足一年的响应供应商可提供成立后任意时段的资产负债表）（复印件加盖响应供应商公章）；</w:t>
      </w:r>
    </w:p>
    <w:p>
      <w:pPr>
        <w:spacing w:line="360" w:lineRule="auto"/>
        <w:ind w:firstLine="480" w:firstLineChars="200"/>
        <w:rPr>
          <w:rFonts w:ascii="宋体" w:hAnsi="宋体"/>
          <w:sz w:val="24"/>
        </w:rPr>
      </w:pPr>
      <w:r>
        <w:rPr>
          <w:rFonts w:hint="eastAsia" w:ascii="宋体" w:hAnsi="宋体"/>
          <w:sz w:val="24"/>
        </w:rPr>
        <w:t>或在磋商会议日期前六个月内其基本存款账户开户银行出具的资信证明（原件）；</w:t>
      </w:r>
    </w:p>
    <w:p>
      <w:pPr>
        <w:spacing w:line="360" w:lineRule="auto"/>
        <w:ind w:firstLine="480" w:firstLineChars="200"/>
        <w:rPr>
          <w:rFonts w:ascii="宋体" w:hAnsi="宋体"/>
          <w:sz w:val="24"/>
        </w:rPr>
      </w:pPr>
      <w:r>
        <w:rPr>
          <w:rFonts w:hint="eastAsia" w:ascii="宋体" w:hAnsi="宋体"/>
          <w:sz w:val="24"/>
        </w:rPr>
        <w:t>或在磋商会议日期前六个月内信用担保机构出具的投标担保函（原件）；</w:t>
      </w:r>
    </w:p>
    <w:p>
      <w:pPr>
        <w:spacing w:line="360" w:lineRule="auto"/>
        <w:ind w:firstLine="480" w:firstLineChars="200"/>
        <w:rPr>
          <w:rFonts w:ascii="宋体" w:hAnsi="宋体"/>
          <w:sz w:val="24"/>
          <w:lang w:val="zh-CN"/>
        </w:rPr>
      </w:pPr>
      <w:r>
        <w:rPr>
          <w:rFonts w:hint="eastAsia" w:ascii="宋体" w:hAnsi="宋体"/>
          <w:sz w:val="24"/>
        </w:rPr>
        <w:t>（以上三种形式的资料提供任何一种即可）</w:t>
      </w:r>
    </w:p>
    <w:p>
      <w:pPr>
        <w:spacing w:line="360" w:lineRule="auto"/>
        <w:ind w:firstLine="480" w:firstLineChars="200"/>
        <w:rPr>
          <w:rFonts w:ascii="宋体" w:hAnsi="宋体"/>
          <w:sz w:val="24"/>
          <w:lang w:val="zh-CN"/>
        </w:rPr>
      </w:pPr>
    </w:p>
    <w:p>
      <w:pPr>
        <w:spacing w:line="360" w:lineRule="auto"/>
        <w:ind w:firstLine="480" w:firstLineChars="200"/>
        <w:rPr>
          <w:rFonts w:ascii="宋体" w:hAnsi="宋体"/>
          <w:sz w:val="24"/>
          <w:lang w:val="zh-CN"/>
        </w:rPr>
      </w:pPr>
    </w:p>
    <w:p>
      <w:pPr>
        <w:spacing w:line="360" w:lineRule="auto"/>
        <w:ind w:firstLine="480" w:firstLineChars="200"/>
        <w:rPr>
          <w:rFonts w:ascii="宋体" w:hAnsi="宋体"/>
          <w:sz w:val="24"/>
          <w:lang w:val="zh-CN"/>
        </w:rPr>
      </w:pPr>
      <w:bookmarkStart w:id="224" w:name="_Toc10326"/>
      <w:bookmarkStart w:id="225" w:name="_Toc13900"/>
      <w:bookmarkStart w:id="226" w:name="_Toc25031"/>
      <w:r>
        <w:rPr>
          <w:rFonts w:hint="eastAsia" w:ascii="宋体" w:hAnsi="宋体"/>
          <w:sz w:val="24"/>
        </w:rPr>
        <w:t>3）</w:t>
      </w:r>
      <w:r>
        <w:rPr>
          <w:rFonts w:hint="eastAsia" w:ascii="宋体" w:hAnsi="宋体"/>
          <w:sz w:val="24"/>
          <w:lang w:val="zh-CN"/>
        </w:rPr>
        <w:t>磋商会议日期前十二个月内任意一个月缴税凭据（复印件加盖供应商公章）（依法免税的供应商应提供相应文件证明）；</w:t>
      </w:r>
      <w:bookmarkEnd w:id="224"/>
      <w:bookmarkEnd w:id="225"/>
      <w:bookmarkEnd w:id="226"/>
    </w:p>
    <w:p>
      <w:pPr>
        <w:spacing w:line="360" w:lineRule="auto"/>
        <w:ind w:firstLine="480" w:firstLineChars="200"/>
        <w:rPr>
          <w:rFonts w:ascii="宋体" w:hAnsi="宋体"/>
          <w:sz w:val="24"/>
          <w:lang w:val="zh-CN"/>
        </w:rPr>
      </w:pPr>
    </w:p>
    <w:p>
      <w:pPr>
        <w:spacing w:line="360" w:lineRule="auto"/>
        <w:ind w:firstLine="480" w:firstLineChars="200"/>
        <w:rPr>
          <w:rFonts w:ascii="宋体" w:hAnsi="宋体"/>
          <w:sz w:val="24"/>
        </w:rPr>
      </w:pPr>
      <w:bookmarkStart w:id="227" w:name="_Toc25458"/>
      <w:bookmarkStart w:id="228" w:name="_Toc23883"/>
      <w:bookmarkStart w:id="229" w:name="_Toc12971"/>
      <w:r>
        <w:rPr>
          <w:rFonts w:hint="eastAsia" w:ascii="宋体" w:hAnsi="宋体"/>
          <w:sz w:val="24"/>
        </w:rPr>
        <w:t>4）</w:t>
      </w:r>
      <w:r>
        <w:rPr>
          <w:rFonts w:hint="eastAsia" w:ascii="宋体" w:hAnsi="宋体"/>
          <w:sz w:val="24"/>
          <w:lang w:val="zh-CN"/>
        </w:rPr>
        <w:t>磋商会议日期前十二个月内任意一个月缴纳社会保险的凭据（专用收据或社会保险缴纳清单）（复印件加盖供应商公章）（依法不需要缴纳社</w:t>
      </w:r>
      <w:r>
        <w:rPr>
          <w:rFonts w:hint="eastAsia" w:ascii="宋体" w:hAnsi="宋体"/>
          <w:sz w:val="24"/>
        </w:rPr>
        <w:t>会保障资金的供应商应提供相应文件证明）；</w:t>
      </w:r>
      <w:bookmarkEnd w:id="227"/>
      <w:bookmarkEnd w:id="228"/>
      <w:bookmarkEnd w:id="229"/>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color w:val="0000FF"/>
          <w:sz w:val="24"/>
        </w:rPr>
      </w:pPr>
    </w:p>
    <w:p>
      <w:pPr>
        <w:spacing w:line="360" w:lineRule="auto"/>
        <w:jc w:val="center"/>
        <w:rPr>
          <w:rFonts w:ascii="黑体" w:hAnsi="仿宋" w:eastAsia="黑体" w:cs="仿宋"/>
          <w:bCs/>
          <w:sz w:val="32"/>
          <w:szCs w:val="32"/>
        </w:rPr>
      </w:pPr>
      <w:r>
        <w:rPr>
          <w:rFonts w:hint="eastAsia" w:ascii="黑体" w:hAnsi="仿宋" w:eastAsia="黑体" w:cs="仿宋"/>
          <w:bCs/>
          <w:sz w:val="32"/>
          <w:szCs w:val="32"/>
        </w:rPr>
        <w:br w:type="page"/>
      </w:r>
    </w:p>
    <w:p>
      <w:pPr>
        <w:spacing w:line="360" w:lineRule="auto"/>
        <w:ind w:firstLine="482" w:firstLineChars="200"/>
        <w:rPr>
          <w:rFonts w:ascii="宋体" w:hAnsi="宋体"/>
          <w:b/>
          <w:bCs/>
          <w:sz w:val="24"/>
        </w:rPr>
      </w:pPr>
      <w:r>
        <w:rPr>
          <w:rFonts w:hint="eastAsia" w:ascii="宋体" w:hAnsi="宋体"/>
          <w:b/>
          <w:bCs/>
          <w:sz w:val="24"/>
        </w:rPr>
        <w:t>1.2</w:t>
      </w:r>
      <w:r>
        <w:rPr>
          <w:rFonts w:hint="eastAsia" w:ascii="宋体" w:hAnsi="宋体"/>
          <w:b/>
          <w:bCs/>
          <w:sz w:val="24"/>
          <w:lang w:val="en-GB"/>
        </w:rPr>
        <w:t>保证金汇款声明函</w:t>
      </w:r>
      <w:r>
        <w:rPr>
          <w:rFonts w:hint="eastAsia" w:ascii="宋体" w:hAnsi="宋体"/>
          <w:b/>
          <w:bCs/>
          <w:sz w:val="24"/>
        </w:rPr>
        <w:t>/保函</w:t>
      </w:r>
    </w:p>
    <w:p>
      <w:pPr>
        <w:spacing w:line="360" w:lineRule="auto"/>
        <w:ind w:firstLine="482" w:firstLineChars="200"/>
        <w:rPr>
          <w:rFonts w:ascii="宋体" w:hAnsi="宋体"/>
          <w:b/>
          <w:bCs/>
          <w:sz w:val="24"/>
        </w:rPr>
      </w:pPr>
    </w:p>
    <w:p>
      <w:pPr>
        <w:spacing w:line="360" w:lineRule="atLeast"/>
        <w:jc w:val="center"/>
        <w:rPr>
          <w:rFonts w:ascii="黑体" w:hAnsi="仿宋" w:eastAsia="黑体" w:cs="仿宋"/>
          <w:b/>
          <w:sz w:val="24"/>
          <w:lang w:val="en-GB"/>
        </w:rPr>
      </w:pPr>
      <w:r>
        <w:rPr>
          <w:rFonts w:hint="eastAsia" w:ascii="黑体" w:hAnsi="仿宋" w:eastAsia="黑体" w:cs="仿宋"/>
          <w:bCs/>
          <w:sz w:val="32"/>
          <w:szCs w:val="32"/>
          <w:lang w:val="en-GB"/>
        </w:rPr>
        <w:t>保证金汇款声明函（</w:t>
      </w:r>
      <w:r>
        <w:rPr>
          <w:rFonts w:hint="eastAsia" w:ascii="黑体" w:hAnsi="仿宋" w:eastAsia="黑体" w:cs="仿宋"/>
          <w:bCs/>
          <w:sz w:val="32"/>
          <w:szCs w:val="32"/>
        </w:rPr>
        <w:t>格式</w:t>
      </w:r>
      <w:r>
        <w:rPr>
          <w:rFonts w:hint="eastAsia" w:ascii="黑体" w:hAnsi="仿宋" w:eastAsia="黑体" w:cs="仿宋"/>
          <w:bCs/>
          <w:sz w:val="32"/>
          <w:szCs w:val="32"/>
          <w:lang w:val="en-GB"/>
        </w:rPr>
        <w:t>）</w:t>
      </w:r>
    </w:p>
    <w:p>
      <w:pPr>
        <w:pStyle w:val="12"/>
        <w:spacing w:line="500" w:lineRule="exact"/>
        <w:rPr>
          <w:rFonts w:hAnsi="宋体"/>
          <w:sz w:val="24"/>
          <w:szCs w:val="24"/>
        </w:rPr>
      </w:pPr>
      <w:r>
        <w:rPr>
          <w:rFonts w:hint="eastAsia" w:hAnsi="宋体"/>
          <w:sz w:val="24"/>
          <w:szCs w:val="24"/>
        </w:rPr>
        <w:t>致：</w:t>
      </w:r>
      <w:r>
        <w:rPr>
          <w:rFonts w:hint="eastAsia" w:hAnsi="宋体"/>
          <w:b/>
          <w:bCs/>
          <w:sz w:val="24"/>
          <w:szCs w:val="24"/>
        </w:rPr>
        <w:t>陕西德勤招标有限公司</w:t>
      </w:r>
    </w:p>
    <w:p>
      <w:pPr>
        <w:pStyle w:val="12"/>
        <w:spacing w:line="500" w:lineRule="exact"/>
        <w:ind w:left="-120" w:leftChars="-57" w:firstLine="600" w:firstLineChars="250"/>
        <w:rPr>
          <w:rFonts w:hAnsi="宋体"/>
          <w:sz w:val="24"/>
          <w:szCs w:val="24"/>
        </w:rPr>
      </w:pPr>
      <w:r>
        <w:rPr>
          <w:rFonts w:hint="eastAsia" w:hAnsi="宋体"/>
          <w:sz w:val="24"/>
          <w:szCs w:val="24"/>
        </w:rPr>
        <w:t>我方为</w:t>
      </w:r>
      <w:r>
        <w:rPr>
          <w:rFonts w:hint="eastAsia" w:hAnsi="宋体"/>
          <w:sz w:val="24"/>
          <w:szCs w:val="24"/>
          <w:u w:val="single"/>
        </w:rPr>
        <w:t xml:space="preserve">              项目</w:t>
      </w:r>
      <w:r>
        <w:rPr>
          <w:rFonts w:hint="eastAsia" w:hAnsi="宋体"/>
          <w:sz w:val="24"/>
          <w:szCs w:val="24"/>
        </w:rPr>
        <w:t>（</w:t>
      </w:r>
      <w:r>
        <w:rPr>
          <w:rFonts w:hint="eastAsia" w:hAnsi="宋体"/>
          <w:sz w:val="24"/>
          <w:szCs w:val="24"/>
          <w:u w:val="single"/>
        </w:rPr>
        <w:t xml:space="preserve">项目编号：          </w:t>
      </w:r>
      <w:r>
        <w:rPr>
          <w:rFonts w:hint="eastAsia" w:hAnsi="宋体"/>
          <w:sz w:val="24"/>
          <w:szCs w:val="24"/>
        </w:rPr>
        <w:t>）递交磋商保证金人民币</w:t>
      </w:r>
      <w:r>
        <w:rPr>
          <w:rFonts w:hint="eastAsia" w:hAnsi="宋体"/>
          <w:sz w:val="24"/>
          <w:szCs w:val="24"/>
          <w:u w:val="single"/>
        </w:rPr>
        <w:t xml:space="preserve">   </w:t>
      </w:r>
      <w:r>
        <w:rPr>
          <w:rFonts w:hint="eastAsia" w:hAnsi="宋体"/>
          <w:sz w:val="24"/>
          <w:szCs w:val="24"/>
        </w:rPr>
        <w:t>元（大写：人民币</w:t>
      </w:r>
      <w:r>
        <w:rPr>
          <w:rFonts w:hint="eastAsia" w:hAnsi="宋体"/>
          <w:sz w:val="24"/>
          <w:szCs w:val="24"/>
          <w:u w:val="single"/>
        </w:rPr>
        <w:t xml:space="preserve">                </w:t>
      </w:r>
      <w:r>
        <w:rPr>
          <w:rFonts w:hint="eastAsia" w:hAnsi="宋体"/>
          <w:sz w:val="24"/>
          <w:szCs w:val="24"/>
        </w:rPr>
        <w:t>元）已于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日以银行主动划账方式划入你方账户。</w:t>
      </w:r>
    </w:p>
    <w:p>
      <w:pPr>
        <w:pStyle w:val="12"/>
        <w:spacing w:line="500" w:lineRule="exact"/>
        <w:ind w:left="-120" w:leftChars="-57" w:firstLine="602" w:firstLineChars="250"/>
        <w:rPr>
          <w:rFonts w:hAnsi="宋体"/>
          <w:b/>
          <w:bCs/>
          <w:sz w:val="24"/>
          <w:szCs w:val="24"/>
          <w:u w:val="single"/>
        </w:rPr>
      </w:pPr>
      <w:r>
        <w:rPr>
          <w:rFonts w:hint="eastAsia" w:hAnsi="宋体"/>
          <w:b/>
          <w:bCs/>
          <w:sz w:val="24"/>
          <w:szCs w:val="24"/>
          <w:u w:val="single"/>
        </w:rPr>
        <w:t>详见附件：银行出具的汇款单或转账凭证复印件。</w:t>
      </w:r>
    </w:p>
    <w:p>
      <w:pPr>
        <w:pStyle w:val="12"/>
        <w:spacing w:line="500" w:lineRule="exact"/>
        <w:ind w:left="-120" w:leftChars="-57" w:firstLine="600" w:firstLineChars="250"/>
        <w:rPr>
          <w:rFonts w:hAnsi="宋体"/>
          <w:b/>
          <w:bCs/>
          <w:sz w:val="24"/>
          <w:szCs w:val="24"/>
          <w:u w:val="single"/>
        </w:rPr>
      </w:pPr>
      <w:r>
        <w:rPr>
          <w:rFonts w:hint="eastAsia" w:hAnsi="宋体"/>
          <w:sz w:val="24"/>
          <w:szCs w:val="24"/>
        </w:rPr>
        <w:t>我方理解并保证：</w:t>
      </w:r>
      <w:r>
        <w:rPr>
          <w:rFonts w:hint="eastAsia" w:hAnsi="宋体"/>
          <w:b/>
          <w:bCs/>
          <w:sz w:val="24"/>
          <w:szCs w:val="24"/>
          <w:u w:val="single"/>
        </w:rPr>
        <w:t>磋商保证金应在磋商文件规定的时间到达贵方指定的账户，对于磋商保证金未在磋商文件规定的时间到达贵方指定的账户而有可能导致的响应无效，责任由我方承担。</w:t>
      </w:r>
    </w:p>
    <w:p>
      <w:pPr>
        <w:pStyle w:val="12"/>
        <w:spacing w:line="500" w:lineRule="exact"/>
        <w:ind w:left="-120" w:leftChars="-57" w:firstLine="602" w:firstLineChars="250"/>
        <w:rPr>
          <w:rFonts w:hAnsi="宋体"/>
          <w:b/>
          <w:bCs/>
          <w:sz w:val="24"/>
          <w:szCs w:val="24"/>
          <w:u w:val="single"/>
        </w:rPr>
      </w:pPr>
      <w:r>
        <w:rPr>
          <w:rFonts w:hint="eastAsia" w:hAnsi="宋体"/>
          <w:b/>
          <w:bCs/>
          <w:sz w:val="24"/>
          <w:szCs w:val="24"/>
          <w:u w:val="single"/>
        </w:rPr>
        <w:t>退还保证金时请按转出原账户划入我方账户。</w:t>
      </w:r>
    </w:p>
    <w:p>
      <w:pPr>
        <w:pStyle w:val="12"/>
        <w:spacing w:line="500" w:lineRule="exact"/>
        <w:ind w:left="-120" w:leftChars="-57" w:firstLine="600" w:firstLineChars="250"/>
        <w:rPr>
          <w:rFonts w:hAnsi="宋体"/>
          <w:sz w:val="24"/>
          <w:szCs w:val="24"/>
        </w:rPr>
      </w:pPr>
    </w:p>
    <w:p>
      <w:pPr>
        <w:pStyle w:val="12"/>
        <w:spacing w:line="500" w:lineRule="exact"/>
        <w:ind w:left="-120" w:leftChars="-57" w:firstLine="600" w:firstLineChars="250"/>
        <w:rPr>
          <w:rFonts w:hAnsi="宋体"/>
          <w:sz w:val="24"/>
          <w:szCs w:val="24"/>
        </w:rPr>
      </w:pPr>
    </w:p>
    <w:tbl>
      <w:tblPr>
        <w:tblStyle w:val="22"/>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jc w:val="center"/>
        </w:trPr>
        <w:tc>
          <w:tcPr>
            <w:tcW w:w="8860" w:type="dxa"/>
            <w:vAlign w:val="center"/>
          </w:tcPr>
          <w:p>
            <w:pPr>
              <w:pStyle w:val="12"/>
              <w:spacing w:line="500" w:lineRule="exact"/>
              <w:jc w:val="center"/>
              <w:rPr>
                <w:rFonts w:hAnsi="宋体"/>
                <w:sz w:val="24"/>
                <w:szCs w:val="24"/>
              </w:rPr>
            </w:pPr>
            <w:r>
              <w:rPr>
                <w:rFonts w:hint="eastAsia" w:hAnsi="宋体"/>
                <w:sz w:val="24"/>
                <w:szCs w:val="24"/>
              </w:rPr>
              <w:t>凭证复印件（加盖公章）。</w:t>
            </w:r>
          </w:p>
        </w:tc>
      </w:tr>
    </w:tbl>
    <w:p>
      <w:pPr>
        <w:pStyle w:val="12"/>
        <w:spacing w:line="500" w:lineRule="exact"/>
        <w:ind w:left="-120" w:leftChars="-57" w:firstLine="600" w:firstLineChars="250"/>
        <w:rPr>
          <w:rFonts w:hAnsi="宋体"/>
          <w:sz w:val="24"/>
          <w:szCs w:val="24"/>
        </w:rPr>
      </w:pPr>
    </w:p>
    <w:p>
      <w:pPr>
        <w:pStyle w:val="12"/>
        <w:spacing w:line="500" w:lineRule="exact"/>
        <w:ind w:left="-120" w:leftChars="-57" w:firstLine="600" w:firstLineChars="250"/>
        <w:rPr>
          <w:rFonts w:hAnsi="宋体"/>
          <w:sz w:val="24"/>
          <w:szCs w:val="24"/>
        </w:rPr>
      </w:pPr>
    </w:p>
    <w:p>
      <w:pPr>
        <w:pStyle w:val="12"/>
        <w:spacing w:line="500" w:lineRule="exact"/>
        <w:ind w:left="-120" w:leftChars="-57" w:firstLine="600" w:firstLineChars="250"/>
        <w:rPr>
          <w:rFonts w:hAnsi="宋体"/>
          <w:sz w:val="24"/>
          <w:szCs w:val="24"/>
        </w:rPr>
      </w:pPr>
    </w:p>
    <w:p>
      <w:pPr>
        <w:spacing w:line="360" w:lineRule="auto"/>
        <w:ind w:firstLine="480" w:firstLineChars="200"/>
        <w:rPr>
          <w:rFonts w:ascii="宋体" w:hAnsi="宋体"/>
          <w:sz w:val="24"/>
          <w:u w:val="single"/>
        </w:rPr>
      </w:pPr>
      <w:r>
        <w:rPr>
          <w:rFonts w:hint="eastAsia" w:ascii="宋体" w:hAnsi="宋体"/>
          <w:sz w:val="24"/>
        </w:rPr>
        <w:t>供应商法定代表人（或法定代表人授权代表）签字：</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供应商名称（盖章）：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pacing w:line="360" w:lineRule="auto"/>
        <w:ind w:firstLine="480" w:firstLineChars="200"/>
        <w:rPr>
          <w:rFonts w:ascii="宋体" w:hAnsi="宋体"/>
          <w:sz w:val="24"/>
        </w:rPr>
      </w:pPr>
      <w:r>
        <w:rPr>
          <w:rFonts w:hint="eastAsia" w:ascii="宋体" w:hAnsi="宋体"/>
          <w:sz w:val="24"/>
        </w:rPr>
        <w:br w:type="page"/>
      </w:r>
    </w:p>
    <w:p>
      <w:pPr>
        <w:spacing w:line="360" w:lineRule="atLeast"/>
        <w:jc w:val="center"/>
        <w:rPr>
          <w:rFonts w:ascii="黑体" w:hAnsi="仿宋" w:eastAsia="黑体" w:cs="黑体"/>
          <w:sz w:val="32"/>
          <w:szCs w:val="32"/>
          <w:lang w:val="en-GB"/>
        </w:rPr>
      </w:pPr>
      <w:r>
        <w:rPr>
          <w:rFonts w:hint="eastAsia" w:ascii="黑体" w:hAnsi="仿宋" w:eastAsia="黑体" w:cs="黑体"/>
          <w:sz w:val="32"/>
          <w:szCs w:val="32"/>
          <w:lang w:val="en-GB"/>
        </w:rPr>
        <w:t>保</w:t>
      </w:r>
      <w:r>
        <w:rPr>
          <w:rFonts w:hint="eastAsia" w:ascii="黑体" w:hAnsi="仿宋" w:eastAsia="黑体" w:cs="黑体"/>
          <w:sz w:val="32"/>
          <w:szCs w:val="32"/>
        </w:rPr>
        <w:t>函</w:t>
      </w:r>
      <w:r>
        <w:rPr>
          <w:rFonts w:hint="eastAsia" w:ascii="黑体" w:hAnsi="仿宋" w:eastAsia="黑体" w:cs="黑体"/>
          <w:sz w:val="32"/>
          <w:szCs w:val="32"/>
          <w:lang w:val="en-GB"/>
        </w:rPr>
        <w:t>（</w:t>
      </w:r>
      <w:r>
        <w:rPr>
          <w:rFonts w:hint="eastAsia" w:ascii="黑体" w:hAnsi="仿宋" w:eastAsia="黑体" w:cs="黑体"/>
          <w:sz w:val="32"/>
          <w:szCs w:val="32"/>
        </w:rPr>
        <w:t>原件</w:t>
      </w:r>
      <w:r>
        <w:rPr>
          <w:rFonts w:hint="eastAsia" w:ascii="黑体" w:hAnsi="仿宋" w:eastAsia="黑体" w:cs="黑体"/>
          <w:sz w:val="32"/>
          <w:szCs w:val="32"/>
          <w:lang w:val="en-GB"/>
        </w:rPr>
        <w:t>）</w:t>
      </w:r>
    </w:p>
    <w:p>
      <w:pPr>
        <w:spacing w:line="360" w:lineRule="auto"/>
        <w:jc w:val="center"/>
        <w:rPr>
          <w:rFonts w:ascii="黑体" w:hAnsi="仿宋" w:eastAsia="黑体" w:cs="黑体"/>
          <w:sz w:val="24"/>
          <w:u w:val="single"/>
          <w:lang w:val="en-GB"/>
        </w:rPr>
      </w:pPr>
      <w:r>
        <w:rPr>
          <w:rFonts w:hint="eastAsia" w:ascii="黑体" w:hAnsi="仿宋" w:eastAsia="黑体" w:cs="黑体"/>
          <w:sz w:val="24"/>
          <w:u w:val="single"/>
          <w:lang w:val="en-GB"/>
        </w:rPr>
        <w:t>（</w:t>
      </w:r>
      <w:r>
        <w:rPr>
          <w:rFonts w:hint="eastAsia" w:ascii="黑体" w:hAnsi="仿宋" w:eastAsia="黑体" w:cs="黑体"/>
          <w:sz w:val="24"/>
          <w:u w:val="single"/>
        </w:rPr>
        <w:t>以保函形式提交磋商保证金时提供</w:t>
      </w:r>
      <w:r>
        <w:rPr>
          <w:rFonts w:hint="eastAsia" w:ascii="黑体" w:hAnsi="仿宋" w:eastAsia="黑体" w:cs="黑体"/>
          <w:sz w:val="24"/>
          <w:u w:val="single"/>
          <w:lang w:val="en-GB"/>
        </w:rPr>
        <w:t>）</w:t>
      </w:r>
    </w:p>
    <w:p>
      <w:pPr>
        <w:spacing w:line="360" w:lineRule="auto"/>
        <w:ind w:firstLine="482" w:firstLineChars="200"/>
        <w:rPr>
          <w:rFonts w:ascii="宋体" w:hAnsi="宋体"/>
          <w:b/>
          <w:bCs/>
          <w:sz w:val="24"/>
        </w:rPr>
      </w:pPr>
      <w:r>
        <w:rPr>
          <w:rFonts w:hint="eastAsia" w:ascii="宋体" w:hAnsi="宋体"/>
          <w:b/>
          <w:bCs/>
          <w:sz w:val="24"/>
        </w:rPr>
        <w:br w:type="page"/>
      </w:r>
    </w:p>
    <w:p>
      <w:pPr>
        <w:spacing w:line="360" w:lineRule="auto"/>
        <w:ind w:firstLine="482" w:firstLineChars="200"/>
        <w:rPr>
          <w:rFonts w:ascii="宋体" w:hAnsi="宋体"/>
          <w:b/>
          <w:bCs/>
          <w:sz w:val="24"/>
        </w:rPr>
      </w:pPr>
      <w:r>
        <w:rPr>
          <w:rFonts w:hint="eastAsia" w:ascii="宋体" w:hAnsi="宋体"/>
          <w:b/>
          <w:bCs/>
          <w:sz w:val="24"/>
        </w:rPr>
        <w:t>1.3法定代表人授权书/法定代表人证明书</w:t>
      </w:r>
    </w:p>
    <w:p>
      <w:pPr>
        <w:spacing w:line="360" w:lineRule="auto"/>
        <w:jc w:val="center"/>
        <w:rPr>
          <w:rFonts w:ascii="黑体" w:hAnsi="仿宋" w:eastAsia="黑体" w:cs="仿宋"/>
          <w:bCs/>
          <w:sz w:val="32"/>
          <w:szCs w:val="32"/>
        </w:rPr>
      </w:pPr>
      <w:bookmarkStart w:id="230" w:name="_Toc14010"/>
      <w:bookmarkStart w:id="231" w:name="_Toc5877"/>
      <w:bookmarkStart w:id="232" w:name="_Toc31350"/>
      <w:r>
        <w:rPr>
          <w:rFonts w:hint="eastAsia" w:ascii="黑体" w:hAnsi="仿宋" w:eastAsia="黑体" w:cs="仿宋"/>
          <w:bCs/>
          <w:sz w:val="32"/>
          <w:szCs w:val="32"/>
        </w:rPr>
        <w:t>法定代表人授权书（格式）</w:t>
      </w:r>
      <w:bookmarkEnd w:id="230"/>
      <w:bookmarkEnd w:id="231"/>
      <w:bookmarkEnd w:id="232"/>
    </w:p>
    <w:p>
      <w:pPr>
        <w:spacing w:line="360" w:lineRule="auto"/>
        <w:jc w:val="center"/>
        <w:rPr>
          <w:rFonts w:ascii="黑体" w:hAnsi="仿宋" w:eastAsia="黑体" w:cs="仿宋"/>
          <w:bCs/>
          <w:sz w:val="32"/>
          <w:szCs w:val="32"/>
        </w:rPr>
      </w:pPr>
      <w:bookmarkStart w:id="233" w:name="_Toc27240"/>
      <w:bookmarkStart w:id="234" w:name="_Toc15295"/>
      <w:bookmarkStart w:id="235" w:name="_Toc1840"/>
      <w:r>
        <w:rPr>
          <w:rFonts w:hint="eastAsia" w:ascii="黑体" w:hAnsi="仿宋" w:eastAsia="黑体" w:cs="仿宋"/>
          <w:bCs/>
          <w:sz w:val="24"/>
          <w:u w:val="single"/>
        </w:rPr>
        <w:t>（非法定代表人直接参加磋商会议时提供</w:t>
      </w:r>
      <w:r>
        <w:rPr>
          <w:rFonts w:hint="eastAsia" w:ascii="黑体" w:hAnsi="仿宋" w:eastAsia="黑体" w:cs="仿宋"/>
          <w:bCs/>
          <w:sz w:val="32"/>
          <w:szCs w:val="32"/>
        </w:rPr>
        <w:t>）</w:t>
      </w:r>
      <w:bookmarkEnd w:id="233"/>
      <w:bookmarkEnd w:id="234"/>
      <w:bookmarkEnd w:id="235"/>
    </w:p>
    <w:p>
      <w:pPr>
        <w:spacing w:line="360" w:lineRule="auto"/>
        <w:rPr>
          <w:rFonts w:ascii="宋体" w:hAnsi="宋体"/>
          <w:b/>
          <w:bCs/>
          <w:sz w:val="24"/>
        </w:rPr>
      </w:pPr>
      <w:r>
        <w:rPr>
          <w:rFonts w:hint="eastAsia" w:ascii="宋体" w:hAnsi="宋体"/>
          <w:sz w:val="24"/>
        </w:rPr>
        <w:t>致：</w:t>
      </w:r>
      <w:r>
        <w:rPr>
          <w:rFonts w:hint="eastAsia" w:ascii="宋体" w:hAnsi="宋体"/>
          <w:b/>
          <w:bCs/>
          <w:sz w:val="24"/>
        </w:rPr>
        <w:t>陕西德勤招标有限公司</w:t>
      </w:r>
    </w:p>
    <w:p>
      <w:pPr>
        <w:pStyle w:val="12"/>
        <w:spacing w:line="500" w:lineRule="exact"/>
        <w:ind w:left="-120" w:leftChars="-57" w:firstLine="600" w:firstLineChars="250"/>
        <w:rPr>
          <w:rFonts w:hAnsi="宋体"/>
          <w:sz w:val="24"/>
          <w:szCs w:val="24"/>
        </w:rPr>
      </w:pPr>
      <w:r>
        <w:rPr>
          <w:rFonts w:hint="eastAsia" w:hAnsi="宋体"/>
          <w:sz w:val="24"/>
          <w:szCs w:val="24"/>
        </w:rPr>
        <w:t>本授权书声明：注册于（</w:t>
      </w:r>
      <w:r>
        <w:rPr>
          <w:rFonts w:hint="eastAsia" w:hAnsi="宋体"/>
          <w:sz w:val="24"/>
          <w:szCs w:val="24"/>
          <w:u w:val="single"/>
        </w:rPr>
        <w:t xml:space="preserve"> 工商行政管理局名称）之（委托单位全称） </w:t>
      </w:r>
      <w:r>
        <w:rPr>
          <w:rFonts w:hint="eastAsia" w:hAnsi="宋体"/>
          <w:sz w:val="24"/>
          <w:szCs w:val="24"/>
        </w:rPr>
        <w:t>的法定代表人</w:t>
      </w:r>
      <w:r>
        <w:rPr>
          <w:rFonts w:hint="eastAsia" w:hAnsi="宋体"/>
          <w:sz w:val="24"/>
          <w:szCs w:val="24"/>
          <w:u w:val="single"/>
        </w:rPr>
        <w:t>（姓名、性别）</w:t>
      </w:r>
      <w:r>
        <w:rPr>
          <w:rFonts w:hint="eastAsia" w:hAnsi="宋体"/>
          <w:sz w:val="24"/>
          <w:szCs w:val="24"/>
        </w:rPr>
        <w:t>授权本公司的</w:t>
      </w:r>
      <w:r>
        <w:rPr>
          <w:rFonts w:hint="eastAsia" w:hAnsi="宋体"/>
          <w:sz w:val="24"/>
          <w:szCs w:val="24"/>
          <w:u w:val="single"/>
        </w:rPr>
        <w:t>（被授权人姓名、性别、职务）</w:t>
      </w:r>
      <w:r>
        <w:rPr>
          <w:rFonts w:hint="eastAsia" w:hAnsi="宋体"/>
          <w:sz w:val="24"/>
          <w:szCs w:val="24"/>
        </w:rPr>
        <w:t>为合法代理人，就贵方组织的有关</w:t>
      </w:r>
      <w:r>
        <w:rPr>
          <w:rFonts w:hint="eastAsia" w:hAnsi="宋体"/>
          <w:sz w:val="24"/>
          <w:szCs w:val="24"/>
          <w:u w:val="single"/>
        </w:rPr>
        <w:t>（采购项目名称）</w:t>
      </w:r>
      <w:r>
        <w:rPr>
          <w:rFonts w:hint="eastAsia" w:hAnsi="宋体"/>
          <w:sz w:val="24"/>
          <w:szCs w:val="24"/>
        </w:rPr>
        <w:t>（项目编号：</w:t>
      </w:r>
      <w:r>
        <w:rPr>
          <w:rFonts w:hint="eastAsia" w:hAnsi="宋体"/>
          <w:sz w:val="24"/>
          <w:szCs w:val="24"/>
          <w:u w:val="single"/>
        </w:rPr>
        <w:t xml:space="preserve">                 </w:t>
      </w:r>
      <w:r>
        <w:rPr>
          <w:rFonts w:hint="eastAsia" w:hAnsi="宋体"/>
          <w:sz w:val="24"/>
          <w:szCs w:val="24"/>
        </w:rPr>
        <w:t>）的响应、洽谈、执行等具体事务，签署全部有关响应文件、文书、协议、合同，本公司对被授权人在本项目中的签名承担全部法律责任。本授权书自磋商会议之日起计算有效期为</w:t>
      </w:r>
      <w:r>
        <w:rPr>
          <w:rFonts w:hint="eastAsia" w:hAnsi="宋体"/>
          <w:sz w:val="24"/>
          <w:szCs w:val="24"/>
          <w:u w:val="single"/>
        </w:rPr>
        <w:t>90</w:t>
      </w:r>
      <w:r>
        <w:rPr>
          <w:rFonts w:hint="eastAsia" w:hAnsi="宋体"/>
          <w:sz w:val="24"/>
          <w:szCs w:val="24"/>
        </w:rPr>
        <w:t>天。</w:t>
      </w:r>
    </w:p>
    <w:p>
      <w:pPr>
        <w:pStyle w:val="12"/>
        <w:spacing w:line="500" w:lineRule="exact"/>
        <w:ind w:firstLine="480" w:firstLineChars="200"/>
        <w:rPr>
          <w:rFonts w:hAnsi="宋体"/>
          <w:sz w:val="24"/>
          <w:szCs w:val="24"/>
        </w:rPr>
      </w:pPr>
      <w:r>
        <w:rPr>
          <w:rFonts w:hint="eastAsia" w:hAnsi="宋体"/>
          <w:sz w:val="24"/>
          <w:szCs w:val="24"/>
        </w:rPr>
        <w:t>委托单位：</w:t>
      </w:r>
      <w:r>
        <w:rPr>
          <w:rFonts w:hint="eastAsia" w:hAnsi="宋体"/>
          <w:sz w:val="24"/>
          <w:szCs w:val="24"/>
          <w:u w:val="single"/>
        </w:rPr>
        <w:t xml:space="preserve">    </w:t>
      </w:r>
      <w:r>
        <w:rPr>
          <w:rFonts w:hint="eastAsia" w:hAnsi="宋体"/>
          <w:sz w:val="24"/>
          <w:szCs w:val="24"/>
        </w:rPr>
        <w:t>（公章）                  法定代表人（签字）：</w:t>
      </w:r>
    </w:p>
    <w:p>
      <w:pPr>
        <w:pStyle w:val="12"/>
        <w:spacing w:line="500" w:lineRule="exact"/>
        <w:ind w:firstLine="480" w:firstLineChars="200"/>
        <w:rPr>
          <w:rFonts w:hAnsi="宋体"/>
          <w:sz w:val="24"/>
          <w:szCs w:val="24"/>
        </w:rPr>
      </w:pPr>
      <w:r>
        <w:rPr>
          <w:rFonts w:hint="eastAsia" w:hAnsi="宋体"/>
          <w:sz w:val="24"/>
          <w:szCs w:val="24"/>
        </w:rPr>
        <w:t>签发日期：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12"/>
        <w:spacing w:line="500" w:lineRule="exact"/>
        <w:ind w:firstLine="480" w:firstLineChars="200"/>
        <w:rPr>
          <w:rFonts w:hAnsi="宋体"/>
          <w:sz w:val="24"/>
          <w:szCs w:val="24"/>
        </w:rPr>
      </w:pPr>
      <w:r>
        <w:rPr>
          <w:rFonts w:hint="eastAsia" w:hAnsi="宋体"/>
          <w:sz w:val="24"/>
          <w:szCs w:val="24"/>
        </w:rPr>
        <w:t>附：被授权人姓名（签字）：</w:t>
      </w:r>
      <w:r>
        <w:rPr>
          <w:rFonts w:hint="eastAsia" w:hAnsi="宋体"/>
          <w:sz w:val="24"/>
          <w:szCs w:val="24"/>
          <w:u w:val="single"/>
        </w:rPr>
        <w:t xml:space="preserve">              </w:t>
      </w:r>
      <w:r>
        <w:rPr>
          <w:rFonts w:hint="eastAsia" w:hAnsi="宋体"/>
          <w:sz w:val="24"/>
          <w:szCs w:val="24"/>
        </w:rPr>
        <w:t>性别：</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pStyle w:val="12"/>
        <w:spacing w:line="500" w:lineRule="exact"/>
        <w:ind w:firstLine="960" w:firstLineChars="400"/>
        <w:rPr>
          <w:rFonts w:hAnsi="宋体"/>
          <w:sz w:val="24"/>
          <w:szCs w:val="24"/>
          <w:u w:val="single"/>
        </w:rPr>
      </w:pPr>
      <w:r>
        <w:rPr>
          <w:rFonts w:hint="eastAsia" w:hAnsi="宋体"/>
          <w:sz w:val="24"/>
          <w:szCs w:val="24"/>
        </w:rPr>
        <w:t xml:space="preserve">联系地址：  </w:t>
      </w:r>
      <w:r>
        <w:rPr>
          <w:rFonts w:hint="eastAsia" w:hAnsi="宋体"/>
          <w:sz w:val="24"/>
          <w:szCs w:val="24"/>
          <w:u w:val="single"/>
        </w:rPr>
        <w:t xml:space="preserve">                                                </w:t>
      </w:r>
    </w:p>
    <w:p>
      <w:pPr>
        <w:pStyle w:val="12"/>
        <w:spacing w:line="500" w:lineRule="exact"/>
        <w:ind w:firstLine="960" w:firstLineChars="400"/>
        <w:rPr>
          <w:rFonts w:hAnsi="宋体"/>
          <w:sz w:val="24"/>
          <w:szCs w:val="24"/>
          <w:u w:val="single"/>
        </w:rPr>
      </w:pPr>
      <w:r>
        <w:rPr>
          <w:rFonts w:hint="eastAsia" w:hAnsi="宋体"/>
          <w:sz w:val="24"/>
          <w:szCs w:val="24"/>
        </w:rPr>
        <w:t>联系电话：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p>
    <w:p>
      <w:pPr>
        <w:pStyle w:val="12"/>
        <w:spacing w:line="500" w:lineRule="exact"/>
        <w:ind w:firstLine="2760" w:firstLineChars="1150"/>
        <w:rPr>
          <w:rFonts w:hAnsi="宋体"/>
          <w:sz w:val="24"/>
          <w:szCs w:val="24"/>
        </w:rPr>
      </w:pPr>
    </w:p>
    <w:p>
      <w:pPr>
        <w:pStyle w:val="12"/>
        <w:spacing w:line="500" w:lineRule="exact"/>
        <w:ind w:firstLine="2760" w:firstLineChars="1150"/>
        <w:rPr>
          <w:rFonts w:hAnsi="宋体"/>
          <w:sz w:val="24"/>
          <w:szCs w:val="24"/>
        </w:rPr>
      </w:pPr>
      <w:r>
        <w:rPr>
          <w:rFonts w:hint="eastAsia" w:hAnsi="宋体"/>
          <w:sz w:val="24"/>
          <w:szCs w:val="24"/>
        </w:rPr>
        <w:t>法定代表人/被授权人身份证复印件</w:t>
      </w:r>
    </w:p>
    <w:tbl>
      <w:tblPr>
        <w:tblStyle w:val="22"/>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03" w:hRule="atLeast"/>
          <w:jc w:val="center"/>
        </w:trPr>
        <w:tc>
          <w:tcPr>
            <w:tcW w:w="4213" w:type="dxa"/>
            <w:shd w:val="clear" w:color="auto" w:fill="E0E0E0"/>
            <w:vAlign w:val="center"/>
          </w:tcPr>
          <w:p>
            <w:pPr>
              <w:pStyle w:val="12"/>
              <w:snapToGrid w:val="0"/>
              <w:spacing w:line="500" w:lineRule="exact"/>
              <w:jc w:val="center"/>
              <w:rPr>
                <w:rFonts w:hAnsi="宋体"/>
                <w:sz w:val="24"/>
                <w:szCs w:val="24"/>
                <w:shd w:val="pct10" w:color="auto" w:fill="FFFFFF"/>
              </w:rPr>
            </w:pPr>
            <w:r>
              <w:rPr>
                <w:rFonts w:hint="eastAsia" w:hAnsi="宋体"/>
                <w:sz w:val="24"/>
                <w:szCs w:val="24"/>
                <w:shd w:val="pct10" w:color="auto" w:fill="FFFFFF"/>
              </w:rPr>
              <w:t>法定代表人身份证复印件（国徽面）</w:t>
            </w:r>
          </w:p>
        </w:tc>
        <w:tc>
          <w:tcPr>
            <w:tcW w:w="4213" w:type="dxa"/>
            <w:shd w:val="clear" w:color="auto" w:fill="E0E0E0"/>
            <w:vAlign w:val="center"/>
          </w:tcPr>
          <w:p>
            <w:pPr>
              <w:pStyle w:val="12"/>
              <w:snapToGrid w:val="0"/>
              <w:spacing w:line="500" w:lineRule="exact"/>
              <w:jc w:val="center"/>
              <w:rPr>
                <w:rFonts w:hAnsi="宋体"/>
                <w:sz w:val="24"/>
                <w:szCs w:val="24"/>
                <w:shd w:val="pct10" w:color="auto" w:fill="FFFFFF"/>
              </w:rPr>
            </w:pPr>
            <w:r>
              <w:rPr>
                <w:rFonts w:hint="eastAsia" w:hAnsi="宋体"/>
                <w:sz w:val="24"/>
                <w:szCs w:val="24"/>
                <w:shd w:val="pct10" w:color="auto" w:fill="FFFFFF"/>
              </w:rPr>
              <w:t>被授权人身份证复印件（国徽面）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213" w:type="dxa"/>
            <w:shd w:val="clear" w:color="auto" w:fill="E0E0E0"/>
            <w:vAlign w:val="center"/>
          </w:tcPr>
          <w:p>
            <w:pPr>
              <w:pStyle w:val="12"/>
              <w:snapToGrid w:val="0"/>
              <w:spacing w:line="500" w:lineRule="exact"/>
              <w:jc w:val="center"/>
              <w:rPr>
                <w:rFonts w:hAnsi="宋体"/>
                <w:sz w:val="24"/>
                <w:szCs w:val="24"/>
                <w:shd w:val="pct10" w:color="auto" w:fill="FFFFFF"/>
              </w:rPr>
            </w:pPr>
            <w:r>
              <w:rPr>
                <w:rFonts w:hint="eastAsia" w:hAnsi="宋体"/>
                <w:sz w:val="24"/>
                <w:szCs w:val="24"/>
                <w:shd w:val="pct10" w:color="auto" w:fill="FFFFFF"/>
              </w:rPr>
              <w:t>法定代表人身份证复印件（人像面）</w:t>
            </w:r>
          </w:p>
        </w:tc>
        <w:tc>
          <w:tcPr>
            <w:tcW w:w="4213" w:type="dxa"/>
            <w:shd w:val="clear" w:color="auto" w:fill="E0E0E0"/>
            <w:vAlign w:val="center"/>
          </w:tcPr>
          <w:p>
            <w:pPr>
              <w:pStyle w:val="12"/>
              <w:snapToGrid w:val="0"/>
              <w:spacing w:line="500" w:lineRule="exact"/>
              <w:jc w:val="center"/>
              <w:rPr>
                <w:rFonts w:hAnsi="宋体"/>
                <w:sz w:val="24"/>
                <w:szCs w:val="24"/>
                <w:shd w:val="pct10" w:color="auto" w:fill="FFFFFF"/>
              </w:rPr>
            </w:pPr>
            <w:r>
              <w:rPr>
                <w:rFonts w:hint="eastAsia" w:hAnsi="宋体"/>
                <w:sz w:val="24"/>
                <w:szCs w:val="24"/>
                <w:shd w:val="pct10" w:color="auto" w:fill="FFFFFF"/>
              </w:rPr>
              <w:t>被授权人身份证复印件（人像面）</w:t>
            </w:r>
          </w:p>
        </w:tc>
      </w:tr>
    </w:tbl>
    <w:p>
      <w:pPr>
        <w:spacing w:line="360" w:lineRule="auto"/>
        <w:ind w:firstLine="640" w:firstLineChars="200"/>
        <w:rPr>
          <w:rFonts w:ascii="黑体" w:hAnsi="仿宋" w:eastAsia="黑体" w:cs="仿宋"/>
          <w:bCs/>
          <w:sz w:val="32"/>
          <w:szCs w:val="32"/>
        </w:rPr>
      </w:pPr>
      <w:bookmarkStart w:id="236" w:name="_Toc3011"/>
      <w:bookmarkStart w:id="237" w:name="_Toc9280"/>
      <w:bookmarkStart w:id="238" w:name="_Toc18951"/>
      <w:r>
        <w:rPr>
          <w:rFonts w:hint="eastAsia" w:ascii="黑体" w:hAnsi="仿宋" w:eastAsia="黑体" w:cs="黑体"/>
          <w:sz w:val="32"/>
          <w:szCs w:val="32"/>
        </w:rPr>
        <w:t>注：签字不能以签字章代替！</w:t>
      </w:r>
    </w:p>
    <w:p>
      <w:pPr>
        <w:spacing w:line="360" w:lineRule="auto"/>
        <w:jc w:val="center"/>
        <w:rPr>
          <w:rFonts w:ascii="黑体" w:hAnsi="仿宋" w:eastAsia="黑体" w:cs="仿宋"/>
          <w:bCs/>
          <w:sz w:val="32"/>
          <w:szCs w:val="32"/>
        </w:rPr>
      </w:pPr>
      <w:r>
        <w:rPr>
          <w:rFonts w:hint="eastAsia" w:ascii="黑体" w:hAnsi="仿宋" w:eastAsia="黑体" w:cs="仿宋"/>
          <w:bCs/>
          <w:sz w:val="32"/>
          <w:szCs w:val="32"/>
        </w:rPr>
        <w:t>法定代表人证明书（格式）</w:t>
      </w:r>
      <w:bookmarkEnd w:id="236"/>
      <w:bookmarkEnd w:id="237"/>
      <w:bookmarkEnd w:id="238"/>
    </w:p>
    <w:p>
      <w:pPr>
        <w:spacing w:line="360" w:lineRule="auto"/>
        <w:jc w:val="center"/>
        <w:rPr>
          <w:rFonts w:ascii="黑体" w:hAnsi="仿宋" w:eastAsia="黑体" w:cs="仿宋"/>
          <w:bCs/>
          <w:sz w:val="24"/>
          <w:u w:val="single"/>
        </w:rPr>
      </w:pPr>
      <w:bookmarkStart w:id="239" w:name="_Toc29574"/>
      <w:bookmarkStart w:id="240" w:name="_Toc6023"/>
      <w:bookmarkStart w:id="241" w:name="_Toc14682"/>
      <w:r>
        <w:rPr>
          <w:rFonts w:hint="eastAsia" w:ascii="黑体" w:hAnsi="仿宋" w:eastAsia="黑体" w:cs="仿宋"/>
          <w:bCs/>
          <w:sz w:val="24"/>
          <w:u w:val="single"/>
        </w:rPr>
        <w:t>（法定代表人直接参加磋商会议时提供）</w:t>
      </w:r>
      <w:bookmarkEnd w:id="239"/>
      <w:bookmarkEnd w:id="240"/>
      <w:bookmarkEnd w:id="241"/>
    </w:p>
    <w:p>
      <w:pPr>
        <w:spacing w:line="360" w:lineRule="atLeast"/>
        <w:jc w:val="center"/>
        <w:rPr>
          <w:rFonts w:ascii="黑体" w:hAnsi="仿宋" w:eastAsia="黑体" w:cs="仿宋"/>
          <w:b/>
          <w:sz w:val="24"/>
        </w:rPr>
      </w:pP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065"/>
        <w:gridCol w:w="2060"/>
        <w:gridCol w:w="176"/>
        <w:gridCol w:w="206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vAlign w:val="center"/>
          </w:tcPr>
          <w:p>
            <w:pPr>
              <w:tabs>
                <w:tab w:val="left" w:pos="210"/>
              </w:tabs>
              <w:spacing w:line="320" w:lineRule="exact"/>
              <w:rPr>
                <w:rFonts w:ascii="宋体" w:hAnsi="宋体"/>
                <w:kern w:val="0"/>
                <w:sz w:val="24"/>
              </w:rPr>
            </w:pPr>
            <w:r>
              <w:rPr>
                <w:rFonts w:hint="eastAsia" w:ascii="宋体" w:hAnsi="宋体"/>
                <w:kern w:val="0"/>
                <w:sz w:val="24"/>
              </w:rPr>
              <w:t>致：陕西德勤招标有限公司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pPr>
              <w:tabs>
                <w:tab w:val="left" w:pos="210"/>
              </w:tabs>
              <w:spacing w:line="320" w:lineRule="exact"/>
              <w:jc w:val="center"/>
              <w:rPr>
                <w:rFonts w:ascii="宋体" w:hAnsi="宋体"/>
                <w:kern w:val="0"/>
                <w:sz w:val="24"/>
              </w:rPr>
            </w:pPr>
            <w:r>
              <w:rPr>
                <w:rFonts w:hint="eastAsia" w:ascii="宋体" w:hAnsi="宋体"/>
                <w:kern w:val="0"/>
                <w:sz w:val="24"/>
              </w:rPr>
              <w:t>企</w:t>
            </w:r>
          </w:p>
          <w:p>
            <w:pPr>
              <w:tabs>
                <w:tab w:val="left" w:pos="210"/>
              </w:tabs>
              <w:spacing w:line="320" w:lineRule="exact"/>
              <w:jc w:val="center"/>
              <w:rPr>
                <w:rFonts w:ascii="宋体" w:hAnsi="宋体"/>
                <w:kern w:val="0"/>
                <w:sz w:val="24"/>
              </w:rPr>
            </w:pPr>
          </w:p>
          <w:p>
            <w:pPr>
              <w:tabs>
                <w:tab w:val="left" w:pos="210"/>
              </w:tabs>
              <w:spacing w:line="320" w:lineRule="exact"/>
              <w:jc w:val="center"/>
              <w:rPr>
                <w:rFonts w:ascii="宋体" w:hAnsi="宋体"/>
                <w:kern w:val="0"/>
                <w:sz w:val="24"/>
              </w:rPr>
            </w:pPr>
            <w:r>
              <w:rPr>
                <w:rFonts w:hint="eastAsia" w:ascii="宋体" w:hAnsi="宋体"/>
                <w:kern w:val="0"/>
                <w:sz w:val="24"/>
              </w:rPr>
              <w:t>业</w:t>
            </w:r>
          </w:p>
          <w:p>
            <w:pPr>
              <w:tabs>
                <w:tab w:val="left" w:pos="210"/>
              </w:tabs>
              <w:spacing w:line="320" w:lineRule="exact"/>
              <w:jc w:val="center"/>
              <w:rPr>
                <w:rFonts w:ascii="宋体" w:hAnsi="宋体"/>
                <w:kern w:val="0"/>
                <w:sz w:val="24"/>
              </w:rPr>
            </w:pPr>
          </w:p>
          <w:p>
            <w:pPr>
              <w:tabs>
                <w:tab w:val="left" w:pos="210"/>
              </w:tabs>
              <w:spacing w:line="320" w:lineRule="exact"/>
              <w:jc w:val="center"/>
              <w:rPr>
                <w:rFonts w:ascii="宋体" w:hAnsi="宋体"/>
                <w:kern w:val="0"/>
                <w:sz w:val="24"/>
              </w:rPr>
            </w:pPr>
            <w:r>
              <w:rPr>
                <w:rFonts w:hint="eastAsia" w:ascii="宋体" w:hAnsi="宋体"/>
                <w:kern w:val="0"/>
                <w:sz w:val="24"/>
              </w:rPr>
              <w:t>法</w:t>
            </w:r>
          </w:p>
          <w:p>
            <w:pPr>
              <w:tabs>
                <w:tab w:val="left" w:pos="210"/>
              </w:tabs>
              <w:spacing w:line="320" w:lineRule="exact"/>
              <w:jc w:val="center"/>
              <w:rPr>
                <w:rFonts w:ascii="宋体" w:hAnsi="宋体"/>
                <w:kern w:val="0"/>
                <w:sz w:val="24"/>
              </w:rPr>
            </w:pPr>
          </w:p>
          <w:p>
            <w:pPr>
              <w:tabs>
                <w:tab w:val="left" w:pos="210"/>
              </w:tabs>
              <w:spacing w:line="320" w:lineRule="exact"/>
              <w:jc w:val="center"/>
              <w:rPr>
                <w:rFonts w:ascii="宋体" w:hAnsi="宋体"/>
                <w:kern w:val="0"/>
                <w:sz w:val="24"/>
              </w:rPr>
            </w:pPr>
            <w:r>
              <w:rPr>
                <w:rFonts w:hint="eastAsia" w:ascii="宋体" w:hAnsi="宋体"/>
                <w:kern w:val="0"/>
                <w:sz w:val="24"/>
              </w:rPr>
              <w:t>人</w:t>
            </w:r>
          </w:p>
        </w:tc>
        <w:tc>
          <w:tcPr>
            <w:tcW w:w="2065"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企业名称</w:t>
            </w:r>
          </w:p>
        </w:tc>
        <w:tc>
          <w:tcPr>
            <w:tcW w:w="6360" w:type="dxa"/>
            <w:gridSpan w:val="4"/>
            <w:vAlign w:val="center"/>
          </w:tcPr>
          <w:p>
            <w:pPr>
              <w:tabs>
                <w:tab w:val="left" w:pos="210"/>
              </w:tabs>
              <w:spacing w:line="3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pPr>
              <w:tabs>
                <w:tab w:val="left" w:pos="210"/>
              </w:tabs>
              <w:spacing w:line="320" w:lineRule="exact"/>
              <w:jc w:val="center"/>
              <w:rPr>
                <w:rFonts w:ascii="宋体" w:hAnsi="宋体"/>
                <w:kern w:val="0"/>
                <w:sz w:val="24"/>
              </w:rPr>
            </w:pPr>
          </w:p>
        </w:tc>
        <w:tc>
          <w:tcPr>
            <w:tcW w:w="2065"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法定地址</w:t>
            </w:r>
          </w:p>
        </w:tc>
        <w:tc>
          <w:tcPr>
            <w:tcW w:w="6360" w:type="dxa"/>
            <w:gridSpan w:val="4"/>
            <w:vAlign w:val="center"/>
          </w:tcPr>
          <w:p>
            <w:pPr>
              <w:tabs>
                <w:tab w:val="left" w:pos="210"/>
              </w:tabs>
              <w:spacing w:line="3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pPr>
              <w:tabs>
                <w:tab w:val="left" w:pos="210"/>
              </w:tabs>
              <w:spacing w:line="320" w:lineRule="exact"/>
              <w:jc w:val="center"/>
              <w:rPr>
                <w:rFonts w:ascii="宋体" w:hAnsi="宋体"/>
                <w:kern w:val="0"/>
                <w:sz w:val="24"/>
              </w:rPr>
            </w:pPr>
          </w:p>
        </w:tc>
        <w:tc>
          <w:tcPr>
            <w:tcW w:w="2065"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邮政编码</w:t>
            </w:r>
          </w:p>
        </w:tc>
        <w:tc>
          <w:tcPr>
            <w:tcW w:w="6360" w:type="dxa"/>
            <w:gridSpan w:val="4"/>
            <w:vAlign w:val="center"/>
          </w:tcPr>
          <w:p>
            <w:pPr>
              <w:tabs>
                <w:tab w:val="left" w:pos="210"/>
              </w:tabs>
              <w:spacing w:line="3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pPr>
              <w:tabs>
                <w:tab w:val="left" w:pos="210"/>
              </w:tabs>
              <w:spacing w:line="320" w:lineRule="exact"/>
              <w:jc w:val="center"/>
              <w:rPr>
                <w:rFonts w:ascii="宋体" w:hAnsi="宋体"/>
                <w:kern w:val="0"/>
                <w:sz w:val="24"/>
              </w:rPr>
            </w:pPr>
          </w:p>
        </w:tc>
        <w:tc>
          <w:tcPr>
            <w:tcW w:w="2065"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工商登记机关</w:t>
            </w:r>
          </w:p>
        </w:tc>
        <w:tc>
          <w:tcPr>
            <w:tcW w:w="6360" w:type="dxa"/>
            <w:gridSpan w:val="4"/>
            <w:vAlign w:val="center"/>
          </w:tcPr>
          <w:p>
            <w:pPr>
              <w:tabs>
                <w:tab w:val="left" w:pos="210"/>
              </w:tabs>
              <w:spacing w:line="3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61" w:type="dxa"/>
            <w:vMerge w:val="continue"/>
            <w:vAlign w:val="center"/>
          </w:tcPr>
          <w:p>
            <w:pPr>
              <w:tabs>
                <w:tab w:val="left" w:pos="210"/>
              </w:tabs>
              <w:spacing w:line="320" w:lineRule="exact"/>
              <w:jc w:val="center"/>
              <w:rPr>
                <w:rFonts w:ascii="宋体" w:hAnsi="宋体"/>
                <w:kern w:val="0"/>
                <w:sz w:val="24"/>
              </w:rPr>
            </w:pPr>
          </w:p>
        </w:tc>
        <w:tc>
          <w:tcPr>
            <w:tcW w:w="2065"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税务登记机关</w:t>
            </w:r>
          </w:p>
        </w:tc>
        <w:tc>
          <w:tcPr>
            <w:tcW w:w="6360" w:type="dxa"/>
            <w:gridSpan w:val="4"/>
            <w:vAlign w:val="center"/>
          </w:tcPr>
          <w:p>
            <w:pPr>
              <w:tabs>
                <w:tab w:val="left" w:pos="210"/>
              </w:tabs>
              <w:spacing w:line="3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pPr>
              <w:tabs>
                <w:tab w:val="left" w:pos="210"/>
              </w:tabs>
              <w:spacing w:line="320" w:lineRule="exact"/>
              <w:jc w:val="center"/>
              <w:rPr>
                <w:rFonts w:ascii="宋体" w:hAnsi="宋体"/>
                <w:kern w:val="0"/>
                <w:sz w:val="24"/>
              </w:rPr>
            </w:pPr>
          </w:p>
        </w:tc>
        <w:tc>
          <w:tcPr>
            <w:tcW w:w="2065"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机构代码证号</w:t>
            </w:r>
          </w:p>
        </w:tc>
        <w:tc>
          <w:tcPr>
            <w:tcW w:w="6360" w:type="dxa"/>
            <w:gridSpan w:val="4"/>
            <w:vAlign w:val="center"/>
          </w:tcPr>
          <w:p>
            <w:pPr>
              <w:tabs>
                <w:tab w:val="left" w:pos="210"/>
              </w:tabs>
              <w:spacing w:line="3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vAlign w:val="center"/>
          </w:tcPr>
          <w:p>
            <w:pPr>
              <w:tabs>
                <w:tab w:val="left" w:pos="210"/>
              </w:tabs>
              <w:spacing w:line="320" w:lineRule="exact"/>
              <w:jc w:val="center"/>
              <w:rPr>
                <w:rFonts w:ascii="宋体" w:hAnsi="宋体"/>
                <w:kern w:val="0"/>
                <w:sz w:val="24"/>
              </w:rPr>
            </w:pPr>
            <w:r>
              <w:rPr>
                <w:rFonts w:hint="eastAsia" w:ascii="宋体" w:hAnsi="宋体"/>
                <w:kern w:val="0"/>
                <w:sz w:val="24"/>
              </w:rPr>
              <w:t>法定代表人</w:t>
            </w:r>
          </w:p>
        </w:tc>
        <w:tc>
          <w:tcPr>
            <w:tcW w:w="2065"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姓名</w:t>
            </w:r>
          </w:p>
        </w:tc>
        <w:tc>
          <w:tcPr>
            <w:tcW w:w="2236" w:type="dxa"/>
            <w:gridSpan w:val="2"/>
            <w:vAlign w:val="center"/>
          </w:tcPr>
          <w:p>
            <w:pPr>
              <w:tabs>
                <w:tab w:val="left" w:pos="210"/>
              </w:tabs>
              <w:spacing w:line="320" w:lineRule="exact"/>
              <w:jc w:val="center"/>
              <w:rPr>
                <w:rFonts w:ascii="宋体" w:hAnsi="宋体"/>
                <w:kern w:val="0"/>
                <w:sz w:val="24"/>
              </w:rPr>
            </w:pPr>
          </w:p>
        </w:tc>
        <w:tc>
          <w:tcPr>
            <w:tcW w:w="2061"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性别</w:t>
            </w:r>
          </w:p>
        </w:tc>
        <w:tc>
          <w:tcPr>
            <w:tcW w:w="2063" w:type="dxa"/>
            <w:vAlign w:val="center"/>
          </w:tcPr>
          <w:p>
            <w:pPr>
              <w:tabs>
                <w:tab w:val="left" w:pos="210"/>
              </w:tabs>
              <w:spacing w:line="3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vAlign w:val="center"/>
          </w:tcPr>
          <w:p>
            <w:pPr>
              <w:tabs>
                <w:tab w:val="left" w:pos="210"/>
              </w:tabs>
              <w:spacing w:line="320" w:lineRule="exact"/>
              <w:jc w:val="center"/>
              <w:rPr>
                <w:rFonts w:ascii="宋体" w:hAnsi="宋体"/>
                <w:kern w:val="0"/>
                <w:sz w:val="24"/>
              </w:rPr>
            </w:pPr>
          </w:p>
        </w:tc>
        <w:tc>
          <w:tcPr>
            <w:tcW w:w="2065"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职务</w:t>
            </w:r>
          </w:p>
        </w:tc>
        <w:tc>
          <w:tcPr>
            <w:tcW w:w="2236" w:type="dxa"/>
            <w:gridSpan w:val="2"/>
            <w:vAlign w:val="center"/>
          </w:tcPr>
          <w:p>
            <w:pPr>
              <w:tabs>
                <w:tab w:val="left" w:pos="210"/>
              </w:tabs>
              <w:spacing w:line="320" w:lineRule="exact"/>
              <w:jc w:val="center"/>
              <w:rPr>
                <w:rFonts w:ascii="宋体" w:hAnsi="宋体"/>
                <w:kern w:val="0"/>
                <w:sz w:val="24"/>
              </w:rPr>
            </w:pPr>
          </w:p>
        </w:tc>
        <w:tc>
          <w:tcPr>
            <w:tcW w:w="2061"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联系电话</w:t>
            </w:r>
          </w:p>
        </w:tc>
        <w:tc>
          <w:tcPr>
            <w:tcW w:w="2063" w:type="dxa"/>
            <w:vAlign w:val="center"/>
          </w:tcPr>
          <w:p>
            <w:pPr>
              <w:tabs>
                <w:tab w:val="left" w:pos="210"/>
              </w:tabs>
              <w:spacing w:line="3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vAlign w:val="center"/>
          </w:tcPr>
          <w:p>
            <w:pPr>
              <w:tabs>
                <w:tab w:val="left" w:pos="210"/>
              </w:tabs>
              <w:spacing w:line="320" w:lineRule="exact"/>
              <w:jc w:val="center"/>
              <w:rPr>
                <w:rFonts w:ascii="宋体" w:hAnsi="宋体"/>
                <w:kern w:val="0"/>
                <w:sz w:val="24"/>
              </w:rPr>
            </w:pPr>
          </w:p>
        </w:tc>
        <w:tc>
          <w:tcPr>
            <w:tcW w:w="2065" w:type="dxa"/>
            <w:vAlign w:val="center"/>
          </w:tcPr>
          <w:p>
            <w:pPr>
              <w:tabs>
                <w:tab w:val="left" w:pos="210"/>
              </w:tabs>
              <w:spacing w:line="320" w:lineRule="exact"/>
              <w:jc w:val="center"/>
              <w:rPr>
                <w:rFonts w:ascii="宋体" w:hAnsi="宋体"/>
                <w:kern w:val="0"/>
                <w:sz w:val="24"/>
              </w:rPr>
            </w:pPr>
            <w:r>
              <w:rPr>
                <w:rFonts w:hint="eastAsia" w:ascii="宋体" w:hAnsi="宋体"/>
                <w:kern w:val="0"/>
                <w:sz w:val="24"/>
              </w:rPr>
              <w:t>传真</w:t>
            </w:r>
          </w:p>
        </w:tc>
        <w:tc>
          <w:tcPr>
            <w:tcW w:w="6360" w:type="dxa"/>
            <w:gridSpan w:val="4"/>
            <w:vAlign w:val="center"/>
          </w:tcPr>
          <w:p>
            <w:pPr>
              <w:tabs>
                <w:tab w:val="left" w:pos="210"/>
              </w:tabs>
              <w:spacing w:line="32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61" w:type="dxa"/>
            <w:vMerge w:val="restart"/>
            <w:vAlign w:val="center"/>
          </w:tcPr>
          <w:p>
            <w:pPr>
              <w:tabs>
                <w:tab w:val="left" w:pos="210"/>
              </w:tabs>
              <w:spacing w:line="320" w:lineRule="exact"/>
              <w:jc w:val="center"/>
              <w:rPr>
                <w:rFonts w:ascii="宋体" w:hAnsi="宋体"/>
                <w:kern w:val="0"/>
                <w:sz w:val="24"/>
              </w:rPr>
            </w:pPr>
            <w:r>
              <w:rPr>
                <w:rFonts w:hint="eastAsia" w:ascii="宋体" w:hAnsi="宋体"/>
                <w:kern w:val="0"/>
                <w:sz w:val="24"/>
              </w:rPr>
              <w:t>法定代表人身份证复印件</w:t>
            </w:r>
          </w:p>
        </w:tc>
        <w:tc>
          <w:tcPr>
            <w:tcW w:w="4125" w:type="dxa"/>
            <w:gridSpan w:val="2"/>
            <w:vMerge w:val="restart"/>
            <w:vAlign w:val="center"/>
          </w:tcPr>
          <w:p>
            <w:pPr>
              <w:tabs>
                <w:tab w:val="left" w:pos="210"/>
              </w:tabs>
              <w:spacing w:line="320" w:lineRule="exact"/>
              <w:jc w:val="center"/>
              <w:rPr>
                <w:rFonts w:ascii="宋体" w:hAnsi="宋体"/>
                <w:kern w:val="0"/>
                <w:sz w:val="24"/>
              </w:rPr>
            </w:pPr>
            <w:r>
              <w:rPr>
                <w:rFonts w:hint="eastAsia" w:ascii="宋体" w:hAnsi="宋体"/>
                <w:kern w:val="0"/>
                <w:sz w:val="24"/>
              </w:rPr>
              <w:t>（粘贴处）</w:t>
            </w:r>
          </w:p>
        </w:tc>
        <w:tc>
          <w:tcPr>
            <w:tcW w:w="4300" w:type="dxa"/>
            <w:gridSpan w:val="3"/>
            <w:vAlign w:val="center"/>
          </w:tcPr>
          <w:p>
            <w:pPr>
              <w:tabs>
                <w:tab w:val="left" w:pos="210"/>
              </w:tabs>
              <w:spacing w:line="320" w:lineRule="exact"/>
              <w:jc w:val="center"/>
              <w:rPr>
                <w:rFonts w:ascii="宋体" w:hAnsi="宋体"/>
                <w:kern w:val="0"/>
                <w:sz w:val="24"/>
              </w:rPr>
            </w:pPr>
            <w:r>
              <w:rPr>
                <w:rFonts w:hint="eastAsia" w:ascii="宋体" w:hAnsi="宋体"/>
                <w:kern w:val="0"/>
                <w:sz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61" w:type="dxa"/>
            <w:vMerge w:val="continue"/>
            <w:vAlign w:val="center"/>
          </w:tcPr>
          <w:p>
            <w:pPr>
              <w:tabs>
                <w:tab w:val="left" w:pos="210"/>
              </w:tabs>
              <w:spacing w:line="320" w:lineRule="exact"/>
              <w:jc w:val="center"/>
              <w:rPr>
                <w:rFonts w:ascii="宋体" w:hAnsi="宋体"/>
                <w:kern w:val="0"/>
                <w:sz w:val="24"/>
              </w:rPr>
            </w:pPr>
          </w:p>
        </w:tc>
        <w:tc>
          <w:tcPr>
            <w:tcW w:w="4125" w:type="dxa"/>
            <w:gridSpan w:val="2"/>
            <w:vMerge w:val="continue"/>
            <w:vAlign w:val="center"/>
          </w:tcPr>
          <w:p>
            <w:pPr>
              <w:tabs>
                <w:tab w:val="left" w:pos="210"/>
              </w:tabs>
              <w:spacing w:line="320" w:lineRule="exact"/>
              <w:jc w:val="center"/>
              <w:rPr>
                <w:rFonts w:ascii="宋体" w:hAnsi="宋体"/>
                <w:kern w:val="0"/>
                <w:sz w:val="24"/>
              </w:rPr>
            </w:pPr>
          </w:p>
        </w:tc>
        <w:tc>
          <w:tcPr>
            <w:tcW w:w="4300" w:type="dxa"/>
            <w:gridSpan w:val="3"/>
            <w:vAlign w:val="bottom"/>
          </w:tcPr>
          <w:p>
            <w:pPr>
              <w:tabs>
                <w:tab w:val="left" w:pos="210"/>
              </w:tabs>
              <w:spacing w:line="320" w:lineRule="exact"/>
              <w:jc w:val="center"/>
              <w:rPr>
                <w:rFonts w:ascii="宋体" w:hAnsi="宋体"/>
                <w:kern w:val="0"/>
                <w:sz w:val="24"/>
              </w:rPr>
            </w:pPr>
            <w:r>
              <w:rPr>
                <w:rFonts w:hint="eastAsia" w:ascii="宋体" w:hAnsi="宋体"/>
                <w:kern w:val="0"/>
                <w:sz w:val="24"/>
              </w:rPr>
              <w:t>（公章）</w:t>
            </w:r>
          </w:p>
          <w:p>
            <w:pPr>
              <w:tabs>
                <w:tab w:val="left" w:pos="210"/>
              </w:tabs>
              <w:spacing w:line="320" w:lineRule="exact"/>
              <w:jc w:val="center"/>
              <w:rPr>
                <w:rFonts w:ascii="宋体" w:hAnsi="宋体"/>
                <w:kern w:val="0"/>
                <w:sz w:val="24"/>
              </w:rPr>
            </w:pPr>
          </w:p>
          <w:p>
            <w:pPr>
              <w:tabs>
                <w:tab w:val="left" w:pos="210"/>
              </w:tabs>
              <w:spacing w:line="320" w:lineRule="exact"/>
              <w:jc w:val="center"/>
              <w:rPr>
                <w:rFonts w:ascii="宋体" w:hAnsi="宋体"/>
                <w:kern w:val="0"/>
                <w:sz w:val="24"/>
              </w:rPr>
            </w:pPr>
          </w:p>
          <w:p>
            <w:pPr>
              <w:tabs>
                <w:tab w:val="left" w:pos="210"/>
              </w:tabs>
              <w:spacing w:line="320" w:lineRule="exact"/>
              <w:jc w:val="center"/>
              <w:rPr>
                <w:rFonts w:ascii="宋体" w:hAnsi="宋体"/>
                <w:kern w:val="0"/>
                <w:sz w:val="24"/>
              </w:rPr>
            </w:pPr>
          </w:p>
          <w:p>
            <w:pPr>
              <w:tabs>
                <w:tab w:val="left" w:pos="210"/>
              </w:tabs>
              <w:spacing w:line="320" w:lineRule="exact"/>
              <w:jc w:val="right"/>
              <w:rPr>
                <w:rFonts w:ascii="宋体" w:hAnsi="宋体"/>
                <w:kern w:val="0"/>
                <w:sz w:val="24"/>
              </w:rPr>
            </w:pPr>
            <w:r>
              <w:rPr>
                <w:rFonts w:hint="eastAsia" w:ascii="宋体" w:hAnsi="宋体"/>
                <w:kern w:val="0"/>
                <w:sz w:val="24"/>
              </w:rPr>
              <w:t xml:space="preserve">年  月  日 </w:t>
            </w:r>
          </w:p>
        </w:tc>
      </w:tr>
    </w:tbl>
    <w:p>
      <w:pPr>
        <w:spacing w:line="360" w:lineRule="auto"/>
        <w:ind w:firstLine="640" w:firstLineChars="200"/>
        <w:rPr>
          <w:rFonts w:ascii="仿宋_GB2312" w:hAnsi="仿宋" w:eastAsia="仿宋_GB2312" w:cs="仿宋"/>
          <w:color w:val="0000FF"/>
          <w:sz w:val="24"/>
        </w:rPr>
      </w:pPr>
      <w:r>
        <w:rPr>
          <w:rFonts w:hint="eastAsia" w:ascii="黑体" w:hAnsi="仿宋" w:eastAsia="黑体" w:cs="黑体"/>
          <w:sz w:val="32"/>
          <w:szCs w:val="32"/>
        </w:rPr>
        <w:t>注：签字不能以签字章代替！</w:t>
      </w:r>
    </w:p>
    <w:p>
      <w:pPr>
        <w:spacing w:line="360" w:lineRule="auto"/>
        <w:ind w:firstLine="480" w:firstLineChars="200"/>
        <w:rPr>
          <w:rFonts w:ascii="仿宋_GB2312" w:hAnsi="仿宋" w:eastAsia="仿宋_GB2312" w:cs="仿宋"/>
          <w:color w:val="0000FF"/>
          <w:sz w:val="24"/>
        </w:rPr>
      </w:pPr>
    </w:p>
    <w:p>
      <w:pPr>
        <w:spacing w:line="360" w:lineRule="auto"/>
        <w:ind w:firstLine="480" w:firstLineChars="200"/>
        <w:rPr>
          <w:rFonts w:ascii="仿宋_GB2312" w:hAnsi="仿宋" w:eastAsia="仿宋_GB2312" w:cs="仿宋"/>
          <w:color w:val="0000FF"/>
          <w:sz w:val="24"/>
        </w:rPr>
      </w:pPr>
    </w:p>
    <w:p>
      <w:pPr>
        <w:spacing w:line="360" w:lineRule="auto"/>
        <w:ind w:firstLine="480" w:firstLineChars="200"/>
        <w:rPr>
          <w:rFonts w:ascii="仿宋_GB2312" w:hAnsi="仿宋" w:eastAsia="仿宋_GB2312" w:cs="仿宋"/>
          <w:color w:val="0000FF"/>
          <w:sz w:val="24"/>
        </w:rPr>
      </w:pPr>
    </w:p>
    <w:p>
      <w:pPr>
        <w:spacing w:line="360" w:lineRule="auto"/>
        <w:ind w:firstLine="480" w:firstLineChars="200"/>
        <w:rPr>
          <w:rFonts w:ascii="仿宋_GB2312" w:hAnsi="仿宋" w:eastAsia="仿宋_GB2312" w:cs="仿宋"/>
          <w:color w:val="0000FF"/>
          <w:sz w:val="24"/>
        </w:rPr>
      </w:pPr>
    </w:p>
    <w:p>
      <w:pPr>
        <w:spacing w:line="360" w:lineRule="auto"/>
        <w:ind w:firstLine="482" w:firstLineChars="200"/>
        <w:rPr>
          <w:rFonts w:ascii="宋体" w:hAnsi="宋体"/>
          <w:b/>
          <w:bCs/>
          <w:sz w:val="24"/>
        </w:rPr>
      </w:pPr>
      <w:r>
        <w:rPr>
          <w:rFonts w:hint="eastAsia" w:ascii="宋体" w:hAnsi="宋体"/>
          <w:b/>
          <w:bCs/>
          <w:sz w:val="24"/>
        </w:rPr>
        <w:t>1.4供应商应为中型企业、小型企业、微型企业或监狱企业或残疾人福利性单位。供应商为中小企业的，提供《中小企业声明函》（格式），且中小企业的划分标准所属行业符合本项目要求；供应商为监狱企业的，应提供监狱企业的证明文件；供应商为残疾人福利性单位的，应提供《残疾人福利性单位声明函》（格式）（以上证明材料提供任意一种即可，无需重复提供）。</w:t>
      </w:r>
    </w:p>
    <w:p>
      <w:pPr>
        <w:spacing w:line="360" w:lineRule="auto"/>
        <w:ind w:firstLine="482" w:firstLineChars="200"/>
        <w:rPr>
          <w:rFonts w:ascii="宋体" w:hAnsi="宋体"/>
          <w:b/>
          <w:bCs/>
          <w:sz w:val="24"/>
        </w:rPr>
      </w:pPr>
      <w:r>
        <w:rPr>
          <w:rFonts w:hint="eastAsia" w:ascii="宋体" w:hAnsi="宋体"/>
          <w:b/>
          <w:bCs/>
          <w:sz w:val="24"/>
          <w:u w:val="single"/>
        </w:rPr>
        <w:t>特别提醒：成交供应商的《中小企业声明函》、《残疾人福利性单位声明函》或监狱企业证明文件将随成交结果公告一同公布，接受社会监督。</w:t>
      </w:r>
    </w:p>
    <w:p>
      <w:pPr>
        <w:spacing w:line="360" w:lineRule="auto"/>
        <w:ind w:firstLine="480" w:firstLineChars="200"/>
        <w:rPr>
          <w:rFonts w:ascii="宋体" w:hAnsi="宋体"/>
          <w:sz w:val="24"/>
        </w:rPr>
      </w:pPr>
      <w:r>
        <w:rPr>
          <w:rFonts w:hint="eastAsia" w:ascii="宋体" w:hAnsi="宋体"/>
          <w:sz w:val="24"/>
        </w:rPr>
        <w:t>（1）关于中小企业判定</w:t>
      </w:r>
    </w:p>
    <w:p>
      <w:pPr>
        <w:spacing w:line="360" w:lineRule="auto"/>
        <w:ind w:firstLine="480" w:firstLineChars="200"/>
        <w:rPr>
          <w:rFonts w:ascii="宋体" w:hAnsi="宋体"/>
          <w:sz w:val="24"/>
        </w:rPr>
      </w:pPr>
      <w:r>
        <w:rPr>
          <w:rFonts w:hint="eastAsia" w:ascii="宋体" w:hAnsi="宋体"/>
          <w:sz w:val="24"/>
        </w:rPr>
        <w:t>本项目采购标的对应的中小企业划分标准所属行业为</w:t>
      </w:r>
      <w:r>
        <w:rPr>
          <w:rFonts w:hint="eastAsia" w:ascii="宋体" w:hAnsi="宋体"/>
          <w:sz w:val="24"/>
          <w:u w:val="single"/>
        </w:rPr>
        <w:t xml:space="preserve">      </w:t>
      </w:r>
      <w:r>
        <w:rPr>
          <w:rFonts w:hint="eastAsia" w:ascii="宋体" w:hAnsi="宋体"/>
          <w:sz w:val="24"/>
        </w:rPr>
        <w:t>。各投标供应商可根据企业从业人员、营业收入、资产总额等指标，按照磋商文件约定的采购标的对应的中小微企业划分标准所属行业和《中小企业划型标准规定》（工信部联企业〔2011〕300号）进行自测，判断属于中型、小型还是微型企业。</w:t>
      </w:r>
    </w:p>
    <w:p>
      <w:pPr>
        <w:spacing w:line="360" w:lineRule="atLeast"/>
        <w:jc w:val="center"/>
        <w:rPr>
          <w:rFonts w:ascii="黑体" w:hAnsi="仿宋" w:eastAsia="黑体" w:cs="黑体"/>
          <w:sz w:val="32"/>
          <w:szCs w:val="32"/>
        </w:rPr>
      </w:pPr>
      <w:r>
        <w:rPr>
          <w:rFonts w:hint="eastAsia" w:ascii="黑体" w:hAnsi="仿宋" w:eastAsia="黑体" w:cs="黑体"/>
          <w:sz w:val="32"/>
          <w:szCs w:val="32"/>
        </w:rPr>
        <w:t>中小企业声明函（服务）（格式）</w:t>
      </w:r>
    </w:p>
    <w:p>
      <w:pPr>
        <w:spacing w:line="360" w:lineRule="auto"/>
        <w:ind w:firstLine="567"/>
        <w:rPr>
          <w:rFonts w:ascii="宋体" w:hAnsi="宋体"/>
          <w:kern w:val="0"/>
          <w:sz w:val="24"/>
          <w:szCs w:val="20"/>
        </w:rPr>
      </w:pPr>
      <w:r>
        <w:rPr>
          <w:rFonts w:hint="eastAsia" w:ascii="宋体" w:hAnsi="宋体"/>
          <w:kern w:val="0"/>
          <w:sz w:val="24"/>
          <w:szCs w:val="20"/>
        </w:rPr>
        <w:t>本公司（联合体）郑重声明，根据《政府采购促进中小企业发展管理办法》（财库﹝2020﹞46 号）的规定，本公司（联合体）参加</w:t>
      </w:r>
      <w:r>
        <w:rPr>
          <w:rFonts w:hint="eastAsia" w:ascii="宋体" w:hAnsi="宋体"/>
          <w:kern w:val="0"/>
          <w:sz w:val="24"/>
          <w:szCs w:val="20"/>
          <w:u w:val="single"/>
        </w:rPr>
        <w:t>（采购代理机构名称）</w:t>
      </w:r>
      <w:r>
        <w:rPr>
          <w:rFonts w:hint="eastAsia" w:ascii="宋体" w:hAnsi="宋体"/>
          <w:kern w:val="0"/>
          <w:sz w:val="24"/>
          <w:szCs w:val="20"/>
        </w:rPr>
        <w:t>的</w:t>
      </w:r>
      <w:r>
        <w:rPr>
          <w:rFonts w:hint="eastAsia" w:ascii="宋体" w:hAnsi="宋体"/>
          <w:kern w:val="0"/>
          <w:sz w:val="24"/>
          <w:szCs w:val="20"/>
          <w:u w:val="single"/>
        </w:rPr>
        <w:t>（项目名称）</w:t>
      </w:r>
      <w:r>
        <w:rPr>
          <w:rFonts w:hint="eastAsia" w:ascii="宋体" w:hAnsi="宋体"/>
          <w:kern w:val="0"/>
          <w:sz w:val="24"/>
          <w:szCs w:val="20"/>
        </w:rPr>
        <w:t>采购活动，服务全部由符合政策要求的中小企业承接。相关企业（含联合体中的中小企业、签订分包意向协议的中小企业）的具体情况如下：</w:t>
      </w:r>
    </w:p>
    <w:p>
      <w:pPr>
        <w:spacing w:line="360" w:lineRule="auto"/>
        <w:ind w:firstLine="567"/>
        <w:rPr>
          <w:rFonts w:ascii="宋体" w:hAnsi="宋体"/>
          <w:kern w:val="0"/>
          <w:sz w:val="24"/>
          <w:szCs w:val="20"/>
        </w:rPr>
      </w:pPr>
      <w:r>
        <w:rPr>
          <w:rFonts w:hint="eastAsia" w:ascii="宋体" w:hAnsi="宋体"/>
          <w:kern w:val="0"/>
          <w:sz w:val="24"/>
          <w:szCs w:val="20"/>
        </w:rPr>
        <w:t>1.</w:t>
      </w:r>
      <w:r>
        <w:rPr>
          <w:rFonts w:hint="eastAsia" w:ascii="宋体" w:hAnsi="宋体"/>
          <w:kern w:val="0"/>
          <w:sz w:val="24"/>
          <w:szCs w:val="20"/>
          <w:u w:val="single"/>
        </w:rPr>
        <w:t>（项目名称）</w:t>
      </w:r>
      <w:r>
        <w:rPr>
          <w:rFonts w:hint="eastAsia" w:ascii="宋体" w:hAnsi="宋体"/>
          <w:kern w:val="0"/>
          <w:sz w:val="24"/>
          <w:szCs w:val="20"/>
        </w:rPr>
        <w:t>，属于</w:t>
      </w:r>
      <w:r>
        <w:rPr>
          <w:rFonts w:hint="eastAsia" w:ascii="宋体" w:hAnsi="宋体"/>
          <w:kern w:val="0"/>
          <w:sz w:val="24"/>
          <w:szCs w:val="20"/>
          <w:u w:val="single"/>
        </w:rPr>
        <w:t>（采购文件中明确的所属行业）</w:t>
      </w:r>
      <w:r>
        <w:rPr>
          <w:rFonts w:hint="eastAsia" w:ascii="宋体" w:hAnsi="宋体"/>
          <w:kern w:val="0"/>
          <w:sz w:val="24"/>
          <w:szCs w:val="20"/>
        </w:rPr>
        <w:t xml:space="preserve">；承接企业为（企业名称），从业人员   人，营业收入为   万元，资产总额为   万元1，属于（中型企业、小型企业、微型企业）； </w:t>
      </w:r>
    </w:p>
    <w:p>
      <w:pPr>
        <w:spacing w:line="360" w:lineRule="auto"/>
        <w:ind w:firstLine="567"/>
        <w:rPr>
          <w:rFonts w:ascii="宋体" w:hAnsi="宋体"/>
          <w:kern w:val="0"/>
          <w:sz w:val="24"/>
          <w:szCs w:val="20"/>
        </w:rPr>
      </w:pPr>
      <w:r>
        <w:rPr>
          <w:rFonts w:hint="eastAsia" w:ascii="宋体" w:hAnsi="宋体"/>
          <w:kern w:val="0"/>
          <w:sz w:val="24"/>
          <w:szCs w:val="20"/>
        </w:rPr>
        <w:t>2.</w:t>
      </w:r>
      <w:r>
        <w:rPr>
          <w:rFonts w:hint="eastAsia" w:ascii="宋体" w:hAnsi="宋体"/>
          <w:kern w:val="0"/>
          <w:sz w:val="24"/>
          <w:szCs w:val="20"/>
          <w:u w:val="single"/>
        </w:rPr>
        <w:t>（项目名称）</w:t>
      </w:r>
      <w:r>
        <w:rPr>
          <w:rFonts w:hint="eastAsia" w:ascii="宋体" w:hAnsi="宋体"/>
          <w:kern w:val="0"/>
          <w:sz w:val="24"/>
          <w:szCs w:val="20"/>
        </w:rPr>
        <w:t>，属于</w:t>
      </w:r>
      <w:r>
        <w:rPr>
          <w:rFonts w:hint="eastAsia" w:ascii="宋体" w:hAnsi="宋体"/>
          <w:kern w:val="0"/>
          <w:sz w:val="24"/>
          <w:szCs w:val="20"/>
          <w:u w:val="single"/>
        </w:rPr>
        <w:t>（采购文件中明确的所属行业）</w:t>
      </w:r>
      <w:r>
        <w:rPr>
          <w:rFonts w:hint="eastAsia" w:ascii="宋体" w:hAnsi="宋体"/>
          <w:kern w:val="0"/>
          <w:sz w:val="24"/>
          <w:szCs w:val="20"/>
        </w:rPr>
        <w:t xml:space="preserve">；承接企业为（企业名称），从业人员   人，营业收入为   万元，资产总额为   万元，属于（中型企业、小型企业、微型企业）； </w:t>
      </w:r>
    </w:p>
    <w:p>
      <w:pPr>
        <w:spacing w:line="360" w:lineRule="auto"/>
        <w:ind w:firstLine="567"/>
        <w:rPr>
          <w:rFonts w:ascii="宋体" w:hAnsi="宋体"/>
          <w:kern w:val="0"/>
          <w:sz w:val="24"/>
          <w:szCs w:val="20"/>
        </w:rPr>
      </w:pPr>
      <w:r>
        <w:rPr>
          <w:rFonts w:hint="eastAsia" w:ascii="宋体" w:hAnsi="宋体"/>
          <w:kern w:val="0"/>
          <w:sz w:val="24"/>
          <w:szCs w:val="20"/>
        </w:rPr>
        <w:t>……</w:t>
      </w:r>
    </w:p>
    <w:p>
      <w:pPr>
        <w:spacing w:line="360" w:lineRule="auto"/>
        <w:ind w:firstLine="567"/>
        <w:rPr>
          <w:rFonts w:ascii="宋体" w:hAnsi="宋体"/>
          <w:kern w:val="0"/>
          <w:sz w:val="24"/>
          <w:szCs w:val="20"/>
        </w:rPr>
      </w:pPr>
      <w:r>
        <w:rPr>
          <w:rFonts w:hint="eastAsia" w:ascii="宋体" w:hAnsi="宋体"/>
          <w:kern w:val="0"/>
          <w:sz w:val="24"/>
          <w:szCs w:val="20"/>
        </w:rPr>
        <w:t>以上企业，不属于大企业的分支机构，不存在控股股东为大企业的情形，也不存在与大企业的负责人为同一人的情形。</w:t>
      </w:r>
    </w:p>
    <w:p>
      <w:pPr>
        <w:spacing w:line="360" w:lineRule="auto"/>
        <w:ind w:firstLine="567"/>
        <w:rPr>
          <w:rFonts w:ascii="宋体" w:hAnsi="宋体"/>
          <w:kern w:val="0"/>
          <w:sz w:val="24"/>
          <w:szCs w:val="20"/>
        </w:rPr>
      </w:pPr>
      <w:r>
        <w:rPr>
          <w:rFonts w:hint="eastAsia" w:ascii="宋体" w:hAnsi="宋体"/>
          <w:kern w:val="0"/>
          <w:sz w:val="24"/>
          <w:szCs w:val="20"/>
        </w:rPr>
        <w:t>本企业对上述声明内容的真实性负责。如有虚假，将依法承担相应责任。</w:t>
      </w:r>
    </w:p>
    <w:p>
      <w:pPr>
        <w:spacing w:line="360" w:lineRule="auto"/>
        <w:ind w:firstLine="567"/>
        <w:rPr>
          <w:rFonts w:ascii="宋体" w:hAnsi="宋体"/>
          <w:kern w:val="0"/>
          <w:sz w:val="24"/>
          <w:szCs w:val="20"/>
        </w:rPr>
      </w:pPr>
      <w:r>
        <w:rPr>
          <w:rFonts w:hint="eastAsia" w:ascii="宋体" w:hAnsi="宋体"/>
          <w:kern w:val="0"/>
          <w:sz w:val="24"/>
          <w:szCs w:val="20"/>
        </w:rPr>
        <w:t>供应商名称（盖章）：</w:t>
      </w:r>
    </w:p>
    <w:p>
      <w:pPr>
        <w:spacing w:line="360" w:lineRule="auto"/>
        <w:ind w:firstLine="567"/>
        <w:rPr>
          <w:rFonts w:ascii="宋体" w:hAnsi="宋体"/>
          <w:kern w:val="0"/>
          <w:sz w:val="24"/>
          <w:szCs w:val="20"/>
        </w:rPr>
      </w:pPr>
      <w:r>
        <w:rPr>
          <w:rFonts w:hint="eastAsia" w:ascii="宋体" w:hAnsi="宋体"/>
          <w:kern w:val="0"/>
          <w:sz w:val="24"/>
          <w:szCs w:val="20"/>
        </w:rPr>
        <w:t>日 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567"/>
        <w:rPr>
          <w:rFonts w:ascii="宋体" w:hAnsi="宋体"/>
          <w:color w:val="000000"/>
          <w:kern w:val="0"/>
          <w:sz w:val="18"/>
          <w:szCs w:val="18"/>
          <w:lang w:bidi="ar"/>
        </w:rPr>
      </w:pPr>
      <w:r>
        <w:rPr>
          <w:sz w:val="1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7" name="直接连接符 7"/>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2336;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Dk/uaX&#10;6gEAALQDAAAOAAAAAAAAAAEAIAAAACEBAABkcnMvZTJvRG9jLnhtbFBLBQYAAAAABgAGAFkBAAB9&#10;BQAAAAA=&#10;">
                <v:fill on="f" focussize="0,0"/>
                <v:stroke color="#000000" joinstyle="round"/>
                <v:imagedata o:title=""/>
                <o:lock v:ext="edit" aspectratio="f"/>
              </v:line>
            </w:pict>
          </mc:Fallback>
        </mc:AlternateContent>
      </w:r>
    </w:p>
    <w:p>
      <w:pPr>
        <w:widowControl/>
        <w:jc w:val="left"/>
        <w:rPr>
          <w:rFonts w:ascii="宋体" w:hAnsi="宋体"/>
          <w:color w:val="000000"/>
          <w:kern w:val="0"/>
          <w:szCs w:val="21"/>
          <w:lang w:bidi="ar"/>
        </w:rPr>
      </w:pPr>
      <w:r>
        <w:rPr>
          <w:rFonts w:hint="eastAsia" w:ascii="宋体" w:hAnsi="宋体"/>
          <w:b/>
          <w:bCs/>
          <w:color w:val="000000"/>
          <w:kern w:val="0"/>
          <w:szCs w:val="21"/>
          <w:lang w:bidi="ar"/>
        </w:rPr>
        <w:t>备注：</w:t>
      </w:r>
      <w:r>
        <w:rPr>
          <w:rFonts w:hint="eastAsia" w:ascii="宋体" w:hAnsi="宋体"/>
          <w:color w:val="000000"/>
          <w:kern w:val="0"/>
          <w:szCs w:val="21"/>
          <w:lang w:bidi="ar"/>
        </w:rPr>
        <w:t>1.填写前请认真阅读《工业和信息化部、国家统计局、国家发展和改革委员会、财政部关于印发中小企业划型标准规定的通知》（工信部联企业[2011]300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pPr>
        <w:widowControl/>
        <w:jc w:val="left"/>
        <w:rPr>
          <w:rFonts w:ascii="宋体" w:hAnsi="宋体"/>
          <w:color w:val="000000"/>
          <w:kern w:val="0"/>
          <w:szCs w:val="21"/>
          <w:lang w:bidi="ar"/>
        </w:rPr>
      </w:pPr>
      <w:r>
        <w:rPr>
          <w:rFonts w:hint="eastAsia" w:ascii="宋体" w:hAnsi="宋体"/>
          <w:color w:val="000000"/>
          <w:kern w:val="0"/>
          <w:szCs w:val="21"/>
          <w:lang w:bidi="ar"/>
        </w:rPr>
        <w:t>2.从业人员、营业收入、资产总额填报上一年度数据，无上一年度数据的新成立企业可不填报。</w:t>
      </w:r>
    </w:p>
    <w:p>
      <w:pPr>
        <w:rPr>
          <w:rFonts w:ascii="宋体" w:hAnsi="宋体"/>
          <w:b/>
          <w:bCs/>
          <w:sz w:val="24"/>
        </w:rPr>
      </w:pPr>
      <w:r>
        <w:rPr>
          <w:rFonts w:hint="eastAsia" w:ascii="宋体" w:hAnsi="宋体"/>
          <w:b/>
          <w:bCs/>
          <w:sz w:val="24"/>
        </w:rPr>
        <w:br w:type="page"/>
      </w:r>
    </w:p>
    <w:p>
      <w:pPr>
        <w:spacing w:line="360" w:lineRule="auto"/>
        <w:ind w:firstLine="480" w:firstLineChars="200"/>
        <w:rPr>
          <w:rFonts w:ascii="宋体" w:hAnsi="宋体"/>
          <w:sz w:val="24"/>
        </w:rPr>
      </w:pPr>
      <w:r>
        <w:rPr>
          <w:rFonts w:hint="eastAsia" w:ascii="宋体" w:hAnsi="宋体"/>
          <w:sz w:val="24"/>
        </w:rPr>
        <w:t>（2）关于监狱企业的证明文件</w:t>
      </w:r>
    </w:p>
    <w:p>
      <w:pPr>
        <w:spacing w:line="360" w:lineRule="auto"/>
        <w:jc w:val="center"/>
        <w:rPr>
          <w:rFonts w:ascii="黑体" w:hAnsi="仿宋" w:eastAsia="黑体" w:cs="黑体"/>
          <w:sz w:val="32"/>
          <w:szCs w:val="32"/>
        </w:rPr>
      </w:pPr>
      <w:r>
        <w:rPr>
          <w:rFonts w:hint="eastAsia" w:ascii="黑体" w:hAnsi="仿宋" w:eastAsia="黑体" w:cs="黑体"/>
          <w:sz w:val="32"/>
          <w:szCs w:val="32"/>
        </w:rPr>
        <w:t>关于监狱企业的证明文件（格式）</w:t>
      </w:r>
    </w:p>
    <w:p>
      <w:pPr>
        <w:spacing w:line="360" w:lineRule="auto"/>
        <w:ind w:firstLine="480" w:firstLineChars="200"/>
        <w:rPr>
          <w:rFonts w:ascii="宋体" w:hAnsi="宋体"/>
          <w:sz w:val="24"/>
        </w:rPr>
      </w:pPr>
      <w:r>
        <w:rPr>
          <w:rFonts w:hint="eastAsia" w:ascii="宋体" w:hAnsi="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ascii="宋体" w:hAnsi="宋体"/>
          <w:sz w:val="24"/>
        </w:rPr>
      </w:pPr>
      <w:r>
        <w:rPr>
          <w:rFonts w:hint="eastAsia" w:ascii="宋体" w:hAnsi="宋体"/>
          <w:sz w:val="24"/>
        </w:rPr>
        <w:t>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sz w:val="24"/>
        </w:rPr>
      </w:pPr>
    </w:p>
    <w:p>
      <w:pPr>
        <w:rPr>
          <w:rFonts w:ascii="宋体" w:hAnsi="宋体"/>
          <w:b/>
          <w:bCs/>
          <w:sz w:val="24"/>
        </w:rPr>
      </w:pPr>
      <w:r>
        <w:rPr>
          <w:rFonts w:hint="eastAsia" w:ascii="宋体" w:hAnsi="宋体"/>
          <w:b/>
          <w:bCs/>
          <w:sz w:val="24"/>
        </w:rPr>
        <w:br w:type="page"/>
      </w:r>
    </w:p>
    <w:p>
      <w:pPr>
        <w:spacing w:line="360" w:lineRule="auto"/>
        <w:ind w:firstLine="480" w:firstLineChars="200"/>
        <w:rPr>
          <w:rFonts w:ascii="宋体" w:hAnsi="宋体"/>
          <w:sz w:val="24"/>
        </w:rPr>
      </w:pPr>
      <w:r>
        <w:rPr>
          <w:rFonts w:hint="eastAsia" w:ascii="宋体" w:hAnsi="宋体"/>
          <w:sz w:val="24"/>
        </w:rPr>
        <w:t>（3）关于残疾人福利性单位判定</w:t>
      </w:r>
    </w:p>
    <w:p>
      <w:pPr>
        <w:spacing w:line="360" w:lineRule="atLeast"/>
        <w:jc w:val="center"/>
        <w:rPr>
          <w:rFonts w:ascii="黑体" w:hAnsi="仿宋" w:eastAsia="黑体" w:cs="黑体"/>
          <w:sz w:val="32"/>
          <w:szCs w:val="32"/>
        </w:rPr>
      </w:pPr>
      <w:r>
        <w:rPr>
          <w:rFonts w:hint="eastAsia" w:ascii="黑体" w:hAnsi="仿宋" w:eastAsia="黑体" w:cs="黑体"/>
          <w:sz w:val="32"/>
          <w:szCs w:val="32"/>
        </w:rPr>
        <w:t>残疾人福利单位声明函</w:t>
      </w:r>
    </w:p>
    <w:p>
      <w:pPr>
        <w:spacing w:line="360" w:lineRule="auto"/>
        <w:ind w:firstLine="567"/>
        <w:rPr>
          <w:rFonts w:ascii="宋体" w:hAnsi="宋体"/>
          <w:kern w:val="0"/>
          <w:sz w:val="24"/>
          <w:szCs w:val="20"/>
        </w:rPr>
      </w:pPr>
      <w:r>
        <w:rPr>
          <w:rFonts w:hint="eastAsia" w:ascii="宋体" w:hAnsi="宋体"/>
          <w:kern w:val="0"/>
          <w:sz w:val="24"/>
          <w:szCs w:val="20"/>
        </w:rPr>
        <w:t>本单位郑重声明，根据《财政部 民政部 中国残疾人联合会关于促进残疾人就业政府采购政策的通知》（财库〔2017〕141号）的规定，本单位为符合条件的残疾人福利性单位，且本单位参加（采购代理机构名称）</w:t>
      </w:r>
      <w:r>
        <w:rPr>
          <w:rFonts w:hint="eastAsia" w:ascii="宋体" w:hAnsi="宋体"/>
          <w:kern w:val="0"/>
          <w:sz w:val="24"/>
          <w:szCs w:val="20"/>
          <w:u w:val="single"/>
        </w:rPr>
        <w:t>（项目名称）</w:t>
      </w:r>
      <w:r>
        <w:rPr>
          <w:rFonts w:hint="eastAsia" w:ascii="宋体" w:hAnsi="宋体"/>
          <w:kern w:val="0"/>
          <w:sz w:val="24"/>
          <w:szCs w:val="20"/>
        </w:rPr>
        <w:t>采购活动提供本单位制造的货物（由本单位承担工程/提供服务），或者提供其他残疾人福利性单位制造的货物（不包括使用非残疾人福利性单位注册商标的货物）。</w:t>
      </w:r>
    </w:p>
    <w:p>
      <w:pPr>
        <w:spacing w:line="360" w:lineRule="auto"/>
        <w:ind w:left="1080" w:leftChars="257" w:hanging="540"/>
        <w:rPr>
          <w:rFonts w:ascii="宋体" w:hAnsi="宋体"/>
          <w:kern w:val="0"/>
          <w:sz w:val="24"/>
          <w:szCs w:val="20"/>
        </w:rPr>
      </w:pPr>
      <w:r>
        <w:rPr>
          <w:rFonts w:hint="eastAsia" w:ascii="宋体" w:hAnsi="宋体"/>
          <w:kern w:val="0"/>
          <w:sz w:val="24"/>
          <w:szCs w:val="20"/>
        </w:rPr>
        <w:t>本单位对上述声明的真实性负责。如有虚假，将依法承担相应责任。</w:t>
      </w:r>
    </w:p>
    <w:p>
      <w:pPr>
        <w:spacing w:line="360" w:lineRule="auto"/>
        <w:ind w:left="1080" w:leftChars="257" w:hanging="540"/>
        <w:jc w:val="center"/>
        <w:rPr>
          <w:rFonts w:ascii="宋体" w:hAnsi="宋体"/>
          <w:kern w:val="0"/>
          <w:sz w:val="24"/>
          <w:szCs w:val="20"/>
        </w:rPr>
      </w:pPr>
    </w:p>
    <w:p>
      <w:pPr>
        <w:spacing w:line="360" w:lineRule="auto"/>
        <w:ind w:left="1080" w:leftChars="257" w:hanging="540"/>
        <w:jc w:val="center"/>
        <w:rPr>
          <w:rFonts w:ascii="宋体" w:hAnsi="宋体"/>
          <w:kern w:val="0"/>
          <w:sz w:val="24"/>
          <w:szCs w:val="20"/>
        </w:rPr>
      </w:pPr>
    </w:p>
    <w:p>
      <w:pPr>
        <w:spacing w:line="360" w:lineRule="auto"/>
        <w:ind w:firstLine="480" w:firstLineChars="200"/>
        <w:rPr>
          <w:rFonts w:ascii="宋体" w:cs="Times New Roman"/>
          <w:sz w:val="24"/>
          <w:u w:val="single"/>
        </w:rPr>
      </w:pPr>
      <w:r>
        <w:rPr>
          <w:rFonts w:hint="eastAsia" w:ascii="宋体" w:hAnsi="宋体"/>
          <w:sz w:val="24"/>
        </w:rPr>
        <w:t>供应商名称（盖章）：</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567"/>
        <w:rPr>
          <w:rFonts w:ascii="宋体" w:hAnsi="宋体"/>
          <w:color w:val="000000"/>
          <w:kern w:val="0"/>
          <w:sz w:val="18"/>
          <w:szCs w:val="18"/>
          <w:lang w:bidi="ar"/>
        </w:rPr>
      </w:pPr>
      <w:r>
        <w:rPr>
          <w:sz w:val="18"/>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8" name="直接连接符 8"/>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3360;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DksaFL&#10;6gEAALQDAAAOAAAAAAAAAAEAIAAAACEBAABkcnMvZTJvRG9jLnhtbFBLBQYAAAAABgAGAFkBAAB9&#10;BQAAAAA=&#10;">
                <v:fill on="f" focussize="0,0"/>
                <v:stroke color="#000000" joinstyle="round"/>
                <v:imagedata o:title=""/>
                <o:lock v:ext="edit" aspectratio="f"/>
              </v:line>
            </w:pict>
          </mc:Fallback>
        </mc:AlternateContent>
      </w:r>
    </w:p>
    <w:p>
      <w:pPr>
        <w:widowControl/>
        <w:jc w:val="left"/>
        <w:rPr>
          <w:szCs w:val="21"/>
        </w:rPr>
      </w:pPr>
      <w:r>
        <w:rPr>
          <w:rFonts w:hint="eastAsia" w:ascii="宋体" w:hAnsi="宋体"/>
          <w:b/>
          <w:bCs/>
          <w:color w:val="000000"/>
          <w:kern w:val="0"/>
          <w:szCs w:val="21"/>
          <w:lang w:bidi="ar"/>
        </w:rPr>
        <w:t>备注：</w:t>
      </w:r>
      <w:r>
        <w:rPr>
          <w:rFonts w:hint="eastAsia" w:ascii="宋体" w:hAnsi="宋体"/>
          <w:color w:val="000000"/>
          <w:kern w:val="0"/>
          <w:szCs w:val="21"/>
          <w:lang w:bidi="ar"/>
        </w:rPr>
        <w:t xml:space="preserve">根据《财政部 民政部 中国残疾人联合会关于促进残疾人就业政府采购政策的通知》（财库 </w:t>
      </w:r>
    </w:p>
    <w:p>
      <w:pPr>
        <w:widowControl/>
        <w:jc w:val="left"/>
        <w:rPr>
          <w:szCs w:val="21"/>
        </w:rPr>
      </w:pPr>
      <w:r>
        <w:rPr>
          <w:rFonts w:hint="eastAsia" w:ascii="宋体" w:hAnsi="宋体"/>
          <w:color w:val="000000"/>
          <w:kern w:val="0"/>
          <w:szCs w:val="21"/>
          <w:lang w:bidi="ar"/>
        </w:rPr>
        <w:t>〔2017〕141 号）的规定：</w:t>
      </w:r>
    </w:p>
    <w:p>
      <w:pPr>
        <w:widowControl/>
        <w:jc w:val="left"/>
        <w:rPr>
          <w:szCs w:val="21"/>
        </w:rPr>
      </w:pPr>
      <w:r>
        <w:rPr>
          <w:rFonts w:hint="eastAsia" w:ascii="宋体" w:hAnsi="宋体"/>
          <w:color w:val="000000"/>
          <w:kern w:val="0"/>
          <w:szCs w:val="21"/>
          <w:lang w:bidi="ar"/>
        </w:rPr>
        <w:t>一、享受政府采购支持政策的残疾人福利性单位应当同时满足以下条件：</w:t>
      </w:r>
    </w:p>
    <w:p>
      <w:pPr>
        <w:widowControl/>
        <w:jc w:val="left"/>
        <w:rPr>
          <w:szCs w:val="21"/>
        </w:rPr>
      </w:pPr>
      <w:r>
        <w:rPr>
          <w:rFonts w:hint="eastAsia" w:ascii="宋体" w:hAnsi="宋体"/>
          <w:color w:val="000000"/>
          <w:kern w:val="0"/>
          <w:szCs w:val="21"/>
          <w:lang w:bidi="ar"/>
        </w:rPr>
        <w:t xml:space="preserve">（一）安置的残疾人占本单位在职职工人数的比例不低于 </w:t>
      </w:r>
      <w:r>
        <w:rPr>
          <w:rFonts w:ascii="仿宋" w:hAnsi="仿宋" w:eastAsia="仿宋" w:cs="仿宋"/>
          <w:color w:val="000000"/>
          <w:kern w:val="0"/>
          <w:szCs w:val="21"/>
          <w:lang w:bidi="ar"/>
        </w:rPr>
        <w:t>25</w:t>
      </w:r>
      <w:r>
        <w:rPr>
          <w:rFonts w:hint="eastAsia" w:ascii="宋体" w:hAnsi="宋体"/>
          <w:color w:val="000000"/>
          <w:kern w:val="0"/>
          <w:szCs w:val="21"/>
          <w:lang w:bidi="ar"/>
        </w:rPr>
        <w:t xml:space="preserve">%（含 </w:t>
      </w:r>
      <w:r>
        <w:rPr>
          <w:rFonts w:hint="eastAsia" w:ascii="仿宋" w:hAnsi="仿宋" w:eastAsia="仿宋" w:cs="仿宋"/>
          <w:color w:val="000000"/>
          <w:kern w:val="0"/>
          <w:szCs w:val="21"/>
          <w:lang w:bidi="ar"/>
        </w:rPr>
        <w:t>25</w:t>
      </w:r>
      <w:r>
        <w:rPr>
          <w:rFonts w:hint="eastAsia" w:ascii="宋体" w:hAnsi="宋体"/>
          <w:color w:val="000000"/>
          <w:kern w:val="0"/>
          <w:szCs w:val="21"/>
          <w:lang w:bidi="ar"/>
        </w:rPr>
        <w:t>%），并且安置的残疾人人数不少于10人（含10人）；</w:t>
      </w:r>
    </w:p>
    <w:p>
      <w:pPr>
        <w:widowControl/>
        <w:jc w:val="left"/>
        <w:rPr>
          <w:szCs w:val="21"/>
        </w:rPr>
      </w:pPr>
      <w:r>
        <w:rPr>
          <w:rFonts w:hint="eastAsia" w:ascii="宋体" w:hAnsi="宋体"/>
          <w:color w:val="000000"/>
          <w:kern w:val="0"/>
          <w:szCs w:val="21"/>
          <w:lang w:bidi="ar"/>
        </w:rPr>
        <w:t>（二）依法与安置的每位残疾人签订了一年以上（含一年）的劳动合同或服务协议；</w:t>
      </w:r>
    </w:p>
    <w:p>
      <w:pPr>
        <w:widowControl/>
        <w:jc w:val="left"/>
        <w:rPr>
          <w:szCs w:val="21"/>
        </w:rPr>
      </w:pPr>
      <w:r>
        <w:rPr>
          <w:rFonts w:hint="eastAsia" w:ascii="宋体" w:hAnsi="宋体"/>
          <w:color w:val="000000"/>
          <w:kern w:val="0"/>
          <w:szCs w:val="21"/>
          <w:lang w:bidi="ar"/>
        </w:rPr>
        <w:t>（三）为安置的每位残疾人按月足额缴纳了基本养老保险、基本医疗保险、失业保险、工伤保险和生育保险等社会保险费；</w:t>
      </w:r>
    </w:p>
    <w:p>
      <w:pPr>
        <w:widowControl/>
        <w:jc w:val="left"/>
        <w:rPr>
          <w:szCs w:val="21"/>
        </w:rPr>
      </w:pPr>
      <w:r>
        <w:rPr>
          <w:rFonts w:hint="eastAsia" w:ascii="宋体" w:hAnsi="宋体"/>
          <w:color w:val="000000"/>
          <w:kern w:val="0"/>
          <w:szCs w:val="21"/>
          <w:lang w:bidi="ar"/>
        </w:rPr>
        <w:t>（四）通过银行等金融机构向安置的每位残疾人，按月支付了不低于单位所在区县适用的经省级人民政府批准的月最低工资标准的工资；</w:t>
      </w:r>
    </w:p>
    <w:p>
      <w:pPr>
        <w:widowControl/>
        <w:jc w:val="left"/>
        <w:rPr>
          <w:rFonts w:ascii="宋体" w:hAnsi="宋体"/>
          <w:color w:val="000000"/>
          <w:kern w:val="0"/>
          <w:szCs w:val="21"/>
          <w:lang w:bidi="ar"/>
        </w:rPr>
      </w:pPr>
      <w:r>
        <w:rPr>
          <w:rFonts w:hint="eastAsia" w:ascii="宋体" w:hAnsi="宋体"/>
          <w:color w:val="000000"/>
          <w:kern w:val="0"/>
          <w:szCs w:val="21"/>
          <w:lang w:bidi="ar"/>
        </w:rPr>
        <w:t>（五）提供本单位制造的货物、承担的工程或者服务（以下简称产品），或者提供其他残疾人福利性单位制造的货物（不包括使用非残疾人福利性单位注册商标的货物）。</w:t>
      </w:r>
    </w:p>
    <w:p>
      <w:pPr>
        <w:widowControl/>
        <w:jc w:val="left"/>
        <w:rPr>
          <w:szCs w:val="21"/>
        </w:rPr>
      </w:pPr>
      <w:r>
        <w:rPr>
          <w:rFonts w:hint="eastAsia" w:ascii="宋体" w:hAnsi="宋体"/>
          <w:color w:val="000000"/>
          <w:kern w:val="0"/>
          <w:szCs w:val="21"/>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jc w:val="left"/>
        <w:rPr>
          <w:szCs w:val="21"/>
        </w:rPr>
      </w:pPr>
      <w:r>
        <w:rPr>
          <w:rFonts w:hint="eastAsia" w:ascii="宋体" w:hAnsi="宋体"/>
          <w:color w:val="000000"/>
          <w:kern w:val="0"/>
          <w:szCs w:val="21"/>
          <w:lang w:bidi="ar"/>
        </w:rPr>
        <w:t>二、中标、成交供应商为残疾人福利性单位的，采购人或者其委托的采购代理机构应当随中标、成交结果同时公告其《残疾人福利性单位声明函》，接受社会监督。</w:t>
      </w:r>
    </w:p>
    <w:p>
      <w:pPr>
        <w:rPr>
          <w:rFonts w:ascii="宋体" w:hAnsi="宋体"/>
          <w:b/>
          <w:bCs/>
          <w:sz w:val="24"/>
        </w:rPr>
      </w:pPr>
      <w:r>
        <w:rPr>
          <w:rFonts w:hint="eastAsia" w:ascii="宋体" w:hAnsi="宋体"/>
          <w:b/>
          <w:bCs/>
          <w:sz w:val="24"/>
        </w:rPr>
        <w:br w:type="page"/>
      </w:r>
    </w:p>
    <w:p>
      <w:pPr>
        <w:spacing w:line="360" w:lineRule="auto"/>
        <w:ind w:firstLine="482" w:firstLineChars="200"/>
        <w:rPr>
          <w:rFonts w:ascii="宋体" w:hAnsi="宋体"/>
          <w:b/>
          <w:bCs/>
          <w:sz w:val="24"/>
        </w:rPr>
      </w:pPr>
      <w:r>
        <w:rPr>
          <w:rFonts w:hint="eastAsia" w:ascii="宋体" w:hAnsi="宋体"/>
          <w:b/>
          <w:bCs/>
          <w:sz w:val="24"/>
        </w:rPr>
        <w:t>1.5</w:t>
      </w:r>
      <w:r>
        <w:rPr>
          <w:rFonts w:hint="eastAsia" w:ascii="宋体" w:hAnsi="宋体"/>
          <w:b/>
          <w:bCs/>
          <w:sz w:val="24"/>
          <w:lang w:val="en-GB"/>
        </w:rPr>
        <w:t>名称变更</w:t>
      </w:r>
      <w:r>
        <w:rPr>
          <w:rFonts w:hint="eastAsia" w:ascii="宋体" w:hAnsi="宋体"/>
          <w:b/>
          <w:bCs/>
          <w:sz w:val="24"/>
        </w:rPr>
        <w:t>证明</w:t>
      </w:r>
    </w:p>
    <w:p>
      <w:pPr>
        <w:spacing w:line="360" w:lineRule="auto"/>
        <w:ind w:firstLine="482" w:firstLineChars="200"/>
        <w:rPr>
          <w:rFonts w:ascii="宋体" w:hAnsi="宋体"/>
          <w:b/>
          <w:bCs/>
          <w:sz w:val="24"/>
        </w:rPr>
      </w:pPr>
    </w:p>
    <w:p>
      <w:pPr>
        <w:spacing w:line="360" w:lineRule="atLeast"/>
        <w:jc w:val="center"/>
        <w:rPr>
          <w:rFonts w:ascii="黑体" w:hAnsi="仿宋" w:eastAsia="黑体" w:cs="仿宋"/>
          <w:bCs/>
          <w:sz w:val="32"/>
          <w:szCs w:val="32"/>
          <w:lang w:val="en-GB"/>
        </w:rPr>
      </w:pPr>
      <w:r>
        <w:rPr>
          <w:rFonts w:hint="eastAsia" w:ascii="黑体" w:hAnsi="仿宋" w:eastAsia="黑体" w:cs="仿宋"/>
          <w:bCs/>
          <w:sz w:val="32"/>
          <w:szCs w:val="32"/>
          <w:lang w:val="en-GB"/>
        </w:rPr>
        <w:t>名称变更</w:t>
      </w:r>
      <w:r>
        <w:rPr>
          <w:rFonts w:hint="eastAsia" w:ascii="黑体" w:hAnsi="仿宋" w:eastAsia="黑体" w:cs="仿宋"/>
          <w:bCs/>
          <w:sz w:val="32"/>
          <w:szCs w:val="32"/>
        </w:rPr>
        <w:t>证明（如果有）</w:t>
      </w:r>
    </w:p>
    <w:p>
      <w:pPr>
        <w:pStyle w:val="12"/>
        <w:spacing w:line="500" w:lineRule="exact"/>
        <w:ind w:left="-120" w:leftChars="-57" w:firstLine="527" w:firstLineChars="250"/>
        <w:rPr>
          <w:rFonts w:hAnsi="宋体"/>
          <w:b/>
          <w:bCs/>
          <w:u w:val="single"/>
        </w:rPr>
      </w:pPr>
      <w:r>
        <w:rPr>
          <w:rFonts w:hint="eastAsia" w:hAnsi="宋体"/>
          <w:b/>
          <w:bCs/>
          <w:u w:val="single"/>
        </w:rPr>
        <w:t>注：供应商如果有名称变更的，应提供由工商管理部门出具的变更证明文件。（复印件加盖供应商公章）</w:t>
      </w: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rPr>
          <w:rFonts w:ascii="黑体" w:hAnsi="仿宋" w:eastAsia="黑体" w:cs="仿宋"/>
          <w:b/>
          <w:sz w:val="32"/>
          <w:szCs w:val="32"/>
        </w:rPr>
      </w:pPr>
    </w:p>
    <w:p>
      <w:pPr>
        <w:spacing w:line="360" w:lineRule="auto"/>
        <w:jc w:val="center"/>
        <w:outlineLvl w:val="1"/>
        <w:rPr>
          <w:rFonts w:ascii="黑体" w:hAnsi="仿宋" w:eastAsia="黑体" w:cs="仿宋"/>
          <w:b/>
          <w:sz w:val="32"/>
          <w:szCs w:val="32"/>
        </w:rPr>
      </w:pPr>
      <w:bookmarkStart w:id="242" w:name="_Toc1613"/>
      <w:bookmarkStart w:id="243" w:name="_Toc17366"/>
      <w:bookmarkStart w:id="244" w:name="_Toc7153"/>
      <w:bookmarkStart w:id="245" w:name="_Toc451"/>
      <w:r>
        <w:rPr>
          <w:rFonts w:hint="eastAsia" w:ascii="黑体" w:hAnsi="仿宋" w:eastAsia="黑体" w:cs="仿宋"/>
          <w:b/>
          <w:sz w:val="32"/>
          <w:szCs w:val="32"/>
        </w:rPr>
        <w:t>二、自查表</w:t>
      </w:r>
      <w:bookmarkEnd w:id="242"/>
      <w:bookmarkEnd w:id="243"/>
      <w:bookmarkEnd w:id="244"/>
      <w:bookmarkEnd w:id="245"/>
    </w:p>
    <w:p>
      <w:pPr>
        <w:spacing w:line="360" w:lineRule="auto"/>
        <w:ind w:firstLine="482" w:firstLineChars="200"/>
        <w:rPr>
          <w:rFonts w:ascii="宋体" w:hAnsi="宋体"/>
          <w:b/>
          <w:bCs/>
          <w:sz w:val="24"/>
        </w:rPr>
      </w:pPr>
      <w:r>
        <w:rPr>
          <w:rFonts w:ascii="宋体" w:hAnsi="宋体"/>
          <w:b/>
          <w:bCs/>
          <w:sz w:val="24"/>
        </w:rPr>
        <w:t>2.1</w:t>
      </w:r>
      <w:r>
        <w:rPr>
          <w:rFonts w:hint="eastAsia" w:ascii="宋体" w:hAnsi="宋体"/>
          <w:b/>
          <w:bCs/>
          <w:sz w:val="24"/>
        </w:rPr>
        <w:t>符合性自查表</w:t>
      </w:r>
    </w:p>
    <w:p>
      <w:pPr>
        <w:spacing w:line="360" w:lineRule="auto"/>
        <w:ind w:firstLine="482" w:firstLineChars="200"/>
        <w:rPr>
          <w:rFonts w:ascii="宋体" w:hAnsi="宋体"/>
          <w:b/>
          <w:bCs/>
          <w:sz w:val="24"/>
        </w:rPr>
      </w:pPr>
      <w:r>
        <w:rPr>
          <w:rFonts w:hint="eastAsia" w:ascii="宋体" w:hAnsi="宋体"/>
          <w:b/>
          <w:bCs/>
          <w:sz w:val="24"/>
        </w:rPr>
        <w:t>2.2</w:t>
      </w:r>
      <w:r>
        <w:rPr>
          <w:rFonts w:hint="eastAsia" w:ascii="宋体" w:hAnsi="宋体"/>
          <w:b/>
          <w:bCs/>
          <w:sz w:val="24"/>
          <w:lang w:val="en-GB"/>
        </w:rPr>
        <w:t>“★”</w:t>
      </w:r>
      <w:r>
        <w:rPr>
          <w:rFonts w:hint="eastAsia" w:ascii="宋体" w:hAnsi="宋体"/>
          <w:b/>
          <w:bCs/>
          <w:sz w:val="24"/>
        </w:rPr>
        <w:t>条款自查表（如果有）</w:t>
      </w:r>
    </w:p>
    <w:p>
      <w:pPr>
        <w:spacing w:line="360" w:lineRule="auto"/>
        <w:ind w:firstLine="482" w:firstLineChars="200"/>
        <w:rPr>
          <w:rFonts w:ascii="宋体" w:cs="Times New Roman"/>
          <w:b/>
          <w:bCs/>
          <w:sz w:val="24"/>
        </w:rPr>
      </w:pPr>
      <w:r>
        <w:rPr>
          <w:rFonts w:ascii="宋体" w:hAnsi="宋体"/>
          <w:b/>
          <w:bCs/>
          <w:sz w:val="24"/>
        </w:rPr>
        <w:t>2.</w:t>
      </w:r>
      <w:r>
        <w:rPr>
          <w:rFonts w:hint="eastAsia" w:ascii="宋体" w:hAnsi="宋体"/>
          <w:b/>
          <w:bCs/>
          <w:sz w:val="24"/>
        </w:rPr>
        <w:t>3技术评审自查表</w:t>
      </w:r>
    </w:p>
    <w:p>
      <w:pPr>
        <w:spacing w:line="360" w:lineRule="auto"/>
        <w:ind w:firstLine="482" w:firstLineChars="200"/>
        <w:rPr>
          <w:rFonts w:ascii="宋体" w:cs="Times New Roman"/>
          <w:b/>
          <w:bCs/>
          <w:sz w:val="24"/>
        </w:rPr>
      </w:pPr>
      <w:r>
        <w:rPr>
          <w:rFonts w:hint="eastAsia" w:ascii="宋体" w:hAnsi="宋体"/>
          <w:b/>
          <w:bCs/>
          <w:sz w:val="24"/>
        </w:rPr>
        <w:t>2.4商务评审自查表</w:t>
      </w: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仿宋_GB2312" w:hAnsi="仿宋" w:eastAsia="仿宋_GB2312" w:cs="仿宋"/>
          <w:b/>
          <w:bCs/>
          <w:sz w:val="24"/>
        </w:rPr>
      </w:pPr>
    </w:p>
    <w:p>
      <w:pPr>
        <w:spacing w:line="360" w:lineRule="auto"/>
        <w:ind w:firstLine="482" w:firstLineChars="200"/>
        <w:rPr>
          <w:rFonts w:ascii="宋体" w:hAnsi="宋体"/>
          <w:b/>
          <w:bCs/>
          <w:sz w:val="24"/>
        </w:rPr>
      </w:pPr>
      <w:bookmarkStart w:id="246" w:name="_Toc29191"/>
      <w:bookmarkStart w:id="247" w:name="_Toc21086"/>
      <w:r>
        <w:rPr>
          <w:rFonts w:hint="eastAsia" w:ascii="宋体" w:hAnsi="宋体"/>
          <w:b/>
          <w:bCs/>
          <w:sz w:val="24"/>
        </w:rPr>
        <w:t>2.1符合性自查表</w:t>
      </w:r>
    </w:p>
    <w:p>
      <w:pPr>
        <w:spacing w:line="360" w:lineRule="atLeast"/>
        <w:jc w:val="center"/>
        <w:rPr>
          <w:rFonts w:ascii="黑体" w:hAnsi="仿宋" w:eastAsia="黑体" w:cs="黑体"/>
          <w:sz w:val="32"/>
          <w:szCs w:val="32"/>
        </w:rPr>
      </w:pPr>
      <w:r>
        <w:rPr>
          <w:rFonts w:hint="eastAsia" w:ascii="黑体" w:hAnsi="仿宋" w:eastAsia="黑体" w:cs="黑体"/>
          <w:sz w:val="32"/>
          <w:szCs w:val="32"/>
        </w:rPr>
        <w:t>符合性自查表</w:t>
      </w:r>
    </w:p>
    <w:tbl>
      <w:tblPr>
        <w:tblStyle w:val="22"/>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086"/>
        <w:gridCol w:w="189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序号</w:t>
            </w:r>
          </w:p>
        </w:tc>
        <w:tc>
          <w:tcPr>
            <w:tcW w:w="5086" w:type="dxa"/>
            <w:vAlign w:val="center"/>
          </w:tcPr>
          <w:p>
            <w:pPr>
              <w:spacing w:line="360" w:lineRule="auto"/>
              <w:jc w:val="center"/>
              <w:rPr>
                <w:rFonts w:ascii="黑体" w:hAnsi="黑体" w:eastAsia="黑体" w:cs="黑体"/>
                <w:sz w:val="24"/>
              </w:rPr>
            </w:pPr>
            <w:r>
              <w:rPr>
                <w:rFonts w:hint="eastAsia" w:ascii="黑体" w:hAnsi="黑体" w:eastAsia="黑体" w:cs="黑体"/>
                <w:sz w:val="24"/>
              </w:rPr>
              <w:t>采购文件要求</w:t>
            </w:r>
          </w:p>
        </w:tc>
        <w:tc>
          <w:tcPr>
            <w:tcW w:w="1895"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自查结论</w:t>
            </w:r>
          </w:p>
        </w:tc>
        <w:tc>
          <w:tcPr>
            <w:tcW w:w="1898"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spacing w:line="320" w:lineRule="atLeast"/>
              <w:jc w:val="center"/>
              <w:rPr>
                <w:rFonts w:ascii="宋体" w:hAnsi="宋体"/>
              </w:rPr>
            </w:pPr>
            <w:r>
              <w:rPr>
                <w:rFonts w:hint="eastAsia" w:ascii="宋体" w:hAnsi="宋体"/>
              </w:rPr>
              <w:t>1</w:t>
            </w:r>
          </w:p>
        </w:tc>
        <w:tc>
          <w:tcPr>
            <w:tcW w:w="5086" w:type="dxa"/>
            <w:vAlign w:val="center"/>
          </w:tcPr>
          <w:p>
            <w:pPr>
              <w:rPr>
                <w:rFonts w:ascii="宋体" w:hAnsi="宋体"/>
              </w:rPr>
            </w:pPr>
            <w:r>
              <w:rPr>
                <w:rFonts w:hint="eastAsia"/>
              </w:rPr>
              <w:t>响应文件语言及有效期符合磋商文件要求。</w:t>
            </w:r>
          </w:p>
        </w:tc>
        <w:tc>
          <w:tcPr>
            <w:tcW w:w="1895" w:type="dxa"/>
            <w:vAlign w:val="center"/>
          </w:tcPr>
          <w:p>
            <w:pPr>
              <w:spacing w:line="360" w:lineRule="auto"/>
              <w:jc w:val="center"/>
              <w:rPr>
                <w:rFonts w:ascii="宋体" w:hAnsi="宋体"/>
              </w:rPr>
            </w:pPr>
            <w:r>
              <w:rPr>
                <w:rFonts w:hint="eastAsia" w:ascii="宋体" w:hAnsi="宋体"/>
              </w:rPr>
              <w:t>□通过 □不通过</w:t>
            </w:r>
          </w:p>
        </w:tc>
        <w:tc>
          <w:tcPr>
            <w:tcW w:w="1898"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spacing w:line="320" w:lineRule="atLeast"/>
              <w:jc w:val="center"/>
              <w:rPr>
                <w:rFonts w:ascii="宋体" w:hAnsi="宋体"/>
              </w:rPr>
            </w:pPr>
            <w:r>
              <w:rPr>
                <w:rFonts w:hint="eastAsia" w:ascii="宋体" w:hAnsi="宋体"/>
              </w:rPr>
              <w:t>2</w:t>
            </w:r>
          </w:p>
        </w:tc>
        <w:tc>
          <w:tcPr>
            <w:tcW w:w="5086" w:type="dxa"/>
            <w:vAlign w:val="center"/>
          </w:tcPr>
          <w:p>
            <w:pPr>
              <w:rPr>
                <w:rFonts w:ascii="宋体" w:hAnsi="宋体"/>
              </w:rPr>
            </w:pPr>
            <w:r>
              <w:rPr>
                <w:rFonts w:hint="eastAsia"/>
              </w:rPr>
              <w:t>响应文件封面、响应函、法定代表人授权委托书三处的项目名称、项目编号均无遗漏，且与所投项目名称、项目编号一致。</w:t>
            </w:r>
          </w:p>
        </w:tc>
        <w:tc>
          <w:tcPr>
            <w:tcW w:w="1895" w:type="dxa"/>
            <w:vAlign w:val="center"/>
          </w:tcPr>
          <w:p>
            <w:pPr>
              <w:spacing w:line="360" w:lineRule="auto"/>
              <w:jc w:val="center"/>
              <w:rPr>
                <w:rFonts w:ascii="宋体" w:hAnsi="宋体"/>
              </w:rPr>
            </w:pPr>
            <w:r>
              <w:rPr>
                <w:rFonts w:hint="eastAsia" w:ascii="宋体" w:hAnsi="宋体"/>
              </w:rPr>
              <w:t>□通过 □不通过</w:t>
            </w:r>
          </w:p>
        </w:tc>
        <w:tc>
          <w:tcPr>
            <w:tcW w:w="1898"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spacing w:line="320" w:lineRule="atLeast"/>
              <w:jc w:val="center"/>
              <w:rPr>
                <w:rFonts w:ascii="宋体" w:hAnsi="宋体"/>
              </w:rPr>
            </w:pPr>
            <w:r>
              <w:rPr>
                <w:rFonts w:hint="eastAsia" w:ascii="宋体" w:hAnsi="宋体"/>
              </w:rPr>
              <w:t>3</w:t>
            </w:r>
          </w:p>
        </w:tc>
        <w:tc>
          <w:tcPr>
            <w:tcW w:w="5086" w:type="dxa"/>
            <w:vAlign w:val="center"/>
          </w:tcPr>
          <w:p>
            <w:pPr>
              <w:rPr>
                <w:rFonts w:ascii="宋体" w:hAnsi="宋体"/>
              </w:rPr>
            </w:pPr>
            <w:r>
              <w:rPr>
                <w:rFonts w:hint="eastAsia"/>
              </w:rPr>
              <w:t>响应文件签署、盖章均按磋商文件要求签字、盖章（评分标准中要求提供的证明材料除外）。</w:t>
            </w:r>
          </w:p>
        </w:tc>
        <w:tc>
          <w:tcPr>
            <w:tcW w:w="1895" w:type="dxa"/>
            <w:vAlign w:val="center"/>
          </w:tcPr>
          <w:p>
            <w:pPr>
              <w:spacing w:line="360" w:lineRule="auto"/>
              <w:jc w:val="center"/>
              <w:rPr>
                <w:rFonts w:ascii="宋体" w:hAnsi="宋体"/>
              </w:rPr>
            </w:pPr>
            <w:r>
              <w:rPr>
                <w:rFonts w:hint="eastAsia" w:ascii="宋体" w:hAnsi="宋体"/>
              </w:rPr>
              <w:t>□通过 □不通过</w:t>
            </w:r>
          </w:p>
        </w:tc>
        <w:tc>
          <w:tcPr>
            <w:tcW w:w="1898"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spacing w:line="320" w:lineRule="atLeast"/>
              <w:jc w:val="center"/>
              <w:rPr>
                <w:rFonts w:ascii="宋体" w:hAnsi="宋体"/>
              </w:rPr>
            </w:pPr>
            <w:r>
              <w:rPr>
                <w:rFonts w:hint="eastAsia" w:ascii="宋体" w:hAnsi="宋体"/>
              </w:rPr>
              <w:t>4</w:t>
            </w:r>
          </w:p>
        </w:tc>
        <w:tc>
          <w:tcPr>
            <w:tcW w:w="5086" w:type="dxa"/>
            <w:vAlign w:val="center"/>
          </w:tcPr>
          <w:p>
            <w:pPr>
              <w:rPr>
                <w:rFonts w:ascii="宋体" w:hAnsi="宋体"/>
              </w:rPr>
            </w:pPr>
            <w:r>
              <w:rPr>
                <w:rFonts w:hint="eastAsia"/>
              </w:rPr>
              <w:t>首次报价一览表填写符合要求且未超出采购预算或磋商文件规定的最高限价。</w:t>
            </w:r>
          </w:p>
        </w:tc>
        <w:tc>
          <w:tcPr>
            <w:tcW w:w="1895" w:type="dxa"/>
            <w:vAlign w:val="center"/>
          </w:tcPr>
          <w:p>
            <w:pPr>
              <w:spacing w:line="360" w:lineRule="auto"/>
              <w:jc w:val="center"/>
              <w:rPr>
                <w:rFonts w:ascii="宋体" w:hAnsi="宋体"/>
              </w:rPr>
            </w:pPr>
            <w:r>
              <w:rPr>
                <w:rFonts w:hint="eastAsia" w:ascii="宋体" w:hAnsi="宋体"/>
              </w:rPr>
              <w:t>□通过 □不通过</w:t>
            </w:r>
          </w:p>
        </w:tc>
        <w:tc>
          <w:tcPr>
            <w:tcW w:w="1898"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spacing w:line="320" w:lineRule="atLeast"/>
              <w:jc w:val="center"/>
              <w:rPr>
                <w:rFonts w:ascii="宋体" w:hAnsi="宋体"/>
              </w:rPr>
            </w:pPr>
            <w:r>
              <w:rPr>
                <w:rFonts w:hint="eastAsia" w:ascii="宋体" w:hAnsi="宋体"/>
              </w:rPr>
              <w:t>5</w:t>
            </w:r>
          </w:p>
        </w:tc>
        <w:tc>
          <w:tcPr>
            <w:tcW w:w="5086" w:type="dxa"/>
            <w:vAlign w:val="center"/>
          </w:tcPr>
          <w:p>
            <w:pPr>
              <w:rPr>
                <w:rFonts w:ascii="宋体" w:hAnsi="宋体"/>
              </w:rPr>
            </w:pPr>
            <w:r>
              <w:rPr>
                <w:rFonts w:hint="eastAsia"/>
              </w:rPr>
              <w:t>响应招标文件商务条款，无重大保留或偏差。</w:t>
            </w:r>
          </w:p>
        </w:tc>
        <w:tc>
          <w:tcPr>
            <w:tcW w:w="1895" w:type="dxa"/>
            <w:vAlign w:val="center"/>
          </w:tcPr>
          <w:p>
            <w:pPr>
              <w:spacing w:line="360" w:lineRule="auto"/>
              <w:jc w:val="center"/>
              <w:rPr>
                <w:rFonts w:ascii="宋体" w:hAnsi="宋体"/>
              </w:rPr>
            </w:pPr>
            <w:r>
              <w:rPr>
                <w:rFonts w:hint="eastAsia" w:ascii="宋体" w:hAnsi="宋体"/>
              </w:rPr>
              <w:t>□通过 □不通过</w:t>
            </w:r>
          </w:p>
        </w:tc>
        <w:tc>
          <w:tcPr>
            <w:tcW w:w="1898"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spacing w:line="320" w:lineRule="atLeast"/>
              <w:jc w:val="center"/>
              <w:rPr>
                <w:rFonts w:ascii="宋体" w:hAnsi="宋体"/>
              </w:rPr>
            </w:pPr>
            <w:r>
              <w:rPr>
                <w:rFonts w:hint="eastAsia" w:ascii="宋体" w:hAnsi="宋体"/>
              </w:rPr>
              <w:t>6</w:t>
            </w:r>
          </w:p>
        </w:tc>
        <w:tc>
          <w:tcPr>
            <w:tcW w:w="5086" w:type="dxa"/>
            <w:vAlign w:val="center"/>
          </w:tcPr>
          <w:p>
            <w:pPr>
              <w:rPr>
                <w:rFonts w:ascii="宋体" w:hAnsi="宋体"/>
              </w:rPr>
            </w:pPr>
            <w:r>
              <w:rPr>
                <w:rFonts w:hint="eastAsia"/>
              </w:rPr>
              <w:t>没有不符合磋商文件规定的被视为无效响应的其他条款。</w:t>
            </w:r>
          </w:p>
        </w:tc>
        <w:tc>
          <w:tcPr>
            <w:tcW w:w="1895" w:type="dxa"/>
            <w:vAlign w:val="center"/>
          </w:tcPr>
          <w:p>
            <w:pPr>
              <w:spacing w:line="360" w:lineRule="auto"/>
              <w:jc w:val="center"/>
              <w:rPr>
                <w:rFonts w:ascii="宋体" w:hAnsi="宋体"/>
              </w:rPr>
            </w:pPr>
            <w:r>
              <w:rPr>
                <w:rFonts w:hint="eastAsia" w:ascii="宋体" w:hAnsi="宋体"/>
              </w:rPr>
              <w:t>□通过 □不通过</w:t>
            </w:r>
          </w:p>
        </w:tc>
        <w:tc>
          <w:tcPr>
            <w:tcW w:w="1898" w:type="dxa"/>
            <w:vAlign w:val="center"/>
          </w:tcPr>
          <w:p>
            <w:pPr>
              <w:spacing w:line="360" w:lineRule="auto"/>
              <w:jc w:val="center"/>
              <w:rPr>
                <w:rFonts w:ascii="宋体" w:hAnsi="宋体"/>
              </w:rPr>
            </w:pPr>
            <w:r>
              <w:rPr>
                <w:rFonts w:hint="eastAsia" w:ascii="宋体" w:hAnsi="宋体"/>
              </w:rPr>
              <w:t>见响应文件（）页</w:t>
            </w:r>
          </w:p>
        </w:tc>
      </w:tr>
    </w:tbl>
    <w:p>
      <w:pPr>
        <w:wordWrap w:val="0"/>
        <w:topLinePunct/>
        <w:spacing w:line="500" w:lineRule="exact"/>
        <w:ind w:firstLine="422" w:firstLineChars="200"/>
        <w:rPr>
          <w:rFonts w:ascii="宋体" w:hAnsi="宋体"/>
          <w:b/>
          <w:bCs/>
          <w:u w:val="single"/>
          <w:lang w:val="en-GB"/>
        </w:rPr>
      </w:pPr>
      <w:r>
        <w:rPr>
          <w:rFonts w:hint="eastAsia" w:ascii="宋体" w:hAnsi="宋体"/>
          <w:b/>
          <w:bCs/>
          <w:u w:val="single"/>
          <w:lang w:val="en-GB"/>
        </w:rPr>
        <w:t>注：以上材料将作为</w:t>
      </w:r>
      <w:r>
        <w:rPr>
          <w:rFonts w:hint="eastAsia" w:ascii="宋体" w:hAnsi="宋体"/>
          <w:b/>
          <w:bCs/>
          <w:u w:val="single"/>
        </w:rPr>
        <w:t>响应</w:t>
      </w:r>
      <w:r>
        <w:rPr>
          <w:rFonts w:hint="eastAsia" w:ascii="宋体" w:hAnsi="宋体"/>
          <w:b/>
          <w:bCs/>
          <w:u w:val="single"/>
          <w:lang w:val="en-GB"/>
        </w:rPr>
        <w:t>供应商</w:t>
      </w:r>
      <w:r>
        <w:rPr>
          <w:rFonts w:hint="eastAsia" w:ascii="宋体" w:hAnsi="宋体"/>
          <w:b/>
          <w:bCs/>
          <w:u w:val="single"/>
        </w:rPr>
        <w:t>符合</w:t>
      </w:r>
      <w:r>
        <w:rPr>
          <w:rFonts w:hint="eastAsia" w:ascii="宋体" w:hAnsi="宋体"/>
          <w:b/>
          <w:bCs/>
          <w:u w:val="single"/>
          <w:lang w:val="en-GB"/>
        </w:rPr>
        <w:t>性审核的重要内容之一，</w:t>
      </w:r>
      <w:r>
        <w:rPr>
          <w:rFonts w:hint="eastAsia" w:ascii="宋体" w:hAnsi="宋体"/>
          <w:b/>
          <w:bCs/>
          <w:u w:val="single"/>
        </w:rPr>
        <w:t>响应</w:t>
      </w:r>
      <w:r>
        <w:rPr>
          <w:rFonts w:hint="eastAsia" w:ascii="宋体" w:hAnsi="宋体"/>
          <w:b/>
          <w:bCs/>
          <w:u w:val="single"/>
          <w:lang w:val="en-GB"/>
        </w:rPr>
        <w:t>供应商必须严格按照其内容及序列要求在</w:t>
      </w:r>
      <w:r>
        <w:rPr>
          <w:rFonts w:hint="eastAsia" w:ascii="宋体" w:hAnsi="宋体"/>
          <w:b/>
          <w:bCs/>
          <w:u w:val="single"/>
        </w:rPr>
        <w:t>响应</w:t>
      </w:r>
      <w:r>
        <w:rPr>
          <w:rFonts w:hint="eastAsia" w:ascii="宋体" w:hAnsi="宋体"/>
          <w:b/>
          <w:bCs/>
          <w:u w:val="single"/>
          <w:lang w:val="en-GB"/>
        </w:rPr>
        <w:t>文件中对应如实提供，对符合性证明文件的任何缺漏和不符合项将会直接导致无效</w:t>
      </w:r>
      <w:r>
        <w:rPr>
          <w:rFonts w:hint="eastAsia" w:ascii="宋体" w:hAnsi="宋体"/>
          <w:b/>
          <w:bCs/>
          <w:u w:val="single"/>
        </w:rPr>
        <w:t>响应</w:t>
      </w:r>
      <w:r>
        <w:rPr>
          <w:rFonts w:hint="eastAsia" w:ascii="宋体" w:hAnsi="宋体"/>
          <w:b/>
          <w:bCs/>
          <w:u w:val="single"/>
          <w:lang w:val="en-GB"/>
        </w:rPr>
        <w:t>！</w:t>
      </w:r>
      <w:r>
        <w:rPr>
          <w:rFonts w:hint="eastAsia" w:ascii="宋体" w:hAnsi="宋体"/>
          <w:b/>
          <w:bCs/>
          <w:u w:val="single"/>
        </w:rPr>
        <w:t>响应</w:t>
      </w:r>
      <w:r>
        <w:rPr>
          <w:rFonts w:hint="eastAsia" w:ascii="宋体" w:hAnsi="宋体"/>
          <w:b/>
          <w:bCs/>
          <w:u w:val="single"/>
          <w:lang w:val="en-GB"/>
        </w:rPr>
        <w:t>供应商根据自查结论在对应的□打“√”。</w:t>
      </w: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wordWrap w:val="0"/>
        <w:topLinePunct/>
        <w:spacing w:line="500" w:lineRule="exact"/>
        <w:ind w:firstLine="482" w:firstLineChars="200"/>
        <w:rPr>
          <w:rFonts w:ascii="宋体" w:hAnsi="宋体"/>
          <w:b/>
          <w:bCs/>
          <w:sz w:val="24"/>
        </w:rPr>
      </w:pPr>
    </w:p>
    <w:p>
      <w:pPr>
        <w:wordWrap w:val="0"/>
        <w:topLinePunct/>
        <w:spacing w:line="500" w:lineRule="exact"/>
        <w:ind w:firstLine="482" w:firstLineChars="200"/>
        <w:rPr>
          <w:rFonts w:ascii="宋体" w:hAnsi="宋体"/>
          <w:b/>
          <w:bCs/>
          <w:sz w:val="24"/>
        </w:rPr>
      </w:pPr>
    </w:p>
    <w:p>
      <w:pPr>
        <w:rPr>
          <w:rFonts w:ascii="宋体" w:hAnsi="宋体"/>
          <w:b/>
          <w:bCs/>
          <w:sz w:val="24"/>
        </w:rPr>
      </w:pPr>
      <w:r>
        <w:rPr>
          <w:rFonts w:hint="eastAsia" w:ascii="宋体" w:hAnsi="宋体"/>
          <w:b/>
          <w:bCs/>
          <w:sz w:val="24"/>
        </w:rPr>
        <w:br w:type="page"/>
      </w:r>
    </w:p>
    <w:p>
      <w:pPr>
        <w:wordWrap w:val="0"/>
        <w:topLinePunct/>
        <w:spacing w:line="500" w:lineRule="exact"/>
        <w:ind w:firstLine="482" w:firstLineChars="200"/>
        <w:rPr>
          <w:rFonts w:ascii="宋体" w:hAnsi="宋体"/>
          <w:b/>
          <w:bCs/>
          <w:sz w:val="24"/>
        </w:rPr>
      </w:pPr>
      <w:r>
        <w:rPr>
          <w:rFonts w:hint="eastAsia" w:ascii="宋体" w:hAnsi="宋体"/>
          <w:b/>
          <w:bCs/>
          <w:sz w:val="24"/>
        </w:rPr>
        <w:t>2.2</w:t>
      </w:r>
      <w:r>
        <w:rPr>
          <w:rFonts w:hint="eastAsia" w:ascii="宋体" w:hAnsi="宋体"/>
          <w:b/>
          <w:bCs/>
          <w:sz w:val="24"/>
          <w:lang w:val="en-GB"/>
        </w:rPr>
        <w:t>“★”</w:t>
      </w:r>
      <w:r>
        <w:rPr>
          <w:rFonts w:hint="eastAsia" w:ascii="宋体" w:hAnsi="宋体"/>
          <w:b/>
          <w:bCs/>
          <w:sz w:val="24"/>
        </w:rPr>
        <w:t>条款自查表（如果有）</w:t>
      </w:r>
    </w:p>
    <w:p>
      <w:pPr>
        <w:spacing w:line="360" w:lineRule="atLeast"/>
        <w:jc w:val="center"/>
        <w:rPr>
          <w:rFonts w:ascii="黑体" w:hAnsi="仿宋" w:eastAsia="黑体" w:cs="黑体"/>
          <w:sz w:val="32"/>
          <w:szCs w:val="32"/>
        </w:rPr>
      </w:pPr>
    </w:p>
    <w:p>
      <w:pPr>
        <w:spacing w:line="360" w:lineRule="atLeast"/>
        <w:jc w:val="center"/>
        <w:rPr>
          <w:rFonts w:ascii="黑体" w:hAnsi="仿宋" w:eastAsia="黑体" w:cs="黑体"/>
          <w:sz w:val="32"/>
          <w:szCs w:val="32"/>
        </w:rPr>
      </w:pPr>
      <w:r>
        <w:rPr>
          <w:rFonts w:hint="eastAsia" w:ascii="黑体" w:hAnsi="仿宋" w:eastAsia="黑体" w:cs="黑体"/>
          <w:sz w:val="32"/>
          <w:szCs w:val="32"/>
        </w:rPr>
        <w:t>“★”条款自查表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733"/>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spacing w:line="360" w:lineRule="auto"/>
              <w:jc w:val="center"/>
              <w:rPr>
                <w:rFonts w:ascii="黑体" w:hAnsi="仿宋" w:eastAsia="黑体" w:cs="黑体"/>
                <w:sz w:val="32"/>
                <w:szCs w:val="32"/>
              </w:rPr>
            </w:pPr>
            <w:r>
              <w:rPr>
                <w:rFonts w:hint="eastAsia" w:ascii="黑体" w:hAnsi="黑体" w:eastAsia="黑体" w:cs="黑体"/>
                <w:sz w:val="24"/>
              </w:rPr>
              <w:t>序号</w:t>
            </w:r>
          </w:p>
        </w:tc>
        <w:tc>
          <w:tcPr>
            <w:tcW w:w="3733" w:type="dxa"/>
            <w:vAlign w:val="center"/>
          </w:tcPr>
          <w:p>
            <w:pPr>
              <w:spacing w:line="360" w:lineRule="auto"/>
              <w:jc w:val="center"/>
              <w:rPr>
                <w:rFonts w:ascii="黑体" w:hAnsi="仿宋" w:eastAsia="黑体" w:cs="黑体"/>
                <w:sz w:val="32"/>
                <w:szCs w:val="32"/>
              </w:rPr>
            </w:pPr>
            <w:r>
              <w:rPr>
                <w:rFonts w:hint="eastAsia" w:ascii="黑体" w:hAnsi="黑体" w:eastAsia="黑体" w:cs="黑体"/>
                <w:sz w:val="24"/>
                <w:lang w:val="en-GB"/>
              </w:rPr>
              <w:t>“</w:t>
            </w:r>
            <w:r>
              <w:rPr>
                <w:rFonts w:hint="eastAsia" w:ascii="黑体" w:hAnsi="黑体" w:eastAsia="黑体" w:cs="黑体"/>
                <w:sz w:val="24"/>
              </w:rPr>
              <w:t>★</w:t>
            </w:r>
            <w:r>
              <w:rPr>
                <w:rFonts w:hint="eastAsia" w:ascii="黑体" w:hAnsi="黑体" w:eastAsia="黑体" w:cs="黑体"/>
                <w:sz w:val="24"/>
                <w:lang w:val="en-GB"/>
              </w:rPr>
              <w:t>”</w:t>
            </w:r>
            <w:r>
              <w:rPr>
                <w:rFonts w:hint="eastAsia" w:ascii="黑体" w:hAnsi="黑体" w:eastAsia="黑体" w:cs="黑体"/>
                <w:sz w:val="24"/>
              </w:rPr>
              <w:t>条款要求</w:t>
            </w:r>
          </w:p>
        </w:tc>
        <w:tc>
          <w:tcPr>
            <w:tcW w:w="2491" w:type="dxa"/>
            <w:vAlign w:val="center"/>
          </w:tcPr>
          <w:p>
            <w:pPr>
              <w:spacing w:line="360" w:lineRule="auto"/>
              <w:jc w:val="center"/>
              <w:rPr>
                <w:rFonts w:ascii="黑体" w:hAnsi="仿宋" w:eastAsia="黑体" w:cs="黑体"/>
                <w:sz w:val="32"/>
                <w:szCs w:val="32"/>
              </w:rPr>
            </w:pPr>
            <w:r>
              <w:rPr>
                <w:rFonts w:hint="eastAsia" w:ascii="黑体" w:hAnsi="黑体" w:eastAsia="黑体" w:cs="黑体"/>
                <w:sz w:val="24"/>
              </w:rPr>
              <w:t>自查结论</w:t>
            </w:r>
          </w:p>
        </w:tc>
        <w:tc>
          <w:tcPr>
            <w:tcW w:w="2491" w:type="dxa"/>
            <w:vAlign w:val="center"/>
          </w:tcPr>
          <w:p>
            <w:pPr>
              <w:spacing w:line="360" w:lineRule="auto"/>
              <w:jc w:val="center"/>
              <w:rPr>
                <w:rFonts w:ascii="黑体" w:hAnsi="仿宋" w:eastAsia="黑体" w:cs="黑体"/>
                <w:sz w:val="32"/>
                <w:szCs w:val="32"/>
              </w:rPr>
            </w:pPr>
            <w:r>
              <w:rPr>
                <w:rFonts w:hint="eastAsia" w:ascii="黑体" w:hAnsi="黑体" w:eastAsia="黑体" w:cs="黑体"/>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spacing w:line="360" w:lineRule="auto"/>
              <w:jc w:val="center"/>
              <w:rPr>
                <w:rFonts w:ascii="宋体" w:hAnsi="宋体"/>
              </w:rPr>
            </w:pPr>
            <w:r>
              <w:rPr>
                <w:rFonts w:hint="eastAsia" w:ascii="宋体" w:hAnsi="宋体"/>
              </w:rPr>
              <w:t>1</w:t>
            </w:r>
          </w:p>
        </w:tc>
        <w:tc>
          <w:tcPr>
            <w:tcW w:w="3733" w:type="dxa"/>
          </w:tcPr>
          <w:p>
            <w:pPr>
              <w:pStyle w:val="9"/>
              <w:rPr>
                <w:rFonts w:ascii="黑体" w:hAnsi="仿宋" w:eastAsia="黑体" w:cs="黑体"/>
                <w:sz w:val="32"/>
                <w:szCs w:val="32"/>
              </w:rPr>
            </w:pPr>
          </w:p>
        </w:tc>
        <w:tc>
          <w:tcPr>
            <w:tcW w:w="2491" w:type="dxa"/>
            <w:vAlign w:val="center"/>
          </w:tcPr>
          <w:p>
            <w:pPr>
              <w:spacing w:line="360" w:lineRule="auto"/>
              <w:jc w:val="center"/>
              <w:rPr>
                <w:rFonts w:ascii="黑体" w:hAnsi="仿宋" w:eastAsia="黑体" w:cs="黑体"/>
                <w:sz w:val="32"/>
                <w:szCs w:val="32"/>
              </w:rPr>
            </w:pPr>
            <w:r>
              <w:rPr>
                <w:rFonts w:hint="eastAsia" w:ascii="宋体" w:hAnsi="宋体"/>
              </w:rPr>
              <w:t>□通过 □不通过</w:t>
            </w:r>
          </w:p>
        </w:tc>
        <w:tc>
          <w:tcPr>
            <w:tcW w:w="2491" w:type="dxa"/>
            <w:vAlign w:val="center"/>
          </w:tcPr>
          <w:p>
            <w:pPr>
              <w:spacing w:line="360" w:lineRule="auto"/>
              <w:jc w:val="center"/>
              <w:rPr>
                <w:rFonts w:ascii="黑体" w:hAnsi="仿宋" w:eastAsia="黑体" w:cs="黑体"/>
                <w:sz w:val="32"/>
                <w:szCs w:val="32"/>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spacing w:line="360" w:lineRule="auto"/>
              <w:jc w:val="center"/>
              <w:rPr>
                <w:rFonts w:ascii="宋体" w:hAnsi="宋体"/>
              </w:rPr>
            </w:pPr>
            <w:r>
              <w:rPr>
                <w:rFonts w:hint="eastAsia" w:ascii="宋体" w:hAnsi="宋体"/>
              </w:rPr>
              <w:t>2</w:t>
            </w:r>
          </w:p>
        </w:tc>
        <w:tc>
          <w:tcPr>
            <w:tcW w:w="3733" w:type="dxa"/>
          </w:tcPr>
          <w:p>
            <w:pPr>
              <w:pStyle w:val="9"/>
              <w:rPr>
                <w:rFonts w:ascii="黑体" w:hAnsi="仿宋" w:eastAsia="黑体" w:cs="黑体"/>
                <w:sz w:val="32"/>
                <w:szCs w:val="32"/>
              </w:rPr>
            </w:pPr>
          </w:p>
        </w:tc>
        <w:tc>
          <w:tcPr>
            <w:tcW w:w="2491" w:type="dxa"/>
            <w:vAlign w:val="center"/>
          </w:tcPr>
          <w:p>
            <w:pPr>
              <w:spacing w:line="360" w:lineRule="auto"/>
              <w:jc w:val="center"/>
              <w:rPr>
                <w:rFonts w:ascii="黑体" w:hAnsi="仿宋" w:eastAsia="黑体" w:cs="黑体"/>
                <w:sz w:val="32"/>
                <w:szCs w:val="32"/>
              </w:rPr>
            </w:pPr>
            <w:r>
              <w:rPr>
                <w:rFonts w:hint="eastAsia" w:ascii="宋体" w:hAnsi="宋体"/>
              </w:rPr>
              <w:t>□通过 □不通过</w:t>
            </w:r>
          </w:p>
        </w:tc>
        <w:tc>
          <w:tcPr>
            <w:tcW w:w="2491" w:type="dxa"/>
            <w:vAlign w:val="center"/>
          </w:tcPr>
          <w:p>
            <w:pPr>
              <w:spacing w:line="360" w:lineRule="auto"/>
              <w:jc w:val="center"/>
              <w:rPr>
                <w:rFonts w:ascii="黑体" w:hAnsi="仿宋" w:eastAsia="黑体" w:cs="黑体"/>
                <w:sz w:val="32"/>
                <w:szCs w:val="32"/>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spacing w:line="360" w:lineRule="auto"/>
              <w:jc w:val="center"/>
              <w:rPr>
                <w:rFonts w:ascii="宋体" w:hAnsi="宋体"/>
              </w:rPr>
            </w:pPr>
            <w:r>
              <w:rPr>
                <w:rFonts w:hint="eastAsia" w:ascii="宋体" w:hAnsi="宋体"/>
              </w:rPr>
              <w:t>3</w:t>
            </w:r>
          </w:p>
        </w:tc>
        <w:tc>
          <w:tcPr>
            <w:tcW w:w="3733" w:type="dxa"/>
          </w:tcPr>
          <w:p>
            <w:pPr>
              <w:pStyle w:val="9"/>
              <w:rPr>
                <w:rFonts w:ascii="黑体" w:hAnsi="仿宋" w:eastAsia="黑体" w:cs="黑体"/>
                <w:sz w:val="32"/>
                <w:szCs w:val="32"/>
              </w:rPr>
            </w:pPr>
          </w:p>
        </w:tc>
        <w:tc>
          <w:tcPr>
            <w:tcW w:w="2491" w:type="dxa"/>
            <w:vAlign w:val="center"/>
          </w:tcPr>
          <w:p>
            <w:pPr>
              <w:spacing w:line="360" w:lineRule="auto"/>
              <w:jc w:val="center"/>
              <w:rPr>
                <w:rFonts w:ascii="黑体" w:hAnsi="仿宋" w:eastAsia="黑体" w:cs="黑体"/>
                <w:sz w:val="32"/>
                <w:szCs w:val="32"/>
              </w:rPr>
            </w:pPr>
            <w:r>
              <w:rPr>
                <w:rFonts w:hint="eastAsia" w:ascii="宋体" w:hAnsi="宋体"/>
              </w:rPr>
              <w:t>□通过 □不通过</w:t>
            </w:r>
          </w:p>
        </w:tc>
        <w:tc>
          <w:tcPr>
            <w:tcW w:w="2491" w:type="dxa"/>
            <w:vAlign w:val="center"/>
          </w:tcPr>
          <w:p>
            <w:pPr>
              <w:spacing w:line="360" w:lineRule="auto"/>
              <w:jc w:val="center"/>
              <w:rPr>
                <w:rFonts w:ascii="黑体" w:hAnsi="仿宋" w:eastAsia="黑体" w:cs="黑体"/>
                <w:sz w:val="32"/>
                <w:szCs w:val="32"/>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spacing w:line="360" w:lineRule="auto"/>
              <w:jc w:val="center"/>
              <w:rPr>
                <w:rFonts w:ascii="宋体" w:hAnsi="宋体"/>
              </w:rPr>
            </w:pPr>
            <w:r>
              <w:rPr>
                <w:rFonts w:hint="eastAsia" w:ascii="宋体" w:hAnsi="宋体"/>
              </w:rPr>
              <w:t>4</w:t>
            </w:r>
          </w:p>
        </w:tc>
        <w:tc>
          <w:tcPr>
            <w:tcW w:w="3733" w:type="dxa"/>
          </w:tcPr>
          <w:p>
            <w:pPr>
              <w:pStyle w:val="9"/>
              <w:rPr>
                <w:rFonts w:ascii="黑体" w:hAnsi="仿宋" w:eastAsia="黑体" w:cs="黑体"/>
                <w:sz w:val="32"/>
                <w:szCs w:val="32"/>
              </w:rPr>
            </w:pPr>
          </w:p>
        </w:tc>
        <w:tc>
          <w:tcPr>
            <w:tcW w:w="2491" w:type="dxa"/>
            <w:vAlign w:val="center"/>
          </w:tcPr>
          <w:p>
            <w:pPr>
              <w:spacing w:line="360" w:lineRule="auto"/>
              <w:jc w:val="center"/>
              <w:rPr>
                <w:rFonts w:ascii="黑体" w:hAnsi="仿宋" w:eastAsia="黑体" w:cs="黑体"/>
                <w:sz w:val="32"/>
                <w:szCs w:val="32"/>
              </w:rPr>
            </w:pPr>
            <w:r>
              <w:rPr>
                <w:rFonts w:hint="eastAsia" w:ascii="宋体" w:hAnsi="宋体"/>
              </w:rPr>
              <w:t>□通过 □不通过</w:t>
            </w:r>
          </w:p>
        </w:tc>
        <w:tc>
          <w:tcPr>
            <w:tcW w:w="2491" w:type="dxa"/>
            <w:vAlign w:val="center"/>
          </w:tcPr>
          <w:p>
            <w:pPr>
              <w:spacing w:line="360" w:lineRule="auto"/>
              <w:jc w:val="center"/>
              <w:rPr>
                <w:rFonts w:ascii="黑体" w:hAnsi="仿宋" w:eastAsia="黑体" w:cs="黑体"/>
                <w:sz w:val="32"/>
                <w:szCs w:val="32"/>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spacing w:line="360" w:lineRule="auto"/>
              <w:jc w:val="center"/>
              <w:rPr>
                <w:rFonts w:ascii="宋体" w:hAnsi="宋体"/>
              </w:rPr>
            </w:pPr>
            <w:r>
              <w:rPr>
                <w:rFonts w:hint="eastAsia" w:ascii="宋体" w:hAnsi="宋体"/>
              </w:rPr>
              <w:t>5</w:t>
            </w:r>
          </w:p>
        </w:tc>
        <w:tc>
          <w:tcPr>
            <w:tcW w:w="3733" w:type="dxa"/>
          </w:tcPr>
          <w:p>
            <w:pPr>
              <w:pStyle w:val="9"/>
              <w:rPr>
                <w:rFonts w:ascii="黑体" w:hAnsi="仿宋" w:eastAsia="黑体" w:cs="黑体"/>
                <w:sz w:val="32"/>
                <w:szCs w:val="32"/>
              </w:rPr>
            </w:pPr>
          </w:p>
        </w:tc>
        <w:tc>
          <w:tcPr>
            <w:tcW w:w="2491" w:type="dxa"/>
            <w:vAlign w:val="center"/>
          </w:tcPr>
          <w:p>
            <w:pPr>
              <w:spacing w:line="360" w:lineRule="auto"/>
              <w:jc w:val="center"/>
              <w:rPr>
                <w:rFonts w:ascii="黑体" w:hAnsi="仿宋" w:eastAsia="黑体" w:cs="黑体"/>
                <w:sz w:val="32"/>
                <w:szCs w:val="32"/>
              </w:rPr>
            </w:pPr>
            <w:r>
              <w:rPr>
                <w:rFonts w:hint="eastAsia" w:ascii="宋体" w:hAnsi="宋体"/>
              </w:rPr>
              <w:t>□通过 □不通过</w:t>
            </w:r>
          </w:p>
        </w:tc>
        <w:tc>
          <w:tcPr>
            <w:tcW w:w="2491" w:type="dxa"/>
            <w:vAlign w:val="center"/>
          </w:tcPr>
          <w:p>
            <w:pPr>
              <w:spacing w:line="360" w:lineRule="auto"/>
              <w:jc w:val="center"/>
              <w:rPr>
                <w:rFonts w:ascii="黑体" w:hAnsi="仿宋" w:eastAsia="黑体" w:cs="黑体"/>
                <w:sz w:val="32"/>
                <w:szCs w:val="32"/>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spacing w:line="360" w:lineRule="auto"/>
              <w:jc w:val="center"/>
              <w:rPr>
                <w:rFonts w:ascii="宋体" w:hAnsi="宋体"/>
              </w:rPr>
            </w:pPr>
            <w:r>
              <w:rPr>
                <w:rFonts w:hint="eastAsia" w:ascii="宋体" w:hAnsi="宋体"/>
              </w:rPr>
              <w:t>6</w:t>
            </w:r>
          </w:p>
        </w:tc>
        <w:tc>
          <w:tcPr>
            <w:tcW w:w="3733" w:type="dxa"/>
          </w:tcPr>
          <w:p>
            <w:pPr>
              <w:pStyle w:val="9"/>
              <w:rPr>
                <w:rFonts w:ascii="黑体" w:hAnsi="仿宋" w:eastAsia="黑体" w:cs="黑体"/>
                <w:sz w:val="32"/>
                <w:szCs w:val="32"/>
              </w:rPr>
            </w:pPr>
          </w:p>
        </w:tc>
        <w:tc>
          <w:tcPr>
            <w:tcW w:w="2491" w:type="dxa"/>
            <w:vAlign w:val="center"/>
          </w:tcPr>
          <w:p>
            <w:pPr>
              <w:spacing w:line="360" w:lineRule="auto"/>
              <w:jc w:val="center"/>
              <w:rPr>
                <w:rFonts w:ascii="宋体" w:hAnsi="宋体"/>
              </w:rPr>
            </w:pPr>
            <w:r>
              <w:rPr>
                <w:rFonts w:hint="eastAsia" w:ascii="宋体" w:hAnsi="宋体"/>
              </w:rPr>
              <w:t>□通过 □不通过</w:t>
            </w:r>
          </w:p>
        </w:tc>
        <w:tc>
          <w:tcPr>
            <w:tcW w:w="2491"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spacing w:line="360" w:lineRule="auto"/>
              <w:jc w:val="center"/>
              <w:rPr>
                <w:rFonts w:ascii="宋体" w:hAnsi="宋体"/>
              </w:rPr>
            </w:pPr>
            <w:r>
              <w:rPr>
                <w:rFonts w:hint="eastAsia" w:ascii="宋体" w:hAnsi="宋体"/>
              </w:rPr>
              <w:t>7</w:t>
            </w:r>
          </w:p>
        </w:tc>
        <w:tc>
          <w:tcPr>
            <w:tcW w:w="3733" w:type="dxa"/>
          </w:tcPr>
          <w:p>
            <w:pPr>
              <w:pStyle w:val="9"/>
              <w:rPr>
                <w:rFonts w:ascii="黑体" w:hAnsi="仿宋" w:eastAsia="黑体" w:cs="黑体"/>
                <w:sz w:val="32"/>
                <w:szCs w:val="32"/>
              </w:rPr>
            </w:pPr>
          </w:p>
        </w:tc>
        <w:tc>
          <w:tcPr>
            <w:tcW w:w="2491" w:type="dxa"/>
            <w:vAlign w:val="center"/>
          </w:tcPr>
          <w:p>
            <w:pPr>
              <w:spacing w:line="360" w:lineRule="auto"/>
              <w:jc w:val="center"/>
              <w:rPr>
                <w:rFonts w:ascii="宋体" w:hAnsi="宋体"/>
              </w:rPr>
            </w:pPr>
            <w:r>
              <w:rPr>
                <w:rFonts w:hint="eastAsia" w:ascii="宋体" w:hAnsi="宋体"/>
              </w:rPr>
              <w:t>□通过 □不通过</w:t>
            </w:r>
          </w:p>
        </w:tc>
        <w:tc>
          <w:tcPr>
            <w:tcW w:w="2491"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spacing w:line="360" w:lineRule="auto"/>
              <w:jc w:val="center"/>
              <w:rPr>
                <w:rFonts w:ascii="宋体" w:hAnsi="宋体"/>
              </w:rPr>
            </w:pPr>
            <w:r>
              <w:rPr>
                <w:rFonts w:hint="eastAsia" w:ascii="宋体" w:hAnsi="宋体"/>
              </w:rPr>
              <w:t>8</w:t>
            </w:r>
          </w:p>
        </w:tc>
        <w:tc>
          <w:tcPr>
            <w:tcW w:w="3733" w:type="dxa"/>
          </w:tcPr>
          <w:p>
            <w:pPr>
              <w:pStyle w:val="9"/>
              <w:rPr>
                <w:rFonts w:ascii="黑体" w:hAnsi="仿宋" w:eastAsia="黑体" w:cs="黑体"/>
                <w:sz w:val="32"/>
                <w:szCs w:val="32"/>
              </w:rPr>
            </w:pPr>
          </w:p>
        </w:tc>
        <w:tc>
          <w:tcPr>
            <w:tcW w:w="2491" w:type="dxa"/>
            <w:vAlign w:val="center"/>
          </w:tcPr>
          <w:p>
            <w:pPr>
              <w:spacing w:line="360" w:lineRule="auto"/>
              <w:jc w:val="center"/>
              <w:rPr>
                <w:rFonts w:ascii="宋体" w:hAnsi="宋体"/>
              </w:rPr>
            </w:pPr>
            <w:r>
              <w:rPr>
                <w:rFonts w:hint="eastAsia" w:ascii="宋体" w:hAnsi="宋体"/>
              </w:rPr>
              <w:t>□通过 □不通过</w:t>
            </w:r>
          </w:p>
        </w:tc>
        <w:tc>
          <w:tcPr>
            <w:tcW w:w="2491"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spacing w:line="360" w:lineRule="auto"/>
              <w:jc w:val="center"/>
              <w:rPr>
                <w:rFonts w:ascii="宋体" w:hAnsi="宋体"/>
              </w:rPr>
            </w:pPr>
            <w:r>
              <w:rPr>
                <w:rFonts w:hint="eastAsia" w:ascii="宋体" w:hAnsi="宋体"/>
              </w:rPr>
              <w:t>9</w:t>
            </w:r>
          </w:p>
        </w:tc>
        <w:tc>
          <w:tcPr>
            <w:tcW w:w="3733" w:type="dxa"/>
          </w:tcPr>
          <w:p>
            <w:pPr>
              <w:pStyle w:val="9"/>
              <w:rPr>
                <w:rFonts w:ascii="黑体" w:hAnsi="仿宋" w:eastAsia="黑体" w:cs="黑体"/>
                <w:sz w:val="32"/>
                <w:szCs w:val="32"/>
              </w:rPr>
            </w:pPr>
          </w:p>
        </w:tc>
        <w:tc>
          <w:tcPr>
            <w:tcW w:w="2491" w:type="dxa"/>
            <w:vAlign w:val="center"/>
          </w:tcPr>
          <w:p>
            <w:pPr>
              <w:spacing w:line="360" w:lineRule="auto"/>
              <w:jc w:val="center"/>
              <w:rPr>
                <w:rFonts w:ascii="宋体" w:hAnsi="宋体"/>
              </w:rPr>
            </w:pPr>
            <w:r>
              <w:rPr>
                <w:rFonts w:hint="eastAsia" w:ascii="宋体" w:hAnsi="宋体"/>
              </w:rPr>
              <w:t>□通过 □不通过</w:t>
            </w:r>
          </w:p>
        </w:tc>
        <w:tc>
          <w:tcPr>
            <w:tcW w:w="2491"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spacing w:line="360" w:lineRule="auto"/>
              <w:jc w:val="center"/>
              <w:rPr>
                <w:rFonts w:ascii="宋体" w:hAnsi="宋体"/>
              </w:rPr>
            </w:pPr>
            <w:r>
              <w:rPr>
                <w:rFonts w:hint="eastAsia" w:ascii="宋体" w:hAnsi="宋体"/>
              </w:rPr>
              <w:t>……</w:t>
            </w:r>
          </w:p>
        </w:tc>
        <w:tc>
          <w:tcPr>
            <w:tcW w:w="3733" w:type="dxa"/>
          </w:tcPr>
          <w:p>
            <w:pPr>
              <w:pStyle w:val="9"/>
              <w:rPr>
                <w:rFonts w:ascii="黑体" w:hAnsi="仿宋" w:eastAsia="黑体" w:cs="黑体"/>
                <w:sz w:val="32"/>
                <w:szCs w:val="32"/>
              </w:rPr>
            </w:pPr>
          </w:p>
        </w:tc>
        <w:tc>
          <w:tcPr>
            <w:tcW w:w="2491" w:type="dxa"/>
            <w:vAlign w:val="center"/>
          </w:tcPr>
          <w:p>
            <w:pPr>
              <w:spacing w:line="360" w:lineRule="auto"/>
              <w:jc w:val="center"/>
              <w:rPr>
                <w:rFonts w:ascii="宋体" w:hAnsi="宋体"/>
              </w:rPr>
            </w:pPr>
          </w:p>
        </w:tc>
        <w:tc>
          <w:tcPr>
            <w:tcW w:w="2491" w:type="dxa"/>
            <w:vAlign w:val="center"/>
          </w:tcPr>
          <w:p>
            <w:pPr>
              <w:spacing w:line="360" w:lineRule="auto"/>
              <w:jc w:val="center"/>
              <w:rPr>
                <w:rFonts w:ascii="宋体" w:hAnsi="宋体"/>
              </w:rPr>
            </w:pPr>
          </w:p>
        </w:tc>
      </w:tr>
    </w:tbl>
    <w:p>
      <w:pPr>
        <w:wordWrap w:val="0"/>
        <w:topLinePunct/>
        <w:spacing w:line="500" w:lineRule="exact"/>
        <w:ind w:firstLine="422" w:firstLineChars="200"/>
        <w:rPr>
          <w:rFonts w:ascii="宋体" w:hAnsi="宋体"/>
          <w:szCs w:val="21"/>
          <w:lang w:val="en-GB"/>
        </w:rPr>
      </w:pPr>
      <w:r>
        <w:rPr>
          <w:rFonts w:hint="eastAsia" w:ascii="宋体" w:hAnsi="宋体"/>
          <w:b/>
          <w:bCs/>
          <w:u w:val="single"/>
          <w:lang w:val="en-GB"/>
        </w:rPr>
        <w:t>注：此表内容必须与</w:t>
      </w:r>
      <w:r>
        <w:rPr>
          <w:rFonts w:hint="eastAsia" w:ascii="宋体" w:hAnsi="宋体"/>
          <w:b/>
          <w:bCs/>
          <w:u w:val="single"/>
        </w:rPr>
        <w:t>响应</w:t>
      </w:r>
      <w:r>
        <w:rPr>
          <w:rFonts w:hint="eastAsia" w:ascii="宋体" w:hAnsi="宋体"/>
          <w:b/>
          <w:bCs/>
          <w:u w:val="single"/>
          <w:lang w:val="en-GB"/>
        </w:rPr>
        <w:t>文件中所介绍的内容一致。</w:t>
      </w:r>
    </w:p>
    <w:p>
      <w:pPr>
        <w:spacing w:line="360" w:lineRule="auto"/>
        <w:ind w:firstLine="482" w:firstLineChars="200"/>
        <w:rPr>
          <w:rFonts w:ascii="宋体" w:hAnsi="宋体"/>
          <w:b/>
          <w:bCs/>
          <w:sz w:val="24"/>
        </w:rPr>
      </w:pPr>
      <w:r>
        <w:rPr>
          <w:rFonts w:hint="eastAsia" w:ascii="宋体" w:hAnsi="宋体"/>
          <w:b/>
          <w:bCs/>
          <w:sz w:val="24"/>
        </w:rPr>
        <w:br w:type="page"/>
      </w:r>
      <w:r>
        <w:rPr>
          <w:rFonts w:hint="eastAsia" w:ascii="宋体" w:hAnsi="宋体"/>
          <w:b/>
          <w:bCs/>
          <w:sz w:val="24"/>
        </w:rPr>
        <w:t>2.3技术评审自查表</w:t>
      </w:r>
    </w:p>
    <w:p>
      <w:pPr>
        <w:spacing w:line="360" w:lineRule="auto"/>
        <w:ind w:firstLine="480" w:firstLineChars="200"/>
        <w:rPr>
          <w:rFonts w:ascii="??_GB2312" w:hAnsi="仿宋" w:eastAsia="Times New Roman" w:cs="Times New Roman"/>
          <w:b/>
          <w:bCs/>
          <w:sz w:val="24"/>
        </w:rPr>
      </w:pPr>
    </w:p>
    <w:p>
      <w:pPr>
        <w:spacing w:line="360" w:lineRule="atLeast"/>
        <w:jc w:val="center"/>
        <w:rPr>
          <w:rFonts w:ascii="黑体" w:hAnsi="仿宋" w:eastAsia="黑体" w:cs="Times New Roman"/>
          <w:sz w:val="32"/>
          <w:szCs w:val="32"/>
        </w:rPr>
      </w:pPr>
      <w:r>
        <w:rPr>
          <w:rFonts w:hint="eastAsia" w:ascii="黑体" w:hAnsi="仿宋" w:eastAsia="黑体" w:cs="黑体"/>
          <w:sz w:val="32"/>
          <w:szCs w:val="32"/>
        </w:rPr>
        <w:t>技术评审自查表</w:t>
      </w: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序号</w:t>
            </w:r>
          </w:p>
        </w:tc>
        <w:tc>
          <w:tcPr>
            <w:tcW w:w="1825"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评审分项</w:t>
            </w:r>
          </w:p>
        </w:tc>
        <w:tc>
          <w:tcPr>
            <w:tcW w:w="3150"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内容</w:t>
            </w:r>
          </w:p>
        </w:tc>
        <w:tc>
          <w:tcPr>
            <w:tcW w:w="2863"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1</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2</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3</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4</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5</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6</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7</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8</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9</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p>
        </w:tc>
      </w:tr>
    </w:tbl>
    <w:p>
      <w:pPr>
        <w:wordWrap w:val="0"/>
        <w:topLinePunct/>
        <w:spacing w:line="500" w:lineRule="exact"/>
        <w:ind w:firstLine="422" w:firstLineChars="200"/>
        <w:rPr>
          <w:rFonts w:ascii="宋体" w:cs="Times New Roman"/>
          <w:b/>
          <w:bCs/>
          <w:u w:val="single"/>
          <w:lang w:val="en-GB"/>
        </w:rPr>
      </w:pPr>
      <w:r>
        <w:rPr>
          <w:rFonts w:hint="eastAsia" w:ascii="宋体" w:hAnsi="宋体"/>
          <w:b/>
          <w:bCs/>
          <w:u w:val="single"/>
          <w:lang w:val="en-GB"/>
        </w:rPr>
        <w:t>注：</w:t>
      </w:r>
      <w:r>
        <w:rPr>
          <w:rFonts w:hint="eastAsia" w:ascii="宋体" w:hAnsi="宋体"/>
          <w:b/>
          <w:bCs/>
          <w:u w:val="single"/>
        </w:rPr>
        <w:t>响应供应商应根据《技术评审表》的各项内容填写此表</w:t>
      </w:r>
      <w:r>
        <w:rPr>
          <w:rFonts w:hint="eastAsia" w:ascii="宋体" w:hAnsi="宋体"/>
          <w:b/>
          <w:bCs/>
          <w:u w:val="single"/>
          <w:lang w:val="en-GB"/>
        </w:rPr>
        <w:t>。</w:t>
      </w: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pStyle w:val="8"/>
        <w:spacing w:after="0" w:line="360" w:lineRule="auto"/>
        <w:rPr>
          <w:rFonts w:ascii="宋体"/>
          <w:sz w:val="21"/>
          <w:szCs w:val="21"/>
          <w:lang w:val="en-GB"/>
        </w:rPr>
      </w:pPr>
    </w:p>
    <w:p>
      <w:pPr>
        <w:spacing w:line="360" w:lineRule="auto"/>
        <w:ind w:firstLine="482" w:firstLineChars="200"/>
        <w:rPr>
          <w:rFonts w:ascii="宋体" w:cs="Times New Roman"/>
          <w:b/>
          <w:bCs/>
          <w:sz w:val="24"/>
        </w:rPr>
      </w:pPr>
      <w:r>
        <w:rPr>
          <w:rFonts w:ascii="宋体" w:hAnsi="宋体"/>
          <w:b/>
          <w:bCs/>
          <w:sz w:val="24"/>
        </w:rPr>
        <w:t>2.</w:t>
      </w:r>
      <w:r>
        <w:rPr>
          <w:rFonts w:hint="eastAsia" w:ascii="宋体" w:hAnsi="宋体"/>
          <w:b/>
          <w:bCs/>
          <w:sz w:val="24"/>
        </w:rPr>
        <w:t>4商务评审自查表</w:t>
      </w:r>
    </w:p>
    <w:p>
      <w:pPr>
        <w:spacing w:line="360" w:lineRule="auto"/>
        <w:ind w:firstLine="480" w:firstLineChars="200"/>
        <w:rPr>
          <w:rFonts w:ascii="??_GB2312" w:hAnsi="仿宋" w:eastAsia="Times New Roman" w:cs="Times New Roman"/>
          <w:b/>
          <w:bCs/>
          <w:sz w:val="24"/>
        </w:rPr>
      </w:pPr>
    </w:p>
    <w:p>
      <w:pPr>
        <w:spacing w:line="360" w:lineRule="atLeast"/>
        <w:jc w:val="center"/>
        <w:rPr>
          <w:rFonts w:ascii="黑体" w:hAnsi="仿宋" w:eastAsia="黑体" w:cs="Times New Roman"/>
          <w:sz w:val="32"/>
          <w:szCs w:val="32"/>
        </w:rPr>
      </w:pPr>
      <w:r>
        <w:rPr>
          <w:rFonts w:hint="eastAsia" w:ascii="黑体" w:hAnsi="仿宋" w:eastAsia="黑体" w:cs="黑体"/>
          <w:sz w:val="32"/>
          <w:szCs w:val="32"/>
        </w:rPr>
        <w:t>商务评审自查表</w:t>
      </w: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序号</w:t>
            </w:r>
          </w:p>
        </w:tc>
        <w:tc>
          <w:tcPr>
            <w:tcW w:w="1825"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评审分项</w:t>
            </w:r>
          </w:p>
        </w:tc>
        <w:tc>
          <w:tcPr>
            <w:tcW w:w="3150"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内容</w:t>
            </w:r>
          </w:p>
        </w:tc>
        <w:tc>
          <w:tcPr>
            <w:tcW w:w="2863" w:type="dxa"/>
            <w:vAlign w:val="center"/>
          </w:tcPr>
          <w:p>
            <w:pPr>
              <w:spacing w:line="360" w:lineRule="auto"/>
              <w:jc w:val="center"/>
              <w:rPr>
                <w:rFonts w:ascii="黑体" w:hAnsi="黑体" w:eastAsia="黑体" w:cs="Times New Roman"/>
                <w:sz w:val="24"/>
              </w:rPr>
            </w:pPr>
            <w:r>
              <w:rPr>
                <w:rFonts w:hint="eastAsia" w:ascii="黑体" w:hAnsi="黑体" w:eastAsia="黑体" w:cs="黑体"/>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1</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2</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3</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4</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5</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6</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7</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8</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9</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r>
              <w:rPr>
                <w:rFonts w:hint="eastAsia" w:ascii="宋体" w:hAnsi="宋体"/>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pPr>
              <w:spacing w:line="360" w:lineRule="auto"/>
              <w:jc w:val="center"/>
              <w:rPr>
                <w:rFonts w:ascii="宋体" w:hAnsi="宋体"/>
              </w:rPr>
            </w:pPr>
            <w:r>
              <w:rPr>
                <w:rFonts w:hint="eastAsia" w:ascii="宋体" w:hAnsi="宋体"/>
              </w:rPr>
              <w:t>…</w:t>
            </w:r>
          </w:p>
        </w:tc>
        <w:tc>
          <w:tcPr>
            <w:tcW w:w="1825" w:type="dxa"/>
            <w:vAlign w:val="center"/>
          </w:tcPr>
          <w:p>
            <w:pPr>
              <w:spacing w:line="360" w:lineRule="auto"/>
              <w:jc w:val="center"/>
              <w:rPr>
                <w:rFonts w:ascii="宋体" w:hAnsi="宋体"/>
              </w:rPr>
            </w:pPr>
          </w:p>
        </w:tc>
        <w:tc>
          <w:tcPr>
            <w:tcW w:w="3150" w:type="dxa"/>
            <w:vAlign w:val="center"/>
          </w:tcPr>
          <w:p>
            <w:pPr>
              <w:spacing w:line="360" w:lineRule="auto"/>
              <w:jc w:val="center"/>
              <w:rPr>
                <w:rFonts w:ascii="宋体" w:hAnsi="宋体"/>
              </w:rPr>
            </w:pPr>
          </w:p>
        </w:tc>
        <w:tc>
          <w:tcPr>
            <w:tcW w:w="2863" w:type="dxa"/>
            <w:vAlign w:val="center"/>
          </w:tcPr>
          <w:p>
            <w:pPr>
              <w:spacing w:line="360" w:lineRule="auto"/>
              <w:jc w:val="center"/>
              <w:rPr>
                <w:rFonts w:ascii="宋体" w:hAnsi="宋体"/>
              </w:rPr>
            </w:pPr>
          </w:p>
        </w:tc>
      </w:tr>
    </w:tbl>
    <w:p>
      <w:pPr>
        <w:wordWrap w:val="0"/>
        <w:topLinePunct/>
        <w:spacing w:line="500" w:lineRule="exact"/>
        <w:ind w:firstLine="422" w:firstLineChars="200"/>
        <w:rPr>
          <w:rFonts w:ascii="宋体" w:cs="Times New Roman"/>
          <w:b/>
          <w:bCs/>
          <w:u w:val="single"/>
          <w:lang w:val="en-GB"/>
        </w:rPr>
      </w:pPr>
      <w:r>
        <w:rPr>
          <w:rFonts w:hint="eastAsia" w:ascii="宋体" w:hAnsi="宋体"/>
          <w:b/>
          <w:bCs/>
          <w:u w:val="single"/>
          <w:lang w:val="en-GB"/>
        </w:rPr>
        <w:t>注：</w:t>
      </w:r>
      <w:r>
        <w:rPr>
          <w:rFonts w:hint="eastAsia" w:ascii="宋体" w:hAnsi="宋体"/>
          <w:b/>
          <w:bCs/>
          <w:u w:val="single"/>
        </w:rPr>
        <w:t>响应</w:t>
      </w:r>
      <w:r>
        <w:rPr>
          <w:rFonts w:hint="eastAsia" w:ascii="宋体" w:hAnsi="宋体"/>
          <w:b/>
          <w:bCs/>
          <w:u w:val="single"/>
          <w:lang w:val="en-GB"/>
        </w:rPr>
        <w:t>供应商应根据《商务评审表》的各项内容填写此表。</w:t>
      </w: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Pr>
        <w:pStyle w:val="8"/>
        <w:spacing w:after="0" w:line="360" w:lineRule="auto"/>
        <w:ind w:left="424" w:hanging="424" w:hangingChars="202"/>
        <w:rPr>
          <w:rFonts w:ascii="宋体"/>
          <w:sz w:val="21"/>
          <w:szCs w:val="21"/>
          <w:lang w:val="en-GB"/>
        </w:rPr>
      </w:pPr>
    </w:p>
    <w:p/>
    <w:p>
      <w:pPr>
        <w:spacing w:line="360" w:lineRule="auto"/>
        <w:jc w:val="center"/>
        <w:outlineLvl w:val="1"/>
        <w:rPr>
          <w:rFonts w:ascii="黑体" w:hAnsi="仿宋" w:eastAsia="黑体" w:cs="仿宋"/>
          <w:b/>
          <w:sz w:val="32"/>
          <w:szCs w:val="32"/>
        </w:rPr>
      </w:pPr>
      <w:bookmarkStart w:id="248" w:name="_Toc21642"/>
      <w:bookmarkStart w:id="249" w:name="_Toc23471"/>
      <w:r>
        <w:rPr>
          <w:rFonts w:hint="eastAsia" w:ascii="黑体" w:hAnsi="仿宋" w:eastAsia="黑体" w:cs="仿宋"/>
          <w:b/>
          <w:sz w:val="32"/>
          <w:szCs w:val="32"/>
        </w:rPr>
        <w:t>三、</w:t>
      </w:r>
      <w:bookmarkEnd w:id="187"/>
      <w:r>
        <w:rPr>
          <w:rFonts w:hint="eastAsia" w:ascii="黑体" w:hAnsi="仿宋" w:eastAsia="黑体" w:cs="仿宋"/>
          <w:b/>
          <w:sz w:val="32"/>
          <w:szCs w:val="32"/>
        </w:rPr>
        <w:t>响应函（格式）</w:t>
      </w:r>
      <w:bookmarkEnd w:id="246"/>
      <w:bookmarkEnd w:id="247"/>
      <w:bookmarkEnd w:id="248"/>
      <w:bookmarkEnd w:id="249"/>
    </w:p>
    <w:p>
      <w:pPr>
        <w:spacing w:line="360" w:lineRule="auto"/>
        <w:rPr>
          <w:rFonts w:ascii="宋体" w:hAnsi="宋体"/>
          <w:b/>
          <w:bCs/>
          <w:sz w:val="24"/>
        </w:rPr>
      </w:pPr>
      <w:r>
        <w:rPr>
          <w:rFonts w:hint="eastAsia" w:ascii="宋体" w:hAnsi="宋体"/>
          <w:sz w:val="24"/>
        </w:rPr>
        <w:t>致：</w:t>
      </w:r>
      <w:r>
        <w:rPr>
          <w:rFonts w:hint="eastAsia" w:ascii="宋体" w:hAnsi="宋体"/>
          <w:b/>
          <w:bCs/>
          <w:sz w:val="24"/>
        </w:rPr>
        <w:t>陕西德勤招标有限公司</w:t>
      </w:r>
    </w:p>
    <w:p>
      <w:pPr>
        <w:spacing w:line="360" w:lineRule="auto"/>
        <w:ind w:firstLine="480" w:firstLineChars="200"/>
        <w:rPr>
          <w:rFonts w:ascii="宋体" w:hAnsi="宋体"/>
          <w:sz w:val="24"/>
        </w:rPr>
      </w:pPr>
      <w:r>
        <w:rPr>
          <w:rFonts w:hint="eastAsia" w:ascii="宋体" w:hAnsi="宋体"/>
          <w:sz w:val="24"/>
        </w:rPr>
        <w:t>为响应你方组织的</w:t>
      </w:r>
      <w:r>
        <w:rPr>
          <w:rFonts w:hint="eastAsia" w:ascii="宋体" w:hAnsi="宋体"/>
          <w:sz w:val="24"/>
          <w:u w:val="single"/>
        </w:rPr>
        <w:t>（</w:t>
      </w:r>
      <w:r>
        <w:rPr>
          <w:rFonts w:hint="eastAsia" w:hAnsi="宋体"/>
          <w:sz w:val="24"/>
          <w:u w:val="single"/>
        </w:rPr>
        <w:t>采购项目名称）</w:t>
      </w:r>
      <w:r>
        <w:rPr>
          <w:rFonts w:hint="eastAsia" w:ascii="宋体" w:hAnsi="宋体"/>
          <w:sz w:val="24"/>
        </w:rPr>
        <w:t>的竞争性磋商采购（项目编号为：</w:t>
      </w:r>
      <w:r>
        <w:rPr>
          <w:rFonts w:hint="eastAsia" w:ascii="宋体" w:hAnsi="宋体"/>
          <w:sz w:val="24"/>
          <w:u w:val="single"/>
        </w:rPr>
        <w:t xml:space="preserve">        </w:t>
      </w:r>
      <w:r>
        <w:rPr>
          <w:rFonts w:hint="eastAsia" w:ascii="宋体" w:hAnsi="宋体"/>
          <w:sz w:val="24"/>
        </w:rPr>
        <w:t>），我方愿参与磋商。</w:t>
      </w:r>
    </w:p>
    <w:p>
      <w:pPr>
        <w:spacing w:line="360" w:lineRule="auto"/>
        <w:ind w:firstLine="480" w:firstLineChars="200"/>
        <w:rPr>
          <w:rFonts w:ascii="宋体" w:hAnsi="宋体"/>
          <w:sz w:val="24"/>
        </w:rPr>
      </w:pPr>
      <w:r>
        <w:rPr>
          <w:rFonts w:hint="eastAsia" w:ascii="宋体" w:hAnsi="宋体"/>
          <w:sz w:val="24"/>
        </w:rPr>
        <w:t>我方确认收到贵方提供的</w:t>
      </w:r>
      <w:r>
        <w:rPr>
          <w:rFonts w:hint="eastAsia" w:ascii="宋体" w:hAnsi="宋体"/>
          <w:sz w:val="24"/>
          <w:u w:val="single"/>
        </w:rPr>
        <w:t xml:space="preserve">  （</w:t>
      </w:r>
      <w:r>
        <w:rPr>
          <w:rFonts w:hint="eastAsia" w:hAnsi="宋体"/>
          <w:sz w:val="24"/>
          <w:u w:val="single"/>
        </w:rPr>
        <w:t>采购项目名称）</w:t>
      </w:r>
      <w:r>
        <w:rPr>
          <w:rFonts w:hint="eastAsia" w:ascii="宋体" w:hAnsi="宋体"/>
          <w:sz w:val="24"/>
          <w:u w:val="single"/>
        </w:rPr>
        <w:t xml:space="preserve">  </w:t>
      </w:r>
      <w:r>
        <w:rPr>
          <w:rFonts w:hint="eastAsia" w:ascii="宋体" w:hAnsi="宋体"/>
          <w:sz w:val="24"/>
        </w:rPr>
        <w:t>磋商文件的全部内容。</w:t>
      </w:r>
    </w:p>
    <w:p>
      <w:pPr>
        <w:spacing w:line="360" w:lineRule="auto"/>
        <w:ind w:firstLine="480" w:firstLineChars="200"/>
        <w:rPr>
          <w:rFonts w:ascii="宋体" w:hAnsi="宋体"/>
          <w:sz w:val="24"/>
        </w:rPr>
      </w:pPr>
      <w:r>
        <w:rPr>
          <w:rFonts w:hint="eastAsia" w:ascii="宋体" w:hAnsi="宋体"/>
          <w:sz w:val="24"/>
        </w:rPr>
        <w:t>我方在参与磋商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spacing w:line="360" w:lineRule="auto"/>
        <w:ind w:firstLine="480" w:firstLineChars="200"/>
        <w:rPr>
          <w:rFonts w:ascii="宋体" w:hAnsi="宋体"/>
          <w:sz w:val="24"/>
        </w:rPr>
      </w:pPr>
      <w:r>
        <w:rPr>
          <w:rFonts w:hint="eastAsia" w:ascii="宋体" w:hAnsi="宋体"/>
          <w:sz w:val="24"/>
          <w:u w:val="single"/>
        </w:rPr>
        <w:t xml:space="preserve">      (供应商名称)      </w:t>
      </w:r>
      <w:r>
        <w:rPr>
          <w:rFonts w:hint="eastAsia" w:ascii="宋体" w:hAnsi="宋体"/>
          <w:sz w:val="24"/>
        </w:rPr>
        <w:t>作为供应商正式授权</w:t>
      </w:r>
      <w:r>
        <w:rPr>
          <w:rFonts w:hint="eastAsia" w:ascii="宋体" w:hAnsi="宋体"/>
          <w:sz w:val="24"/>
          <w:u w:val="single"/>
        </w:rPr>
        <w:t xml:space="preserve">  (授权代表全名, 职务)  </w:t>
      </w:r>
      <w:r>
        <w:rPr>
          <w:rFonts w:hint="eastAsia" w:ascii="宋体" w:hAnsi="宋体"/>
          <w:sz w:val="24"/>
        </w:rPr>
        <w:t>代表我方全权处理有关本响应的一切事宜。</w:t>
      </w:r>
    </w:p>
    <w:p>
      <w:pPr>
        <w:spacing w:line="360" w:lineRule="auto"/>
        <w:ind w:firstLine="480" w:firstLineChars="200"/>
        <w:rPr>
          <w:rFonts w:ascii="宋体" w:hAnsi="宋体"/>
          <w:sz w:val="24"/>
        </w:rPr>
      </w:pPr>
      <w:r>
        <w:rPr>
          <w:rFonts w:hint="eastAsia" w:ascii="宋体" w:hAnsi="宋体"/>
          <w:sz w:val="24"/>
        </w:rPr>
        <w:t>在此提交的响应文件，正本壹份，副本</w:t>
      </w:r>
      <w:r>
        <w:rPr>
          <w:rFonts w:hint="eastAsia" w:ascii="宋体" w:hAnsi="宋体"/>
          <w:sz w:val="24"/>
          <w:u w:val="single"/>
        </w:rPr>
        <w:t xml:space="preserve">  </w:t>
      </w:r>
      <w:r>
        <w:rPr>
          <w:rFonts w:hint="eastAsia" w:ascii="宋体" w:hAnsi="宋体"/>
          <w:sz w:val="24"/>
        </w:rPr>
        <w:t>份，电子版本</w:t>
      </w:r>
      <w:r>
        <w:rPr>
          <w:rFonts w:hint="eastAsia" w:ascii="宋体" w:hAnsi="宋体"/>
          <w:sz w:val="24"/>
          <w:u w:val="single"/>
        </w:rPr>
        <w:t xml:space="preserve">  </w:t>
      </w:r>
      <w:r>
        <w:rPr>
          <w:rFonts w:hint="eastAsia" w:ascii="宋体" w:hAnsi="宋体"/>
          <w:sz w:val="24"/>
        </w:rPr>
        <w:t>份。</w:t>
      </w:r>
    </w:p>
    <w:p>
      <w:pPr>
        <w:spacing w:line="360" w:lineRule="auto"/>
        <w:ind w:firstLine="480" w:firstLineChars="200"/>
        <w:rPr>
          <w:rFonts w:ascii="宋体" w:hAnsi="宋体"/>
          <w:sz w:val="24"/>
        </w:rPr>
      </w:pPr>
      <w:r>
        <w:rPr>
          <w:rFonts w:hint="eastAsia" w:ascii="宋体" w:hAnsi="宋体"/>
          <w:sz w:val="24"/>
        </w:rPr>
        <w:t>我方已完全明白磋商文件的所有条款要求，并申明如下：</w:t>
      </w:r>
    </w:p>
    <w:p>
      <w:pPr>
        <w:spacing w:line="360" w:lineRule="auto"/>
        <w:ind w:firstLine="480" w:firstLineChars="200"/>
        <w:rPr>
          <w:rFonts w:ascii="宋体" w:hAnsi="宋体"/>
          <w:sz w:val="24"/>
        </w:rPr>
      </w:pPr>
      <w:r>
        <w:rPr>
          <w:rFonts w:hint="eastAsia" w:ascii="宋体" w:hAnsi="宋体"/>
          <w:sz w:val="24"/>
        </w:rPr>
        <w:t>（一）按磋商文件提供的全部服务的响应总价详见《首次报价一览表》。</w:t>
      </w:r>
    </w:p>
    <w:p>
      <w:pPr>
        <w:spacing w:line="360" w:lineRule="auto"/>
        <w:ind w:firstLine="480" w:firstLineChars="200"/>
        <w:rPr>
          <w:rFonts w:ascii="宋体" w:hAnsi="宋体"/>
          <w:sz w:val="24"/>
        </w:rPr>
      </w:pPr>
      <w:r>
        <w:rPr>
          <w:rFonts w:hint="eastAsia" w:ascii="宋体" w:hAnsi="宋体"/>
          <w:sz w:val="24"/>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spacing w:line="360" w:lineRule="auto"/>
        <w:ind w:firstLine="480" w:firstLineChars="200"/>
        <w:rPr>
          <w:rFonts w:ascii="宋体" w:hAnsi="宋体"/>
          <w:sz w:val="24"/>
        </w:rPr>
      </w:pPr>
      <w:r>
        <w:rPr>
          <w:rFonts w:hint="eastAsia" w:ascii="宋体" w:hAnsi="宋体"/>
          <w:sz w:val="24"/>
        </w:rPr>
        <w:t>（三）我方明白并同意，在规定的开标日之后，响应有效期之内撤回响应或成交后不按规定与采购人签订合同或拒绝提交履约保证金，则贵方将不予退还磋商保证金。</w:t>
      </w:r>
    </w:p>
    <w:p>
      <w:pPr>
        <w:spacing w:line="360" w:lineRule="auto"/>
        <w:ind w:firstLine="480" w:firstLineChars="200"/>
        <w:rPr>
          <w:rFonts w:ascii="宋体" w:hAnsi="宋体"/>
          <w:sz w:val="24"/>
        </w:rPr>
      </w:pPr>
      <w:r>
        <w:rPr>
          <w:rFonts w:hint="eastAsia" w:ascii="宋体" w:hAnsi="宋体"/>
          <w:sz w:val="24"/>
        </w:rPr>
        <w:t>（四）我方同意按照贵方可能提出的要求而提供与响应有关的任何其它数据、信息或资料。</w:t>
      </w:r>
    </w:p>
    <w:p>
      <w:pPr>
        <w:spacing w:line="360" w:lineRule="auto"/>
        <w:ind w:firstLine="480" w:firstLineChars="200"/>
        <w:rPr>
          <w:rFonts w:ascii="宋体" w:hAnsi="宋体"/>
          <w:sz w:val="24"/>
        </w:rPr>
      </w:pPr>
      <w:r>
        <w:rPr>
          <w:rFonts w:hint="eastAsia" w:ascii="宋体" w:hAnsi="宋体"/>
          <w:sz w:val="24"/>
        </w:rPr>
        <w:t>（五）我方理解贵方不一定接受最低响应价或任何贵方可能收到的响应报价。</w:t>
      </w:r>
    </w:p>
    <w:p>
      <w:pPr>
        <w:spacing w:line="360" w:lineRule="auto"/>
        <w:ind w:firstLine="480" w:firstLineChars="200"/>
        <w:rPr>
          <w:rFonts w:ascii="宋体" w:hAnsi="宋体"/>
          <w:sz w:val="24"/>
        </w:rPr>
      </w:pPr>
      <w:r>
        <w:rPr>
          <w:rFonts w:hint="eastAsia" w:ascii="宋体" w:hAnsi="宋体"/>
          <w:sz w:val="24"/>
        </w:rPr>
        <w:t>（六）我方如果成交，将保证履行磋商文件及其澄清、修改文件（如果有）中的全部责任和义务，按质、按量、按期完成《用户需求书》及《合同书》中的全部任务。</w:t>
      </w:r>
    </w:p>
    <w:p>
      <w:pPr>
        <w:spacing w:line="360" w:lineRule="auto"/>
        <w:ind w:firstLine="480" w:firstLineChars="200"/>
        <w:rPr>
          <w:rFonts w:ascii="宋体" w:hAnsi="宋体"/>
          <w:sz w:val="24"/>
        </w:rPr>
      </w:pPr>
      <w:r>
        <w:rPr>
          <w:rFonts w:hint="eastAsia" w:ascii="宋体" w:hAnsi="宋体"/>
          <w:sz w:val="24"/>
        </w:rPr>
        <w:t>（七）如我方被授予合同，我方承诺支付就本次采购应支付或将支付的采购代理服务费。</w:t>
      </w:r>
    </w:p>
    <w:p>
      <w:pPr>
        <w:spacing w:line="360" w:lineRule="auto"/>
        <w:ind w:firstLine="480" w:firstLineChars="200"/>
        <w:rPr>
          <w:rFonts w:ascii="宋体" w:hAnsi="宋体"/>
          <w:sz w:val="24"/>
        </w:rPr>
      </w:pPr>
      <w:r>
        <w:rPr>
          <w:rFonts w:hint="eastAsia" w:ascii="宋体" w:hAnsi="宋体"/>
          <w:sz w:val="24"/>
        </w:rPr>
        <w:t>（八）我方作为在法律、财务和运作上独立于采购人、采购代理机构的供应商，在此保证所提交的所有文件和全部说明是真实的和正确的。</w:t>
      </w:r>
    </w:p>
    <w:p>
      <w:pPr>
        <w:spacing w:line="360" w:lineRule="auto"/>
        <w:ind w:firstLine="480" w:firstLineChars="200"/>
        <w:rPr>
          <w:rFonts w:ascii="宋体" w:hAnsi="宋体"/>
          <w:sz w:val="24"/>
        </w:rPr>
      </w:pPr>
      <w:r>
        <w:rPr>
          <w:rFonts w:hint="eastAsia" w:ascii="宋体" w:hAnsi="宋体"/>
          <w:sz w:val="24"/>
        </w:rPr>
        <w:t xml:space="preserve">（九）我方响应报价已包含应向知识产权所有权人支付的所有相关税费，并保证采购人在中国使用我方提供的货物时，如有第三方提出侵犯其知识产权主张的，责任由我方承担。 </w:t>
      </w:r>
    </w:p>
    <w:p>
      <w:pPr>
        <w:spacing w:line="360" w:lineRule="auto"/>
        <w:ind w:firstLine="480" w:firstLineChars="200"/>
        <w:rPr>
          <w:rFonts w:ascii="宋体" w:hAnsi="宋体"/>
          <w:sz w:val="24"/>
        </w:rPr>
      </w:pPr>
      <w:bookmarkStart w:id="250" w:name="_Toc20139"/>
      <w:bookmarkStart w:id="251" w:name="_Toc2656"/>
      <w:bookmarkStart w:id="252" w:name="_Toc30327"/>
      <w:r>
        <w:rPr>
          <w:rFonts w:hint="eastAsia" w:ascii="宋体" w:hAnsi="宋体"/>
          <w:sz w:val="24"/>
        </w:rPr>
        <w:t>（十）</w:t>
      </w:r>
      <w:r>
        <w:rPr>
          <w:rFonts w:hint="eastAsia" w:ascii="宋体" w:hAnsi="宋体"/>
          <w:b/>
          <w:bCs/>
          <w:sz w:val="24"/>
          <w:u w:val="single"/>
        </w:rPr>
        <w:t>我方符合磋商文件中“供应商资格要求”规定的条件</w:t>
      </w:r>
      <w:r>
        <w:rPr>
          <w:rFonts w:hint="eastAsia" w:ascii="宋体" w:hAnsi="宋体"/>
          <w:sz w:val="24"/>
        </w:rPr>
        <w:t>，承诺如下：</w:t>
      </w:r>
      <w:bookmarkEnd w:id="250"/>
      <w:bookmarkEnd w:id="251"/>
      <w:bookmarkEnd w:id="252"/>
    </w:p>
    <w:p>
      <w:pPr>
        <w:spacing w:line="360" w:lineRule="auto"/>
        <w:ind w:firstLine="480" w:firstLineChars="200"/>
        <w:rPr>
          <w:rFonts w:ascii="宋体" w:hAnsi="宋体"/>
          <w:sz w:val="24"/>
        </w:rPr>
      </w:pPr>
      <w:bookmarkStart w:id="253" w:name="_Toc2071"/>
      <w:bookmarkStart w:id="254" w:name="_Toc17937"/>
      <w:bookmarkStart w:id="255" w:name="_Toc14364"/>
      <w:r>
        <w:rPr>
          <w:rFonts w:hint="eastAsia" w:ascii="宋体" w:hAnsi="宋体"/>
          <w:sz w:val="24"/>
        </w:rPr>
        <w:t>（1）我方具有独立承担民事责任的能力，且是中华人民共和国境内注册的法人、其他组织或自然人；</w:t>
      </w:r>
      <w:bookmarkEnd w:id="253"/>
    </w:p>
    <w:p>
      <w:pPr>
        <w:spacing w:line="360" w:lineRule="auto"/>
        <w:ind w:firstLine="480" w:firstLineChars="200"/>
        <w:rPr>
          <w:rFonts w:ascii="宋体" w:hAnsi="宋体"/>
          <w:sz w:val="24"/>
        </w:rPr>
      </w:pPr>
      <w:bookmarkStart w:id="256" w:name="_Toc9945"/>
      <w:r>
        <w:rPr>
          <w:rFonts w:hint="eastAsia" w:ascii="宋体" w:hAnsi="宋体"/>
          <w:sz w:val="24"/>
        </w:rPr>
        <w:t>（2）我方具有良好的商业信誉和健全的财务会计制度；</w:t>
      </w:r>
      <w:bookmarkEnd w:id="254"/>
      <w:bookmarkEnd w:id="255"/>
      <w:bookmarkEnd w:id="256"/>
    </w:p>
    <w:p>
      <w:pPr>
        <w:spacing w:line="360" w:lineRule="auto"/>
        <w:ind w:firstLine="480" w:firstLineChars="200"/>
        <w:rPr>
          <w:rFonts w:ascii="宋体" w:hAnsi="宋体"/>
          <w:sz w:val="24"/>
        </w:rPr>
      </w:pPr>
      <w:bookmarkStart w:id="257" w:name="_Toc25137"/>
      <w:bookmarkStart w:id="258" w:name="_Toc25294"/>
      <w:bookmarkStart w:id="259" w:name="_Toc24656"/>
      <w:r>
        <w:rPr>
          <w:rFonts w:hint="eastAsia" w:ascii="宋体" w:hAnsi="宋体"/>
          <w:sz w:val="24"/>
        </w:rPr>
        <w:t>（3）我方具有履行合同所必须的设备和专业技术能力；</w:t>
      </w:r>
      <w:bookmarkEnd w:id="257"/>
      <w:bookmarkEnd w:id="258"/>
      <w:bookmarkEnd w:id="259"/>
    </w:p>
    <w:p>
      <w:pPr>
        <w:spacing w:line="360" w:lineRule="auto"/>
        <w:ind w:firstLine="480" w:firstLineChars="200"/>
        <w:rPr>
          <w:rFonts w:ascii="宋体" w:hAnsi="宋体"/>
          <w:sz w:val="24"/>
        </w:rPr>
      </w:pPr>
      <w:bookmarkStart w:id="260" w:name="_Toc20191"/>
      <w:bookmarkStart w:id="261" w:name="_Toc20410"/>
      <w:bookmarkStart w:id="262" w:name="_Toc16193"/>
      <w:r>
        <w:rPr>
          <w:rFonts w:hint="eastAsia" w:ascii="宋体" w:hAnsi="宋体"/>
          <w:sz w:val="24"/>
        </w:rPr>
        <w:t>（4）我方具有依法缴纳税收和社会保障资金的良好记录；</w:t>
      </w:r>
      <w:bookmarkEnd w:id="260"/>
      <w:bookmarkEnd w:id="261"/>
      <w:bookmarkEnd w:id="262"/>
    </w:p>
    <w:p>
      <w:pPr>
        <w:spacing w:line="360" w:lineRule="auto"/>
        <w:ind w:firstLine="480" w:firstLineChars="200"/>
        <w:rPr>
          <w:rFonts w:ascii="宋体" w:hAnsi="宋体"/>
          <w:sz w:val="24"/>
        </w:rPr>
      </w:pPr>
      <w:bookmarkStart w:id="263" w:name="_Toc21563"/>
      <w:bookmarkStart w:id="264" w:name="_Toc14579"/>
      <w:bookmarkStart w:id="265" w:name="_Toc16926"/>
      <w:r>
        <w:rPr>
          <w:rFonts w:hint="eastAsia" w:ascii="宋体" w:hAnsi="宋体"/>
          <w:sz w:val="24"/>
        </w:rPr>
        <w:t>（5）我方参加本次政府采购活动前三年内，在经营活动中没有重大违法记录；</w:t>
      </w:r>
      <w:bookmarkEnd w:id="263"/>
      <w:bookmarkEnd w:id="264"/>
      <w:bookmarkEnd w:id="265"/>
    </w:p>
    <w:p>
      <w:pPr>
        <w:spacing w:line="360" w:lineRule="auto"/>
        <w:ind w:firstLine="480" w:firstLineChars="200"/>
        <w:rPr>
          <w:rFonts w:ascii="宋体" w:hAnsi="宋体"/>
          <w:sz w:val="24"/>
        </w:rPr>
      </w:pPr>
      <w:bookmarkStart w:id="266" w:name="_Toc32489"/>
      <w:bookmarkStart w:id="267" w:name="_Toc7846"/>
      <w:bookmarkStart w:id="268" w:name="_Toc30273"/>
      <w:r>
        <w:rPr>
          <w:rFonts w:hint="eastAsia" w:ascii="宋体" w:hAnsi="宋体"/>
          <w:sz w:val="24"/>
        </w:rPr>
        <w:t>（6）我方具有法律、行政法规规定的其他条件；</w:t>
      </w:r>
      <w:bookmarkEnd w:id="266"/>
      <w:bookmarkEnd w:id="267"/>
      <w:bookmarkEnd w:id="268"/>
    </w:p>
    <w:p>
      <w:pPr>
        <w:spacing w:line="360" w:lineRule="auto"/>
        <w:ind w:firstLine="480" w:firstLineChars="200"/>
        <w:rPr>
          <w:rFonts w:ascii="宋体" w:hAnsi="宋体"/>
          <w:sz w:val="24"/>
        </w:rPr>
      </w:pPr>
      <w:bookmarkStart w:id="269" w:name="_Toc3674"/>
      <w:bookmarkStart w:id="270" w:name="_Toc9446"/>
      <w:bookmarkStart w:id="271" w:name="_Toc19026"/>
      <w:r>
        <w:rPr>
          <w:rFonts w:hint="eastAsia" w:ascii="宋体" w:hAnsi="宋体"/>
          <w:sz w:val="24"/>
        </w:rPr>
        <w:t>（7）我方具备采购人根据采购项目提出的特殊条件（如果有）。</w:t>
      </w:r>
      <w:bookmarkEnd w:id="269"/>
      <w:bookmarkEnd w:id="270"/>
      <w:bookmarkEnd w:id="271"/>
    </w:p>
    <w:p>
      <w:pPr>
        <w:spacing w:line="360" w:lineRule="auto"/>
        <w:ind w:firstLine="482" w:firstLineChars="200"/>
        <w:rPr>
          <w:rFonts w:ascii="宋体" w:hAnsi="宋体"/>
          <w:b/>
          <w:bCs/>
          <w:sz w:val="24"/>
          <w:u w:val="single"/>
        </w:rPr>
      </w:pPr>
      <w:bookmarkStart w:id="272" w:name="_Toc18816"/>
      <w:bookmarkStart w:id="273" w:name="_Toc28260"/>
      <w:bookmarkStart w:id="274" w:name="_Toc7440"/>
      <w:r>
        <w:rPr>
          <w:rFonts w:hint="eastAsia" w:ascii="宋体" w:hAnsi="宋体"/>
          <w:b/>
          <w:bCs/>
          <w:sz w:val="24"/>
          <w:u w:val="single"/>
        </w:rPr>
        <w:t>以上内容如有虚假或与事实不符的，磋商小组可将我方做无效响应处理，相关法律责任和处罚也由我方承担。</w:t>
      </w:r>
      <w:bookmarkEnd w:id="272"/>
      <w:bookmarkEnd w:id="273"/>
      <w:bookmarkEnd w:id="274"/>
    </w:p>
    <w:p>
      <w:pPr>
        <w:spacing w:line="360" w:lineRule="auto"/>
        <w:ind w:firstLine="480" w:firstLineChars="200"/>
        <w:rPr>
          <w:rFonts w:ascii="宋体" w:hAnsi="宋体"/>
          <w:sz w:val="24"/>
        </w:rPr>
      </w:pPr>
      <w:r>
        <w:rPr>
          <w:rFonts w:hint="eastAsia" w:ascii="宋体" w:hAnsi="宋体"/>
          <w:sz w:val="24"/>
        </w:rPr>
        <w:t>（十一）我方对在本函及响应文件中所作的所有承诺承担法律责任。</w:t>
      </w:r>
    </w:p>
    <w:p>
      <w:pPr>
        <w:spacing w:line="360" w:lineRule="auto"/>
        <w:ind w:firstLine="480" w:firstLineChars="200"/>
        <w:rPr>
          <w:rFonts w:ascii="宋体" w:hAnsi="宋体"/>
          <w:sz w:val="24"/>
        </w:rPr>
      </w:pPr>
      <w:r>
        <w:rPr>
          <w:rFonts w:hint="eastAsia" w:ascii="宋体" w:hAnsi="宋体"/>
          <w:sz w:val="24"/>
        </w:rPr>
        <w:t>（十二）所有与本采购有关的函件请发往下列地址：</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代表姓名：</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color w:val="000000"/>
          <w:sz w:val="24"/>
          <w:u w:val="single"/>
        </w:rPr>
      </w:pPr>
    </w:p>
    <w:p>
      <w:pPr>
        <w:spacing w:line="360" w:lineRule="auto"/>
        <w:rPr>
          <w:rFonts w:ascii="宋体" w:hAnsi="宋体"/>
          <w:color w:val="000000"/>
          <w:sz w:val="24"/>
          <w:u w:val="single"/>
        </w:rPr>
      </w:pPr>
    </w:p>
    <w:p>
      <w:pPr>
        <w:spacing w:line="360" w:lineRule="auto"/>
        <w:rPr>
          <w:rFonts w:ascii="宋体" w:hAnsi="宋体"/>
          <w:color w:val="000000"/>
          <w:sz w:val="24"/>
          <w:u w:val="single"/>
        </w:rPr>
      </w:pPr>
    </w:p>
    <w:p>
      <w:pPr>
        <w:spacing w:line="360" w:lineRule="auto"/>
        <w:rPr>
          <w:rFonts w:ascii="宋体" w:hAnsi="宋体"/>
          <w:color w:val="000000"/>
          <w:sz w:val="24"/>
          <w:u w:val="single"/>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供应商法定代表人（或法定代表人授权代表）签字：</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供应商名称（盖章）：</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仿宋_GB2312" w:hAnsi="仿宋" w:eastAsia="仿宋_GB2312" w:cs="仿宋"/>
          <w:sz w:val="24"/>
        </w:rPr>
      </w:pPr>
    </w:p>
    <w:p>
      <w:pPr>
        <w:pStyle w:val="9"/>
        <w:rPr>
          <w:rFonts w:ascii="仿宋_GB2312" w:hAnsi="仿宋" w:eastAsia="仿宋_GB2312" w:cs="仿宋"/>
          <w:sz w:val="24"/>
        </w:rPr>
      </w:pPr>
    </w:p>
    <w:p>
      <w:pPr>
        <w:pStyle w:val="9"/>
        <w:rPr>
          <w:rFonts w:ascii="仿宋_GB2312" w:hAnsi="仿宋" w:eastAsia="仿宋_GB2312" w:cs="仿宋"/>
          <w:sz w:val="24"/>
        </w:rPr>
      </w:pPr>
    </w:p>
    <w:p>
      <w:pPr>
        <w:spacing w:line="360" w:lineRule="atLeast"/>
        <w:jc w:val="center"/>
        <w:outlineLvl w:val="1"/>
        <w:rPr>
          <w:rFonts w:ascii="黑体" w:hAnsi="仿宋" w:eastAsia="黑体" w:cs="仿宋"/>
          <w:b/>
          <w:sz w:val="32"/>
          <w:szCs w:val="32"/>
        </w:rPr>
      </w:pPr>
      <w:bookmarkStart w:id="275" w:name="_Toc4675"/>
      <w:r>
        <w:rPr>
          <w:rFonts w:hint="eastAsia" w:ascii="黑体" w:hAnsi="仿宋" w:eastAsia="黑体" w:cs="仿宋"/>
          <w:b/>
          <w:sz w:val="32"/>
          <w:szCs w:val="32"/>
        </w:rPr>
        <w:t>四、报价表</w:t>
      </w:r>
      <w:bookmarkEnd w:id="275"/>
    </w:p>
    <w:p>
      <w:pPr>
        <w:spacing w:line="360" w:lineRule="auto"/>
        <w:ind w:firstLine="482" w:firstLineChars="200"/>
        <w:rPr>
          <w:rFonts w:ascii="宋体" w:cs="Times New Roman"/>
          <w:b/>
          <w:bCs/>
          <w:sz w:val="24"/>
        </w:rPr>
      </w:pPr>
      <w:r>
        <w:rPr>
          <w:rFonts w:ascii="宋体" w:hAnsi="宋体"/>
          <w:b/>
          <w:bCs/>
          <w:sz w:val="24"/>
        </w:rPr>
        <w:t>4.1</w:t>
      </w:r>
      <w:r>
        <w:rPr>
          <w:rFonts w:hint="eastAsia" w:ascii="宋体" w:hAnsi="宋体"/>
          <w:b/>
          <w:bCs/>
          <w:sz w:val="24"/>
        </w:rPr>
        <w:t>首次报价一览表（格式）</w:t>
      </w:r>
    </w:p>
    <w:p>
      <w:pPr>
        <w:spacing w:line="360" w:lineRule="auto"/>
        <w:ind w:firstLine="482" w:firstLineChars="200"/>
        <w:rPr>
          <w:rFonts w:ascii="宋体" w:cs="Times New Roman"/>
          <w:b/>
          <w:bCs/>
          <w:sz w:val="24"/>
        </w:rPr>
      </w:pPr>
      <w:r>
        <w:rPr>
          <w:rFonts w:ascii="宋体" w:hAnsi="宋体"/>
          <w:b/>
          <w:bCs/>
          <w:sz w:val="24"/>
        </w:rPr>
        <w:t>4.2</w:t>
      </w:r>
      <w:r>
        <w:rPr>
          <w:rFonts w:hint="eastAsia" w:ascii="宋体" w:hAnsi="宋体"/>
          <w:b/>
          <w:bCs/>
          <w:sz w:val="24"/>
        </w:rPr>
        <w:t>分项报价表（格式）</w:t>
      </w: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spacing w:line="360" w:lineRule="auto"/>
        <w:ind w:firstLine="482" w:firstLineChars="200"/>
        <w:rPr>
          <w:rFonts w:ascii="宋体" w:cs="Times New Roman"/>
          <w:b/>
          <w:bCs/>
          <w:sz w:val="24"/>
        </w:rPr>
      </w:pPr>
    </w:p>
    <w:p>
      <w:pPr>
        <w:rPr>
          <w:rFonts w:ascii="宋体" w:hAnsi="宋体"/>
          <w:b/>
          <w:bCs/>
          <w:sz w:val="24"/>
        </w:rPr>
      </w:pPr>
      <w:r>
        <w:rPr>
          <w:rFonts w:ascii="宋体" w:hAnsi="宋体"/>
          <w:b/>
          <w:bCs/>
          <w:sz w:val="24"/>
        </w:rPr>
        <w:br w:type="page"/>
      </w:r>
    </w:p>
    <w:p>
      <w:pPr>
        <w:spacing w:line="360" w:lineRule="auto"/>
        <w:ind w:firstLine="482" w:firstLineChars="200"/>
        <w:rPr>
          <w:rFonts w:ascii="宋体" w:cs="Times New Roman"/>
          <w:b/>
          <w:bCs/>
          <w:sz w:val="24"/>
        </w:rPr>
      </w:pPr>
      <w:r>
        <w:rPr>
          <w:rFonts w:ascii="宋体" w:hAnsi="宋体"/>
          <w:b/>
          <w:bCs/>
          <w:sz w:val="24"/>
        </w:rPr>
        <w:t>4.1</w:t>
      </w:r>
      <w:r>
        <w:rPr>
          <w:rFonts w:hint="eastAsia" w:ascii="宋体" w:hAnsi="宋体"/>
          <w:b/>
          <w:bCs/>
          <w:sz w:val="24"/>
        </w:rPr>
        <w:t>首次报价一览表</w:t>
      </w:r>
    </w:p>
    <w:p>
      <w:pPr>
        <w:spacing w:line="360" w:lineRule="atLeast"/>
        <w:jc w:val="center"/>
        <w:rPr>
          <w:rFonts w:ascii="黑体" w:hAnsi="仿宋" w:eastAsia="黑体" w:cs="Times New Roman"/>
          <w:sz w:val="32"/>
          <w:szCs w:val="32"/>
        </w:rPr>
      </w:pPr>
      <w:r>
        <w:rPr>
          <w:rFonts w:hint="eastAsia" w:ascii="黑体" w:hAnsi="仿宋" w:eastAsia="黑体" w:cs="黑体"/>
          <w:sz w:val="32"/>
          <w:szCs w:val="32"/>
        </w:rPr>
        <w:t>首次报价一览表（格式）</w:t>
      </w:r>
    </w:p>
    <w:p>
      <w:pPr>
        <w:spacing w:line="360" w:lineRule="auto"/>
        <w:ind w:firstLine="480" w:firstLineChars="200"/>
        <w:rPr>
          <w:rFonts w:ascii="宋体" w:cs="Times New Roman"/>
          <w:sz w:val="24"/>
        </w:rPr>
      </w:pPr>
      <w:r>
        <w:rPr>
          <w:rFonts w:hint="eastAsia" w:ascii="宋体" w:hAnsi="宋体"/>
          <w:sz w:val="24"/>
        </w:rPr>
        <w:t>项目名称：</w:t>
      </w:r>
    </w:p>
    <w:p>
      <w:pPr>
        <w:spacing w:line="360" w:lineRule="auto"/>
        <w:ind w:firstLine="480" w:firstLineChars="200"/>
        <w:rPr>
          <w:rFonts w:ascii="宋体" w:cs="Times New Roman"/>
          <w:sz w:val="24"/>
        </w:rPr>
      </w:pPr>
      <w:r>
        <w:rPr>
          <w:rFonts w:hint="eastAsia" w:ascii="宋体" w:hAnsi="宋体"/>
          <w:sz w:val="24"/>
        </w:rPr>
        <w:t>项目编号：</w:t>
      </w:r>
    </w:p>
    <w:p>
      <w:pPr>
        <w:spacing w:line="360" w:lineRule="auto"/>
        <w:ind w:firstLine="480" w:firstLineChars="200"/>
        <w:rPr>
          <w:rFonts w:ascii="宋体" w:hAnsi="宋体"/>
          <w:sz w:val="24"/>
        </w:rPr>
      </w:pPr>
      <w:r>
        <w:rPr>
          <w:rFonts w:hint="eastAsia" w:ascii="宋体" w:hAnsi="宋体"/>
          <w:sz w:val="24"/>
        </w:rPr>
        <w:t>供应商：</w:t>
      </w:r>
    </w:p>
    <w:p>
      <w:pPr>
        <w:kinsoku w:val="0"/>
        <w:spacing w:line="500" w:lineRule="exact"/>
        <w:ind w:firstLine="120" w:firstLineChars="50"/>
        <w:jc w:val="center"/>
        <w:rPr>
          <w:rFonts w:ascii="??_GB2312" w:hAnsi="仿宋" w:eastAsia="Times New Roman" w:cs="Times New Roman"/>
          <w:sz w:val="24"/>
        </w:rPr>
      </w:pPr>
      <w:r>
        <w:rPr>
          <w:rFonts w:ascii="宋体" w:hAnsi="宋体"/>
          <w:sz w:val="24"/>
        </w:rPr>
        <w:t xml:space="preserve">                                                           </w:t>
      </w:r>
    </w:p>
    <w:tbl>
      <w:tblPr>
        <w:tblStyle w:val="22"/>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Merge w:val="restart"/>
            <w:vAlign w:val="center"/>
          </w:tcPr>
          <w:p>
            <w:pPr>
              <w:spacing w:line="360" w:lineRule="auto"/>
              <w:jc w:val="center"/>
              <w:rPr>
                <w:rFonts w:ascii="黑体" w:hAnsi="黑体" w:eastAsia="黑体" w:cs="Times New Roman"/>
                <w:sz w:val="24"/>
              </w:rPr>
            </w:pPr>
            <w:r>
              <w:rPr>
                <w:rFonts w:hint="eastAsia" w:ascii="黑体" w:hAnsi="黑体" w:eastAsia="黑体" w:cs="黑体"/>
                <w:sz w:val="24"/>
              </w:rPr>
              <w:t>首次总报价</w:t>
            </w:r>
          </w:p>
        </w:tc>
        <w:tc>
          <w:tcPr>
            <w:tcW w:w="6503" w:type="dxa"/>
            <w:vAlign w:val="center"/>
          </w:tcPr>
          <w:p>
            <w:pPr>
              <w:jc w:val="center"/>
              <w:rPr>
                <w:rFonts w:ascii="宋体" w:cs="Times New Roman"/>
                <w:sz w:val="24"/>
              </w:rPr>
            </w:pPr>
            <w:r>
              <w:rPr>
                <w:rFonts w:hint="eastAsia" w:ascii="宋体" w:hAnsi="宋体"/>
                <w:spacing w:val="-6"/>
                <w:sz w:val="24"/>
              </w:rPr>
              <w:t>（</w:t>
            </w:r>
            <w:r>
              <w:rPr>
                <w:rFonts w:ascii="宋体" w:hAnsi="宋体"/>
                <w:spacing w:val="-6"/>
                <w:sz w:val="24"/>
                <w:u w:val="single"/>
              </w:rPr>
              <w:t xml:space="preserve">                          </w:t>
            </w:r>
            <w:r>
              <w:rPr>
                <w:rFonts w:hint="eastAsia" w:ascii="宋体" w:hAnsi="宋体"/>
                <w:spacing w:val="-6"/>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Merge w:val="continue"/>
            <w:vAlign w:val="center"/>
          </w:tcPr>
          <w:p>
            <w:pPr>
              <w:spacing w:line="360" w:lineRule="auto"/>
              <w:jc w:val="center"/>
              <w:rPr>
                <w:rFonts w:ascii="黑体" w:hAnsi="黑体" w:eastAsia="黑体" w:cs="Times New Roman"/>
                <w:sz w:val="24"/>
              </w:rPr>
            </w:pPr>
          </w:p>
        </w:tc>
        <w:tc>
          <w:tcPr>
            <w:tcW w:w="6503" w:type="dxa"/>
            <w:vAlign w:val="center"/>
          </w:tcPr>
          <w:p>
            <w:pPr>
              <w:jc w:val="center"/>
              <w:rPr>
                <w:rFonts w:ascii="宋体" w:cs="Times New Roman"/>
                <w:sz w:val="24"/>
              </w:rPr>
            </w:pPr>
            <w:r>
              <w:rPr>
                <w:rFonts w:hint="eastAsia" w:ascii="宋体" w:hAnsi="宋体"/>
                <w:sz w:val="24"/>
              </w:rPr>
              <w:t>（人民币大写：</w:t>
            </w:r>
            <w:r>
              <w:rPr>
                <w:rFonts w:ascii="宋体" w:hAnsi="宋体"/>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pPr>
              <w:spacing w:line="360" w:lineRule="auto"/>
              <w:jc w:val="center"/>
              <w:rPr>
                <w:rFonts w:ascii="黑体" w:hAnsi="黑体" w:eastAsia="黑体" w:cs="Times New Roman"/>
                <w:sz w:val="24"/>
              </w:rPr>
            </w:pPr>
            <w:r>
              <w:rPr>
                <w:rFonts w:hint="eastAsia" w:ascii="黑体" w:hAnsi="黑体" w:eastAsia="黑体" w:cs="Times New Roman"/>
                <w:sz w:val="24"/>
              </w:rPr>
              <w:t>服务期</w:t>
            </w:r>
          </w:p>
        </w:tc>
        <w:tc>
          <w:tcPr>
            <w:tcW w:w="650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pPr>
              <w:spacing w:line="360" w:lineRule="auto"/>
              <w:jc w:val="center"/>
              <w:rPr>
                <w:rFonts w:ascii="黑体" w:hAnsi="黑体" w:eastAsia="黑体" w:cs="Times New Roman"/>
                <w:sz w:val="24"/>
              </w:rPr>
            </w:pPr>
            <w:r>
              <w:rPr>
                <w:rFonts w:hint="eastAsia" w:ascii="黑体" w:hAnsi="黑体" w:eastAsia="黑体" w:cs="黑体"/>
                <w:spacing w:val="-6"/>
                <w:sz w:val="24"/>
              </w:rPr>
              <w:t>备注</w:t>
            </w:r>
          </w:p>
        </w:tc>
        <w:tc>
          <w:tcPr>
            <w:tcW w:w="6503" w:type="dxa"/>
            <w:vAlign w:val="center"/>
          </w:tcPr>
          <w:p>
            <w:pPr>
              <w:jc w:val="center"/>
              <w:rPr>
                <w:rFonts w:ascii="??_GB2312" w:hAnsi="仿宋" w:eastAsia="Times New Roman" w:cs="Times New Roman"/>
                <w:spacing w:val="-6"/>
                <w:sz w:val="24"/>
              </w:rPr>
            </w:pPr>
          </w:p>
        </w:tc>
      </w:tr>
    </w:tbl>
    <w:p>
      <w:pPr>
        <w:pStyle w:val="12"/>
        <w:spacing w:line="500" w:lineRule="exact"/>
        <w:ind w:left="-120" w:leftChars="-57" w:firstLine="527" w:firstLineChars="250"/>
        <w:rPr>
          <w:b/>
          <w:bCs/>
          <w:u w:val="single"/>
        </w:rPr>
      </w:pPr>
    </w:p>
    <w:p>
      <w:pPr>
        <w:pStyle w:val="12"/>
        <w:spacing w:line="440" w:lineRule="exact"/>
        <w:ind w:left="-120" w:leftChars="-57" w:firstLine="527" w:firstLineChars="250"/>
        <w:rPr>
          <w:b/>
          <w:bCs/>
          <w:u w:val="single"/>
        </w:rPr>
      </w:pPr>
      <w:r>
        <w:rPr>
          <w:rFonts w:hint="eastAsia" w:hAnsi="宋体"/>
          <w:b/>
          <w:bCs/>
          <w:u w:val="single"/>
        </w:rPr>
        <w:t>注：</w:t>
      </w:r>
    </w:p>
    <w:p>
      <w:pPr>
        <w:pStyle w:val="12"/>
        <w:spacing w:line="440" w:lineRule="exact"/>
        <w:ind w:left="-120" w:leftChars="-57" w:firstLine="527" w:firstLineChars="250"/>
        <w:rPr>
          <w:b/>
          <w:bCs/>
          <w:u w:val="single"/>
        </w:rPr>
      </w:pPr>
      <w:r>
        <w:rPr>
          <w:rFonts w:hAnsi="宋体"/>
          <w:b/>
          <w:bCs/>
          <w:u w:val="single"/>
        </w:rPr>
        <w:t>1.</w:t>
      </w:r>
      <w:r>
        <w:rPr>
          <w:rFonts w:hint="eastAsia" w:hAnsi="宋体"/>
          <w:b/>
          <w:bCs/>
          <w:u w:val="single"/>
        </w:rPr>
        <w:t>此表“首次总报价”是包括完成《用户需求书》要求的全部内容的所有可预见以及不可预见的费用。</w:t>
      </w:r>
    </w:p>
    <w:p>
      <w:pPr>
        <w:pStyle w:val="12"/>
        <w:spacing w:line="440" w:lineRule="exact"/>
        <w:ind w:left="-120" w:leftChars="-57" w:firstLine="527" w:firstLineChars="250"/>
        <w:rPr>
          <w:b/>
          <w:bCs/>
          <w:u w:val="single"/>
        </w:rPr>
      </w:pPr>
      <w:r>
        <w:rPr>
          <w:rFonts w:hAnsi="宋体"/>
          <w:b/>
          <w:bCs/>
          <w:u w:val="single"/>
        </w:rPr>
        <w:t>2.</w:t>
      </w:r>
      <w:r>
        <w:rPr>
          <w:rFonts w:hint="eastAsia" w:hAnsi="宋体"/>
          <w:b/>
          <w:bCs/>
          <w:u w:val="single"/>
        </w:rPr>
        <w:t>《首次报价一览表》除在响应文件内装订外，另制作一份单独放在一个信封中。封口处应有供应商全权代表签字及供应商公章。封皮上写明磋商项目名称、供应商名称，并注明“首次报价一览表”字样。</w:t>
      </w:r>
    </w:p>
    <w:p>
      <w:pPr>
        <w:pStyle w:val="12"/>
        <w:spacing w:line="440" w:lineRule="exact"/>
        <w:ind w:left="-120" w:leftChars="-57" w:firstLine="527" w:firstLineChars="250"/>
        <w:rPr>
          <w:b/>
          <w:bCs/>
          <w:u w:val="single"/>
        </w:rPr>
      </w:pPr>
      <w:r>
        <w:rPr>
          <w:rFonts w:hAnsi="宋体"/>
          <w:b/>
          <w:bCs/>
          <w:u w:val="single"/>
        </w:rPr>
        <w:t>3.</w:t>
      </w:r>
      <w:r>
        <w:rPr>
          <w:rFonts w:hint="eastAsia" w:hAnsi="宋体"/>
          <w:b/>
          <w:bCs/>
          <w:u w:val="single"/>
        </w:rPr>
        <w:t>磋商文件规定的《首次报价一览表》格式以外的内容不予公开唱标，并不作为评审依据。</w:t>
      </w:r>
    </w:p>
    <w:p>
      <w:pPr>
        <w:pStyle w:val="12"/>
        <w:spacing w:line="440" w:lineRule="exact"/>
        <w:ind w:left="-120" w:leftChars="-57" w:firstLine="527" w:firstLineChars="250"/>
        <w:rPr>
          <w:b/>
          <w:bCs/>
          <w:u w:val="single"/>
        </w:rPr>
      </w:pPr>
      <w:r>
        <w:rPr>
          <w:rFonts w:hAnsi="宋体"/>
          <w:b/>
          <w:bCs/>
          <w:u w:val="single"/>
        </w:rPr>
        <w:t>4.</w:t>
      </w:r>
      <w:r>
        <w:rPr>
          <w:rFonts w:hint="eastAsia" w:hAnsi="宋体"/>
          <w:b/>
          <w:bCs/>
          <w:u w:val="single"/>
        </w:rPr>
        <w:t>表内报价内容以元为单位。</w:t>
      </w:r>
    </w:p>
    <w:p>
      <w:pPr>
        <w:kinsoku w:val="0"/>
        <w:spacing w:line="500" w:lineRule="exact"/>
        <w:rPr>
          <w:rFonts w:ascii="??_GB2312" w:hAnsi="仿宋" w:eastAsia="Times New Roman" w:cs="Times New Roman"/>
          <w:sz w:val="24"/>
        </w:rPr>
      </w:pPr>
    </w:p>
    <w:p>
      <w:pPr>
        <w:kinsoku w:val="0"/>
        <w:spacing w:line="500" w:lineRule="exact"/>
        <w:rPr>
          <w:rFonts w:ascii="??_GB2312" w:hAnsi="仿宋" w:eastAsia="Times New Roman" w:cs="Times New Roman"/>
          <w:sz w:val="24"/>
        </w:rPr>
      </w:pPr>
    </w:p>
    <w:p>
      <w:pPr>
        <w:kinsoku w:val="0"/>
        <w:spacing w:line="500" w:lineRule="exact"/>
        <w:rPr>
          <w:rFonts w:ascii="??_GB2312" w:hAnsi="仿宋" w:eastAsia="Times New Roman" w:cs="Times New Roman"/>
          <w:sz w:val="24"/>
        </w:rPr>
      </w:pPr>
    </w:p>
    <w:p>
      <w:pPr>
        <w:kinsoku w:val="0"/>
        <w:spacing w:line="500" w:lineRule="exact"/>
        <w:rPr>
          <w:rFonts w:ascii="??_GB2312" w:hAnsi="仿宋" w:eastAsia="Times New Roman" w:cs="Times New Roman"/>
          <w:sz w:val="24"/>
        </w:rPr>
      </w:pPr>
    </w:p>
    <w:p>
      <w:pPr>
        <w:spacing w:line="360" w:lineRule="auto"/>
        <w:ind w:firstLine="420" w:firstLineChars="200"/>
        <w:rPr>
          <w:rFonts w:ascii="??_GB2312" w:hAnsi="仿宋" w:eastAsia="Times New Roman" w:cs="Times New Roman"/>
        </w:rPr>
      </w:pPr>
    </w:p>
    <w:p>
      <w:pPr>
        <w:spacing w:line="360" w:lineRule="auto"/>
        <w:ind w:firstLine="480" w:firstLineChars="200"/>
        <w:rPr>
          <w:rFonts w:ascii="宋体" w:cs="Times New Roman"/>
          <w:sz w:val="24"/>
          <w:u w:val="single"/>
        </w:rPr>
      </w:pPr>
      <w:r>
        <w:rPr>
          <w:rFonts w:hint="eastAsia" w:ascii="宋体" w:hAnsi="宋体"/>
          <w:sz w:val="24"/>
        </w:rPr>
        <w:t>供应商法定代表人（或法定代表人授权代表）签字：</w:t>
      </w:r>
      <w:r>
        <w:rPr>
          <w:rFonts w:ascii="宋体" w:hAnsi="宋体"/>
          <w:sz w:val="24"/>
          <w:u w:val="single"/>
        </w:rPr>
        <w:t xml:space="preserve">                   </w:t>
      </w:r>
    </w:p>
    <w:p>
      <w:pPr>
        <w:spacing w:line="360" w:lineRule="auto"/>
        <w:ind w:firstLine="480" w:firstLineChars="200"/>
        <w:rPr>
          <w:rFonts w:ascii="宋体" w:cs="Times New Roman"/>
          <w:sz w:val="24"/>
          <w:u w:val="single"/>
        </w:rPr>
      </w:pPr>
      <w:r>
        <w:rPr>
          <w:rFonts w:hint="eastAsia" w:ascii="宋体" w:hAnsi="宋体"/>
          <w:sz w:val="24"/>
        </w:rPr>
        <w:t>供应商名称（盖章）：</w:t>
      </w:r>
      <w:r>
        <w:rPr>
          <w:rFonts w:ascii="宋体" w:hAnsi="宋体"/>
          <w:sz w:val="24"/>
          <w:u w:val="single"/>
        </w:rPr>
        <w:t xml:space="preserve">                        </w:t>
      </w:r>
    </w:p>
    <w:p>
      <w:pPr>
        <w:spacing w:line="360" w:lineRule="auto"/>
        <w:ind w:firstLine="480" w:firstLineChars="200"/>
        <w:rPr>
          <w:rFonts w:ascii="宋体" w:cs="Times New Roman"/>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482" w:firstLineChars="200"/>
        <w:rPr>
          <w:rFonts w:ascii="宋体" w:hAnsi="宋体"/>
          <w:b/>
          <w:bCs/>
          <w:sz w:val="24"/>
        </w:rPr>
        <w:sectPr>
          <w:footerReference r:id="rId5" w:type="default"/>
          <w:pgSz w:w="11906" w:h="16838"/>
          <w:pgMar w:top="1440" w:right="1080" w:bottom="1440" w:left="1080" w:header="851" w:footer="992" w:gutter="0"/>
          <w:cols w:space="425" w:num="1"/>
          <w:docGrid w:type="lines" w:linePitch="312" w:charSpace="0"/>
        </w:sectPr>
      </w:pPr>
    </w:p>
    <w:p>
      <w:pPr>
        <w:spacing w:line="360" w:lineRule="auto"/>
        <w:ind w:firstLine="482" w:firstLineChars="200"/>
        <w:rPr>
          <w:rFonts w:ascii="宋体" w:cs="Times New Roman"/>
          <w:b/>
          <w:bCs/>
          <w:sz w:val="24"/>
        </w:rPr>
      </w:pPr>
      <w:r>
        <w:rPr>
          <w:rFonts w:ascii="宋体" w:hAnsi="宋体"/>
          <w:b/>
          <w:bCs/>
          <w:sz w:val="24"/>
        </w:rPr>
        <w:t>4.2</w:t>
      </w:r>
      <w:r>
        <w:rPr>
          <w:rFonts w:hint="eastAsia" w:ascii="宋体" w:hAnsi="宋体"/>
          <w:b/>
          <w:bCs/>
          <w:sz w:val="24"/>
        </w:rPr>
        <w:t>分项报价表</w:t>
      </w:r>
    </w:p>
    <w:p>
      <w:pPr>
        <w:spacing w:line="360" w:lineRule="atLeast"/>
        <w:jc w:val="center"/>
        <w:rPr>
          <w:rFonts w:ascii="黑体" w:hAnsi="仿宋" w:eastAsia="黑体" w:cs="Times New Roman"/>
          <w:sz w:val="32"/>
          <w:szCs w:val="32"/>
        </w:rPr>
      </w:pPr>
      <w:r>
        <w:rPr>
          <w:rFonts w:hint="eastAsia" w:ascii="黑体" w:hAnsi="仿宋" w:eastAsia="黑体" w:cs="黑体"/>
          <w:sz w:val="32"/>
          <w:szCs w:val="32"/>
        </w:rPr>
        <w:t>分项报价表（格式）</w:t>
      </w:r>
    </w:p>
    <w:p>
      <w:pPr>
        <w:spacing w:line="360" w:lineRule="auto"/>
        <w:ind w:firstLine="480" w:firstLineChars="200"/>
        <w:rPr>
          <w:rFonts w:ascii="宋体" w:cs="Times New Roman"/>
          <w:sz w:val="24"/>
        </w:rPr>
      </w:pPr>
      <w:r>
        <w:rPr>
          <w:rFonts w:hint="eastAsia" w:ascii="宋体" w:hAnsi="宋体"/>
          <w:sz w:val="24"/>
        </w:rPr>
        <w:t>项目名称：</w:t>
      </w:r>
    </w:p>
    <w:p>
      <w:pPr>
        <w:spacing w:line="360" w:lineRule="auto"/>
        <w:ind w:firstLine="480" w:firstLineChars="200"/>
        <w:rPr>
          <w:rFonts w:ascii="宋体" w:cs="Times New Roman"/>
          <w:sz w:val="24"/>
        </w:rPr>
      </w:pPr>
      <w:r>
        <w:rPr>
          <w:rFonts w:hint="eastAsia" w:ascii="宋体" w:hAnsi="宋体"/>
          <w:sz w:val="24"/>
        </w:rPr>
        <w:t>项目编号：</w:t>
      </w:r>
    </w:p>
    <w:p>
      <w:pPr>
        <w:spacing w:line="360" w:lineRule="auto"/>
        <w:ind w:firstLine="480" w:firstLineChars="200"/>
        <w:rPr>
          <w:rFonts w:ascii="宋体" w:hAnsi="宋体"/>
          <w:sz w:val="24"/>
        </w:rPr>
      </w:pPr>
      <w:r>
        <w:rPr>
          <w:rFonts w:hint="eastAsia" w:ascii="宋体" w:hAnsi="宋体"/>
          <w:sz w:val="24"/>
        </w:rPr>
        <w:t>供应商：</w:t>
      </w:r>
    </w:p>
    <w:tbl>
      <w:tblPr>
        <w:tblStyle w:val="22"/>
        <w:tblW w:w="10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
        <w:gridCol w:w="1568"/>
        <w:gridCol w:w="1677"/>
        <w:gridCol w:w="1023"/>
        <w:gridCol w:w="13"/>
        <w:gridCol w:w="914"/>
        <w:gridCol w:w="14"/>
        <w:gridCol w:w="791"/>
        <w:gridCol w:w="16"/>
        <w:gridCol w:w="2352"/>
        <w:gridCol w:w="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805" w:type="dxa"/>
            <w:gridSpan w:val="13"/>
            <w:shd w:val="clear" w:color="auto" w:fill="F3F3F3"/>
            <w:vAlign w:val="center"/>
          </w:tcPr>
          <w:p>
            <w:pPr>
              <w:tabs>
                <w:tab w:val="left" w:pos="9585"/>
                <w:tab w:val="left" w:pos="11205"/>
              </w:tabs>
              <w:jc w:val="left"/>
              <w:rPr>
                <w:rFonts w:ascii="黑体" w:hAnsi="黑体" w:eastAsia="黑体" w:cs="Times New Roman"/>
                <w:sz w:val="24"/>
              </w:rPr>
            </w:pPr>
            <w:r>
              <w:rPr>
                <w:rFonts w:hint="eastAsia" w:ascii="黑体" w:hAnsi="黑体" w:eastAsia="黑体" w:cs="黑体"/>
                <w:sz w:val="24"/>
              </w:rPr>
              <w:t>一、服务类详列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vAlign w:val="center"/>
          </w:tcPr>
          <w:p>
            <w:pPr>
              <w:spacing w:line="360" w:lineRule="auto"/>
              <w:jc w:val="center"/>
              <w:rPr>
                <w:rFonts w:ascii="黑体" w:hAnsi="黑体" w:eastAsia="黑体" w:cs="Times New Roman"/>
              </w:rPr>
            </w:pPr>
            <w:r>
              <w:rPr>
                <w:rFonts w:hint="eastAsia" w:ascii="黑体" w:hAnsi="黑体" w:eastAsia="黑体" w:cs="黑体"/>
              </w:rPr>
              <w:t>序号</w:t>
            </w:r>
          </w:p>
        </w:tc>
        <w:tc>
          <w:tcPr>
            <w:tcW w:w="1568" w:type="dxa"/>
            <w:vAlign w:val="center"/>
          </w:tcPr>
          <w:p>
            <w:pPr>
              <w:spacing w:line="360" w:lineRule="auto"/>
              <w:jc w:val="center"/>
              <w:rPr>
                <w:rFonts w:ascii="黑体" w:hAnsi="黑体" w:eastAsia="黑体" w:cs="Times New Roman"/>
              </w:rPr>
            </w:pPr>
            <w:r>
              <w:rPr>
                <w:rFonts w:hint="eastAsia" w:ascii="黑体" w:hAnsi="黑体" w:eastAsia="黑体" w:cs="黑体"/>
              </w:rPr>
              <w:t>分项名称</w:t>
            </w:r>
          </w:p>
        </w:tc>
        <w:tc>
          <w:tcPr>
            <w:tcW w:w="1677" w:type="dxa"/>
            <w:vAlign w:val="center"/>
          </w:tcPr>
          <w:p>
            <w:pPr>
              <w:spacing w:line="360" w:lineRule="auto"/>
              <w:jc w:val="center"/>
              <w:rPr>
                <w:rFonts w:ascii="黑体" w:hAnsi="黑体" w:eastAsia="黑体" w:cs="Times New Roman"/>
              </w:rPr>
            </w:pPr>
            <w:r>
              <w:rPr>
                <w:rFonts w:hint="eastAsia" w:ascii="黑体" w:hAnsi="黑体" w:eastAsia="黑体" w:cs="黑体"/>
              </w:rPr>
              <w:t>服务内容</w:t>
            </w:r>
          </w:p>
        </w:tc>
        <w:tc>
          <w:tcPr>
            <w:tcW w:w="1023" w:type="dxa"/>
            <w:vAlign w:val="center"/>
          </w:tcPr>
          <w:p>
            <w:pPr>
              <w:spacing w:line="360" w:lineRule="auto"/>
              <w:jc w:val="center"/>
              <w:rPr>
                <w:rFonts w:ascii="黑体" w:hAnsi="黑体" w:eastAsia="黑体" w:cs="Times New Roman"/>
              </w:rPr>
            </w:pPr>
            <w:r>
              <w:rPr>
                <w:rFonts w:hint="eastAsia" w:ascii="黑体" w:hAnsi="黑体" w:eastAsia="黑体" w:cs="黑体"/>
              </w:rPr>
              <w:t>单位</w:t>
            </w:r>
          </w:p>
        </w:tc>
        <w:tc>
          <w:tcPr>
            <w:tcW w:w="927" w:type="dxa"/>
            <w:gridSpan w:val="2"/>
            <w:vAlign w:val="center"/>
          </w:tcPr>
          <w:p>
            <w:pPr>
              <w:spacing w:line="360" w:lineRule="auto"/>
              <w:jc w:val="center"/>
              <w:rPr>
                <w:rFonts w:ascii="黑体" w:hAnsi="黑体" w:eastAsia="黑体" w:cs="Times New Roman"/>
              </w:rPr>
            </w:pPr>
            <w:r>
              <w:rPr>
                <w:rFonts w:hint="eastAsia" w:ascii="黑体" w:hAnsi="黑体" w:eastAsia="黑体" w:cs="黑体"/>
              </w:rPr>
              <w:t>数量</w:t>
            </w:r>
          </w:p>
        </w:tc>
        <w:tc>
          <w:tcPr>
            <w:tcW w:w="821" w:type="dxa"/>
            <w:gridSpan w:val="3"/>
            <w:vAlign w:val="center"/>
          </w:tcPr>
          <w:p>
            <w:pPr>
              <w:spacing w:line="360" w:lineRule="auto"/>
              <w:jc w:val="center"/>
              <w:rPr>
                <w:rFonts w:ascii="黑体" w:hAnsi="黑体" w:eastAsia="黑体" w:cs="Times New Roman"/>
              </w:rPr>
            </w:pPr>
            <w:r>
              <w:rPr>
                <w:rFonts w:hint="eastAsia" w:ascii="黑体" w:hAnsi="黑体" w:eastAsia="黑体" w:cs="黑体"/>
              </w:rPr>
              <w:t>单价</w:t>
            </w:r>
          </w:p>
        </w:tc>
        <w:tc>
          <w:tcPr>
            <w:tcW w:w="2352" w:type="dxa"/>
            <w:vAlign w:val="center"/>
          </w:tcPr>
          <w:p>
            <w:pPr>
              <w:spacing w:line="360" w:lineRule="auto"/>
              <w:jc w:val="center"/>
              <w:rPr>
                <w:rFonts w:ascii="黑体" w:hAnsi="黑体" w:eastAsia="黑体" w:cs="Times New Roman"/>
              </w:rPr>
            </w:pPr>
            <w:r>
              <w:rPr>
                <w:rFonts w:hint="eastAsia" w:ascii="黑体" w:hAnsi="黑体" w:eastAsia="黑体" w:cs="黑体"/>
              </w:rPr>
              <w:t>合计（元）</w:t>
            </w:r>
          </w:p>
        </w:tc>
        <w:tc>
          <w:tcPr>
            <w:tcW w:w="1315" w:type="dxa"/>
            <w:gridSpan w:val="2"/>
            <w:vAlign w:val="center"/>
          </w:tcPr>
          <w:p>
            <w:pPr>
              <w:spacing w:line="360" w:lineRule="auto"/>
              <w:jc w:val="center"/>
              <w:rPr>
                <w:rFonts w:ascii="黑体" w:hAnsi="黑体" w:eastAsia="黑体" w:cs="Times New Roman"/>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vAlign w:val="center"/>
          </w:tcPr>
          <w:p>
            <w:pPr>
              <w:spacing w:line="360" w:lineRule="auto"/>
              <w:jc w:val="center"/>
              <w:rPr>
                <w:rFonts w:ascii="黑体" w:hAnsi="黑体" w:eastAsia="黑体" w:cs="黑体"/>
              </w:rPr>
            </w:pPr>
            <w:r>
              <w:rPr>
                <w:rFonts w:hint="eastAsia" w:ascii="黑体" w:hAnsi="黑体" w:eastAsia="黑体" w:cs="黑体"/>
              </w:rPr>
              <w:t>1</w:t>
            </w:r>
          </w:p>
        </w:tc>
        <w:tc>
          <w:tcPr>
            <w:tcW w:w="1568" w:type="dxa"/>
            <w:vAlign w:val="center"/>
          </w:tcPr>
          <w:p>
            <w:pPr>
              <w:spacing w:line="360" w:lineRule="auto"/>
              <w:jc w:val="center"/>
              <w:rPr>
                <w:rFonts w:ascii="黑体" w:hAnsi="黑体" w:eastAsia="黑体" w:cs="黑体"/>
              </w:rPr>
            </w:pPr>
          </w:p>
        </w:tc>
        <w:tc>
          <w:tcPr>
            <w:tcW w:w="1677" w:type="dxa"/>
            <w:vAlign w:val="center"/>
          </w:tcPr>
          <w:p>
            <w:pPr>
              <w:spacing w:line="360" w:lineRule="auto"/>
              <w:jc w:val="center"/>
              <w:rPr>
                <w:rFonts w:ascii="黑体" w:hAnsi="黑体" w:eastAsia="黑体" w:cs="黑体"/>
              </w:rPr>
            </w:pPr>
          </w:p>
        </w:tc>
        <w:tc>
          <w:tcPr>
            <w:tcW w:w="1023" w:type="dxa"/>
            <w:vAlign w:val="center"/>
          </w:tcPr>
          <w:p>
            <w:pPr>
              <w:spacing w:line="360" w:lineRule="auto"/>
              <w:jc w:val="center"/>
              <w:rPr>
                <w:rFonts w:ascii="黑体" w:hAnsi="黑体" w:eastAsia="黑体" w:cs="黑体"/>
              </w:rPr>
            </w:pPr>
          </w:p>
        </w:tc>
        <w:tc>
          <w:tcPr>
            <w:tcW w:w="927" w:type="dxa"/>
            <w:gridSpan w:val="2"/>
            <w:vAlign w:val="center"/>
          </w:tcPr>
          <w:p>
            <w:pPr>
              <w:spacing w:line="360" w:lineRule="auto"/>
              <w:jc w:val="center"/>
              <w:rPr>
                <w:rFonts w:ascii="黑体" w:hAnsi="黑体" w:eastAsia="黑体" w:cs="黑体"/>
              </w:rPr>
            </w:pPr>
          </w:p>
        </w:tc>
        <w:tc>
          <w:tcPr>
            <w:tcW w:w="821" w:type="dxa"/>
            <w:gridSpan w:val="3"/>
            <w:vAlign w:val="center"/>
          </w:tcPr>
          <w:p>
            <w:pPr>
              <w:spacing w:line="360" w:lineRule="auto"/>
              <w:jc w:val="center"/>
              <w:rPr>
                <w:rFonts w:ascii="黑体" w:hAnsi="黑体" w:eastAsia="黑体" w:cs="黑体"/>
              </w:rPr>
            </w:pPr>
          </w:p>
        </w:tc>
        <w:tc>
          <w:tcPr>
            <w:tcW w:w="2352" w:type="dxa"/>
            <w:vAlign w:val="center"/>
          </w:tcPr>
          <w:p>
            <w:pPr>
              <w:spacing w:line="360" w:lineRule="auto"/>
              <w:jc w:val="center"/>
              <w:rPr>
                <w:rFonts w:ascii="黑体" w:hAnsi="黑体" w:eastAsia="黑体" w:cs="黑体"/>
              </w:rPr>
            </w:pPr>
          </w:p>
        </w:tc>
        <w:tc>
          <w:tcPr>
            <w:tcW w:w="1315" w:type="dxa"/>
            <w:gridSpan w:val="2"/>
            <w:vAlign w:val="center"/>
          </w:tcPr>
          <w:p>
            <w:pPr>
              <w:spacing w:line="360" w:lineRule="auto"/>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1122" w:type="dxa"/>
            <w:gridSpan w:val="2"/>
            <w:vAlign w:val="center"/>
          </w:tcPr>
          <w:p>
            <w:pPr>
              <w:spacing w:line="360" w:lineRule="auto"/>
              <w:jc w:val="center"/>
              <w:rPr>
                <w:rFonts w:ascii="黑体" w:hAnsi="黑体" w:eastAsia="黑体" w:cs="黑体"/>
              </w:rPr>
            </w:pPr>
            <w:r>
              <w:rPr>
                <w:rFonts w:hint="eastAsia" w:ascii="黑体" w:hAnsi="黑体" w:eastAsia="黑体" w:cs="黑体"/>
              </w:rPr>
              <w:t>2</w:t>
            </w:r>
          </w:p>
        </w:tc>
        <w:tc>
          <w:tcPr>
            <w:tcW w:w="1568" w:type="dxa"/>
            <w:vAlign w:val="center"/>
          </w:tcPr>
          <w:p>
            <w:pPr>
              <w:spacing w:line="360" w:lineRule="auto"/>
              <w:jc w:val="center"/>
              <w:rPr>
                <w:rFonts w:ascii="黑体" w:hAnsi="黑体" w:eastAsia="黑体" w:cs="黑体"/>
              </w:rPr>
            </w:pPr>
          </w:p>
        </w:tc>
        <w:tc>
          <w:tcPr>
            <w:tcW w:w="1677" w:type="dxa"/>
            <w:vAlign w:val="center"/>
          </w:tcPr>
          <w:p>
            <w:pPr>
              <w:spacing w:line="360" w:lineRule="auto"/>
              <w:jc w:val="center"/>
              <w:rPr>
                <w:rFonts w:ascii="黑体" w:hAnsi="黑体" w:eastAsia="黑体" w:cs="黑体"/>
              </w:rPr>
            </w:pPr>
          </w:p>
        </w:tc>
        <w:tc>
          <w:tcPr>
            <w:tcW w:w="1023" w:type="dxa"/>
            <w:vAlign w:val="center"/>
          </w:tcPr>
          <w:p>
            <w:pPr>
              <w:spacing w:line="360" w:lineRule="auto"/>
              <w:jc w:val="center"/>
              <w:rPr>
                <w:rFonts w:ascii="黑体" w:hAnsi="黑体" w:eastAsia="黑体" w:cs="黑体"/>
              </w:rPr>
            </w:pPr>
          </w:p>
        </w:tc>
        <w:tc>
          <w:tcPr>
            <w:tcW w:w="927" w:type="dxa"/>
            <w:gridSpan w:val="2"/>
            <w:vAlign w:val="center"/>
          </w:tcPr>
          <w:p>
            <w:pPr>
              <w:spacing w:line="360" w:lineRule="auto"/>
              <w:jc w:val="center"/>
              <w:rPr>
                <w:rFonts w:ascii="黑体" w:hAnsi="黑体" w:eastAsia="黑体" w:cs="黑体"/>
              </w:rPr>
            </w:pPr>
          </w:p>
        </w:tc>
        <w:tc>
          <w:tcPr>
            <w:tcW w:w="821" w:type="dxa"/>
            <w:gridSpan w:val="3"/>
            <w:vAlign w:val="center"/>
          </w:tcPr>
          <w:p>
            <w:pPr>
              <w:spacing w:line="360" w:lineRule="auto"/>
              <w:jc w:val="center"/>
              <w:rPr>
                <w:rFonts w:ascii="黑体" w:hAnsi="黑体" w:eastAsia="黑体" w:cs="黑体"/>
              </w:rPr>
            </w:pPr>
          </w:p>
        </w:tc>
        <w:tc>
          <w:tcPr>
            <w:tcW w:w="2352" w:type="dxa"/>
            <w:vAlign w:val="center"/>
          </w:tcPr>
          <w:p>
            <w:pPr>
              <w:spacing w:line="360" w:lineRule="auto"/>
              <w:jc w:val="center"/>
              <w:rPr>
                <w:rFonts w:ascii="黑体" w:hAnsi="黑体" w:eastAsia="黑体" w:cs="黑体"/>
              </w:rPr>
            </w:pPr>
          </w:p>
        </w:tc>
        <w:tc>
          <w:tcPr>
            <w:tcW w:w="1315" w:type="dxa"/>
            <w:gridSpan w:val="2"/>
            <w:vAlign w:val="center"/>
          </w:tcPr>
          <w:p>
            <w:pPr>
              <w:spacing w:line="360" w:lineRule="auto"/>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22" w:type="dxa"/>
            <w:gridSpan w:val="2"/>
            <w:vAlign w:val="center"/>
          </w:tcPr>
          <w:p>
            <w:pPr>
              <w:spacing w:line="360" w:lineRule="auto"/>
              <w:jc w:val="center"/>
              <w:rPr>
                <w:rFonts w:ascii="黑体" w:hAnsi="黑体" w:eastAsia="黑体" w:cs="Times New Roman"/>
              </w:rPr>
            </w:pPr>
            <w:r>
              <w:rPr>
                <w:rFonts w:hint="eastAsia" w:ascii="黑体" w:hAnsi="黑体" w:eastAsia="黑体" w:cs="黑体"/>
              </w:rPr>
              <w:t>……</w:t>
            </w:r>
          </w:p>
        </w:tc>
        <w:tc>
          <w:tcPr>
            <w:tcW w:w="1568" w:type="dxa"/>
            <w:vAlign w:val="center"/>
          </w:tcPr>
          <w:p>
            <w:pPr>
              <w:spacing w:line="360" w:lineRule="auto"/>
              <w:jc w:val="center"/>
              <w:rPr>
                <w:rFonts w:ascii="黑体" w:hAnsi="黑体" w:eastAsia="黑体" w:cs="Times New Roman"/>
              </w:rPr>
            </w:pPr>
          </w:p>
        </w:tc>
        <w:tc>
          <w:tcPr>
            <w:tcW w:w="1677" w:type="dxa"/>
            <w:vAlign w:val="center"/>
          </w:tcPr>
          <w:p>
            <w:pPr>
              <w:spacing w:line="360" w:lineRule="auto"/>
              <w:jc w:val="center"/>
              <w:rPr>
                <w:rFonts w:ascii="黑体" w:hAnsi="黑体" w:eastAsia="黑体" w:cs="Times New Roman"/>
              </w:rPr>
            </w:pPr>
          </w:p>
        </w:tc>
        <w:tc>
          <w:tcPr>
            <w:tcW w:w="1023" w:type="dxa"/>
            <w:vAlign w:val="center"/>
          </w:tcPr>
          <w:p>
            <w:pPr>
              <w:spacing w:line="360" w:lineRule="auto"/>
              <w:jc w:val="center"/>
              <w:rPr>
                <w:rFonts w:ascii="黑体" w:hAnsi="黑体" w:eastAsia="黑体" w:cs="Times New Roman"/>
              </w:rPr>
            </w:pPr>
          </w:p>
        </w:tc>
        <w:tc>
          <w:tcPr>
            <w:tcW w:w="927" w:type="dxa"/>
            <w:gridSpan w:val="2"/>
            <w:vAlign w:val="center"/>
          </w:tcPr>
          <w:p>
            <w:pPr>
              <w:spacing w:line="360" w:lineRule="auto"/>
              <w:jc w:val="center"/>
              <w:rPr>
                <w:rFonts w:ascii="黑体" w:hAnsi="黑体" w:eastAsia="黑体" w:cs="Times New Roman"/>
              </w:rPr>
            </w:pPr>
          </w:p>
        </w:tc>
        <w:tc>
          <w:tcPr>
            <w:tcW w:w="821" w:type="dxa"/>
            <w:gridSpan w:val="3"/>
            <w:vAlign w:val="center"/>
          </w:tcPr>
          <w:p>
            <w:pPr>
              <w:spacing w:line="360" w:lineRule="auto"/>
              <w:jc w:val="center"/>
              <w:rPr>
                <w:rFonts w:ascii="黑体" w:hAnsi="黑体" w:eastAsia="黑体" w:cs="Times New Roman"/>
              </w:rPr>
            </w:pPr>
          </w:p>
        </w:tc>
        <w:tc>
          <w:tcPr>
            <w:tcW w:w="2352" w:type="dxa"/>
            <w:vAlign w:val="center"/>
          </w:tcPr>
          <w:p>
            <w:pPr>
              <w:spacing w:line="360" w:lineRule="auto"/>
              <w:jc w:val="center"/>
              <w:rPr>
                <w:rFonts w:ascii="黑体" w:hAnsi="黑体" w:eastAsia="黑体" w:cs="Times New Roman"/>
              </w:rPr>
            </w:pPr>
          </w:p>
        </w:tc>
        <w:tc>
          <w:tcPr>
            <w:tcW w:w="1315" w:type="dxa"/>
            <w:gridSpan w:val="2"/>
            <w:vAlign w:val="center"/>
          </w:tcPr>
          <w:p>
            <w:pPr>
              <w:spacing w:line="360" w:lineRule="auto"/>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67" w:type="dxa"/>
            <w:gridSpan w:val="4"/>
            <w:vAlign w:val="center"/>
          </w:tcPr>
          <w:p>
            <w:pPr>
              <w:spacing w:line="360" w:lineRule="auto"/>
              <w:jc w:val="center"/>
              <w:rPr>
                <w:rFonts w:ascii="黑体" w:hAnsi="黑体" w:eastAsia="黑体" w:cs="Times New Roman"/>
              </w:rPr>
            </w:pPr>
            <w:r>
              <w:rPr>
                <w:rFonts w:hint="eastAsia" w:ascii="黑体" w:hAnsi="黑体" w:eastAsia="黑体" w:cs="黑体"/>
              </w:rPr>
              <w:t>合</w:t>
            </w:r>
            <w:r>
              <w:rPr>
                <w:rFonts w:ascii="黑体" w:hAnsi="黑体" w:eastAsia="黑体" w:cs="黑体"/>
              </w:rPr>
              <w:t xml:space="preserve">     </w:t>
            </w:r>
            <w:r>
              <w:rPr>
                <w:rFonts w:hint="eastAsia" w:ascii="黑体" w:hAnsi="黑体" w:eastAsia="黑体" w:cs="黑体"/>
              </w:rPr>
              <w:t>计</w:t>
            </w:r>
          </w:p>
        </w:tc>
        <w:tc>
          <w:tcPr>
            <w:tcW w:w="2771" w:type="dxa"/>
            <w:gridSpan w:val="6"/>
            <w:vAlign w:val="center"/>
          </w:tcPr>
          <w:p>
            <w:pPr>
              <w:spacing w:line="360" w:lineRule="auto"/>
              <w:jc w:val="center"/>
              <w:rPr>
                <w:rFonts w:ascii="黑体" w:hAnsi="黑体" w:eastAsia="黑体" w:cs="Times New Roman"/>
              </w:rPr>
            </w:pPr>
            <w:r>
              <w:rPr>
                <w:rFonts w:hint="eastAsia" w:ascii="黑体" w:hAnsi="黑体" w:eastAsia="黑体" w:cs="黑体"/>
              </w:rPr>
              <w:t>数量合计：</w:t>
            </w:r>
          </w:p>
        </w:tc>
        <w:tc>
          <w:tcPr>
            <w:tcW w:w="3667" w:type="dxa"/>
            <w:gridSpan w:val="3"/>
            <w:vAlign w:val="center"/>
          </w:tcPr>
          <w:p>
            <w:pPr>
              <w:spacing w:line="360" w:lineRule="auto"/>
              <w:jc w:val="center"/>
              <w:rPr>
                <w:rFonts w:ascii="黑体" w:hAnsi="黑体" w:eastAsia="黑体" w:cs="Times New Roman"/>
              </w:rPr>
            </w:pPr>
            <w:r>
              <w:rPr>
                <w:rFonts w:hint="eastAsia" w:ascii="黑体" w:hAnsi="黑体" w:eastAsia="黑体" w:cs="黑体"/>
              </w:rPr>
              <w:t>报价合计：</w:t>
            </w:r>
            <w:r>
              <w:rPr>
                <w:rFonts w:ascii="黑体" w:hAnsi="黑体" w:eastAsia="黑体" w:cs="黑体"/>
              </w:rPr>
              <w:t xml:space="preserve">  </w:t>
            </w:r>
            <w:r>
              <w:rPr>
                <w:rFonts w:hint="eastAsia" w:ascii="黑体" w:hAnsi="黑体" w:eastAsia="黑体" w:cs="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805" w:type="dxa"/>
            <w:gridSpan w:val="13"/>
            <w:vAlign w:val="center"/>
          </w:tcPr>
          <w:p>
            <w:pPr>
              <w:tabs>
                <w:tab w:val="left" w:pos="9585"/>
                <w:tab w:val="left" w:pos="11205"/>
              </w:tabs>
              <w:rPr>
                <w:rFonts w:hAnsi="宋体" w:cs="Times New Roman"/>
                <w:b/>
                <w:bCs/>
              </w:rPr>
            </w:pPr>
            <w:r>
              <w:rPr>
                <w:rFonts w:hint="eastAsia" w:ascii="黑体" w:hAnsi="黑体" w:eastAsia="黑体" w:cs="黑体"/>
                <w:sz w:val="24"/>
              </w:rPr>
              <w:t>二、其他费用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vAlign w:val="center"/>
          </w:tcPr>
          <w:p>
            <w:pPr>
              <w:spacing w:line="360" w:lineRule="auto"/>
              <w:jc w:val="center"/>
              <w:rPr>
                <w:rFonts w:ascii="黑体" w:hAnsi="黑体" w:eastAsia="黑体" w:cs="Times New Roman"/>
              </w:rPr>
            </w:pPr>
            <w:r>
              <w:rPr>
                <w:rFonts w:hint="eastAsia" w:ascii="黑体" w:hAnsi="黑体" w:eastAsia="黑体" w:cs="黑体"/>
              </w:rPr>
              <w:t>序号</w:t>
            </w:r>
          </w:p>
        </w:tc>
        <w:tc>
          <w:tcPr>
            <w:tcW w:w="1582" w:type="dxa"/>
            <w:gridSpan w:val="2"/>
            <w:vAlign w:val="center"/>
          </w:tcPr>
          <w:p>
            <w:pPr>
              <w:spacing w:line="360" w:lineRule="auto"/>
              <w:jc w:val="center"/>
              <w:rPr>
                <w:rFonts w:ascii="黑体" w:hAnsi="黑体" w:eastAsia="黑体" w:cs="Times New Roman"/>
              </w:rPr>
            </w:pPr>
            <w:r>
              <w:rPr>
                <w:rFonts w:hint="eastAsia" w:ascii="黑体" w:hAnsi="黑体" w:eastAsia="黑体" w:cs="黑体"/>
              </w:rPr>
              <w:t>分项名称</w:t>
            </w:r>
          </w:p>
        </w:tc>
        <w:tc>
          <w:tcPr>
            <w:tcW w:w="1677" w:type="dxa"/>
            <w:vAlign w:val="center"/>
          </w:tcPr>
          <w:p>
            <w:pPr>
              <w:spacing w:line="360" w:lineRule="auto"/>
              <w:jc w:val="center"/>
              <w:rPr>
                <w:rFonts w:ascii="黑体" w:hAnsi="黑体" w:eastAsia="黑体" w:cs="Times New Roman"/>
              </w:rPr>
            </w:pPr>
            <w:r>
              <w:rPr>
                <w:rFonts w:hint="eastAsia" w:ascii="黑体" w:hAnsi="黑体" w:eastAsia="黑体" w:cs="黑体"/>
              </w:rPr>
              <w:t>具体内容</w:t>
            </w:r>
          </w:p>
        </w:tc>
        <w:tc>
          <w:tcPr>
            <w:tcW w:w="1036" w:type="dxa"/>
            <w:gridSpan w:val="2"/>
            <w:vAlign w:val="center"/>
          </w:tcPr>
          <w:p>
            <w:pPr>
              <w:spacing w:line="360" w:lineRule="auto"/>
              <w:jc w:val="center"/>
              <w:rPr>
                <w:rFonts w:ascii="黑体" w:hAnsi="黑体" w:eastAsia="黑体" w:cs="Times New Roman"/>
              </w:rPr>
            </w:pPr>
            <w:r>
              <w:rPr>
                <w:rFonts w:hint="eastAsia" w:ascii="黑体" w:hAnsi="黑体" w:eastAsia="黑体" w:cs="黑体"/>
              </w:rPr>
              <w:t>单位</w:t>
            </w:r>
          </w:p>
        </w:tc>
        <w:tc>
          <w:tcPr>
            <w:tcW w:w="928" w:type="dxa"/>
            <w:gridSpan w:val="2"/>
            <w:vAlign w:val="center"/>
          </w:tcPr>
          <w:p>
            <w:pPr>
              <w:spacing w:line="360" w:lineRule="auto"/>
              <w:jc w:val="center"/>
              <w:rPr>
                <w:rFonts w:ascii="黑体" w:hAnsi="黑体" w:eastAsia="黑体" w:cs="Times New Roman"/>
              </w:rPr>
            </w:pPr>
            <w:r>
              <w:rPr>
                <w:rFonts w:hint="eastAsia" w:ascii="黑体" w:hAnsi="黑体" w:eastAsia="黑体" w:cs="黑体"/>
              </w:rPr>
              <w:t>数量</w:t>
            </w:r>
          </w:p>
        </w:tc>
        <w:tc>
          <w:tcPr>
            <w:tcW w:w="791" w:type="dxa"/>
            <w:vAlign w:val="center"/>
          </w:tcPr>
          <w:p>
            <w:pPr>
              <w:spacing w:line="360" w:lineRule="auto"/>
              <w:jc w:val="center"/>
              <w:rPr>
                <w:rFonts w:ascii="黑体" w:hAnsi="黑体" w:eastAsia="黑体" w:cs="Times New Roman"/>
              </w:rPr>
            </w:pPr>
            <w:r>
              <w:rPr>
                <w:rFonts w:hint="eastAsia" w:ascii="黑体" w:hAnsi="黑体" w:eastAsia="黑体" w:cs="黑体"/>
              </w:rPr>
              <w:t>单价</w:t>
            </w:r>
          </w:p>
        </w:tc>
        <w:tc>
          <w:tcPr>
            <w:tcW w:w="2376" w:type="dxa"/>
            <w:gridSpan w:val="3"/>
            <w:vAlign w:val="center"/>
          </w:tcPr>
          <w:p>
            <w:pPr>
              <w:spacing w:line="360" w:lineRule="auto"/>
              <w:jc w:val="center"/>
              <w:rPr>
                <w:rFonts w:ascii="黑体" w:hAnsi="黑体" w:eastAsia="黑体" w:cs="Times New Roman"/>
              </w:rPr>
            </w:pPr>
            <w:r>
              <w:rPr>
                <w:rFonts w:hint="eastAsia" w:ascii="黑体" w:hAnsi="黑体" w:eastAsia="黑体" w:cs="黑体"/>
              </w:rPr>
              <w:t>合计（元）</w:t>
            </w:r>
          </w:p>
        </w:tc>
        <w:tc>
          <w:tcPr>
            <w:tcW w:w="1307" w:type="dxa"/>
            <w:vAlign w:val="center"/>
          </w:tcPr>
          <w:p>
            <w:pPr>
              <w:spacing w:line="360" w:lineRule="auto"/>
              <w:jc w:val="center"/>
              <w:rPr>
                <w:rFonts w:ascii="黑体" w:hAnsi="黑体" w:eastAsia="黑体" w:cs="Times New Roman"/>
              </w:rPr>
            </w:pPr>
            <w:r>
              <w:rPr>
                <w:rFonts w:hint="eastAsia" w:ascii="黑体" w:hAnsi="黑体" w:eastAsia="黑体" w:cs="黑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vAlign w:val="center"/>
          </w:tcPr>
          <w:p>
            <w:pPr>
              <w:spacing w:line="360" w:lineRule="auto"/>
              <w:jc w:val="center"/>
              <w:rPr>
                <w:rFonts w:ascii="黑体" w:hAnsi="黑体" w:eastAsia="黑体" w:cs="黑体"/>
              </w:rPr>
            </w:pPr>
            <w:r>
              <w:rPr>
                <w:rFonts w:hint="eastAsia" w:ascii="黑体" w:hAnsi="黑体" w:eastAsia="黑体" w:cs="黑体"/>
              </w:rPr>
              <w:t>3</w:t>
            </w:r>
          </w:p>
        </w:tc>
        <w:tc>
          <w:tcPr>
            <w:tcW w:w="1582" w:type="dxa"/>
            <w:gridSpan w:val="2"/>
            <w:vAlign w:val="center"/>
          </w:tcPr>
          <w:p>
            <w:pPr>
              <w:spacing w:line="360" w:lineRule="auto"/>
              <w:jc w:val="center"/>
              <w:rPr>
                <w:rFonts w:ascii="黑体" w:hAnsi="黑体" w:eastAsia="黑体" w:cs="黑体"/>
              </w:rPr>
            </w:pPr>
          </w:p>
        </w:tc>
        <w:tc>
          <w:tcPr>
            <w:tcW w:w="1677" w:type="dxa"/>
            <w:vAlign w:val="center"/>
          </w:tcPr>
          <w:p>
            <w:pPr>
              <w:spacing w:line="360" w:lineRule="auto"/>
              <w:jc w:val="center"/>
              <w:rPr>
                <w:rFonts w:ascii="黑体" w:hAnsi="黑体" w:eastAsia="黑体" w:cs="黑体"/>
              </w:rPr>
            </w:pPr>
          </w:p>
        </w:tc>
        <w:tc>
          <w:tcPr>
            <w:tcW w:w="1036" w:type="dxa"/>
            <w:gridSpan w:val="2"/>
            <w:vAlign w:val="center"/>
          </w:tcPr>
          <w:p>
            <w:pPr>
              <w:spacing w:line="360" w:lineRule="auto"/>
              <w:jc w:val="center"/>
              <w:rPr>
                <w:rFonts w:ascii="黑体" w:hAnsi="黑体" w:eastAsia="黑体" w:cs="黑体"/>
              </w:rPr>
            </w:pPr>
          </w:p>
        </w:tc>
        <w:tc>
          <w:tcPr>
            <w:tcW w:w="928" w:type="dxa"/>
            <w:gridSpan w:val="2"/>
            <w:vAlign w:val="center"/>
          </w:tcPr>
          <w:p>
            <w:pPr>
              <w:spacing w:line="360" w:lineRule="auto"/>
              <w:jc w:val="center"/>
              <w:rPr>
                <w:rFonts w:ascii="黑体" w:hAnsi="黑体" w:eastAsia="黑体" w:cs="黑体"/>
              </w:rPr>
            </w:pPr>
          </w:p>
        </w:tc>
        <w:tc>
          <w:tcPr>
            <w:tcW w:w="791" w:type="dxa"/>
            <w:vAlign w:val="center"/>
          </w:tcPr>
          <w:p>
            <w:pPr>
              <w:spacing w:line="360" w:lineRule="auto"/>
              <w:jc w:val="center"/>
              <w:rPr>
                <w:rFonts w:ascii="黑体" w:hAnsi="黑体" w:eastAsia="黑体" w:cs="黑体"/>
              </w:rPr>
            </w:pPr>
          </w:p>
        </w:tc>
        <w:tc>
          <w:tcPr>
            <w:tcW w:w="2376" w:type="dxa"/>
            <w:gridSpan w:val="3"/>
            <w:vAlign w:val="center"/>
          </w:tcPr>
          <w:p>
            <w:pPr>
              <w:spacing w:line="360" w:lineRule="auto"/>
              <w:jc w:val="center"/>
              <w:rPr>
                <w:rFonts w:ascii="黑体" w:hAnsi="黑体" w:eastAsia="黑体" w:cs="黑体"/>
              </w:rPr>
            </w:pPr>
          </w:p>
        </w:tc>
        <w:tc>
          <w:tcPr>
            <w:tcW w:w="1307" w:type="dxa"/>
            <w:vAlign w:val="center"/>
          </w:tcPr>
          <w:p>
            <w:pPr>
              <w:spacing w:line="360" w:lineRule="auto"/>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vAlign w:val="center"/>
          </w:tcPr>
          <w:p>
            <w:pPr>
              <w:spacing w:line="360" w:lineRule="auto"/>
              <w:jc w:val="center"/>
              <w:rPr>
                <w:rFonts w:ascii="黑体" w:hAnsi="黑体" w:eastAsia="黑体" w:cs="黑体"/>
              </w:rPr>
            </w:pPr>
            <w:r>
              <w:rPr>
                <w:rFonts w:hint="eastAsia" w:ascii="黑体" w:hAnsi="黑体" w:eastAsia="黑体" w:cs="黑体"/>
              </w:rPr>
              <w:t>4</w:t>
            </w:r>
          </w:p>
        </w:tc>
        <w:tc>
          <w:tcPr>
            <w:tcW w:w="1582" w:type="dxa"/>
            <w:gridSpan w:val="2"/>
            <w:vAlign w:val="center"/>
          </w:tcPr>
          <w:p>
            <w:pPr>
              <w:spacing w:line="360" w:lineRule="auto"/>
              <w:jc w:val="center"/>
              <w:rPr>
                <w:rFonts w:ascii="黑体" w:hAnsi="黑体" w:eastAsia="黑体" w:cs="黑体"/>
              </w:rPr>
            </w:pPr>
          </w:p>
        </w:tc>
        <w:tc>
          <w:tcPr>
            <w:tcW w:w="1677" w:type="dxa"/>
            <w:vAlign w:val="center"/>
          </w:tcPr>
          <w:p>
            <w:pPr>
              <w:spacing w:line="360" w:lineRule="auto"/>
              <w:jc w:val="center"/>
              <w:rPr>
                <w:rFonts w:ascii="黑体" w:hAnsi="黑体" w:eastAsia="黑体" w:cs="黑体"/>
              </w:rPr>
            </w:pPr>
          </w:p>
        </w:tc>
        <w:tc>
          <w:tcPr>
            <w:tcW w:w="1036" w:type="dxa"/>
            <w:gridSpan w:val="2"/>
            <w:vAlign w:val="center"/>
          </w:tcPr>
          <w:p>
            <w:pPr>
              <w:spacing w:line="360" w:lineRule="auto"/>
              <w:jc w:val="center"/>
              <w:rPr>
                <w:rFonts w:ascii="黑体" w:hAnsi="黑体" w:eastAsia="黑体" w:cs="黑体"/>
              </w:rPr>
            </w:pPr>
          </w:p>
        </w:tc>
        <w:tc>
          <w:tcPr>
            <w:tcW w:w="928" w:type="dxa"/>
            <w:gridSpan w:val="2"/>
            <w:vAlign w:val="center"/>
          </w:tcPr>
          <w:p>
            <w:pPr>
              <w:spacing w:line="360" w:lineRule="auto"/>
              <w:jc w:val="center"/>
              <w:rPr>
                <w:rFonts w:ascii="黑体" w:hAnsi="黑体" w:eastAsia="黑体" w:cs="黑体"/>
              </w:rPr>
            </w:pPr>
          </w:p>
        </w:tc>
        <w:tc>
          <w:tcPr>
            <w:tcW w:w="791" w:type="dxa"/>
            <w:vAlign w:val="center"/>
          </w:tcPr>
          <w:p>
            <w:pPr>
              <w:spacing w:line="360" w:lineRule="auto"/>
              <w:jc w:val="center"/>
              <w:rPr>
                <w:rFonts w:ascii="黑体" w:hAnsi="黑体" w:eastAsia="黑体" w:cs="黑体"/>
              </w:rPr>
            </w:pPr>
          </w:p>
        </w:tc>
        <w:tc>
          <w:tcPr>
            <w:tcW w:w="2376" w:type="dxa"/>
            <w:gridSpan w:val="3"/>
            <w:vAlign w:val="center"/>
          </w:tcPr>
          <w:p>
            <w:pPr>
              <w:spacing w:line="360" w:lineRule="auto"/>
              <w:jc w:val="center"/>
              <w:rPr>
                <w:rFonts w:ascii="黑体" w:hAnsi="黑体" w:eastAsia="黑体" w:cs="黑体"/>
              </w:rPr>
            </w:pPr>
          </w:p>
        </w:tc>
        <w:tc>
          <w:tcPr>
            <w:tcW w:w="1307" w:type="dxa"/>
            <w:vAlign w:val="center"/>
          </w:tcPr>
          <w:p>
            <w:pPr>
              <w:spacing w:line="360" w:lineRule="auto"/>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08" w:type="dxa"/>
            <w:vAlign w:val="center"/>
          </w:tcPr>
          <w:p>
            <w:pPr>
              <w:spacing w:line="360" w:lineRule="auto"/>
              <w:jc w:val="center"/>
              <w:rPr>
                <w:rFonts w:ascii="黑体" w:hAnsi="黑体" w:eastAsia="黑体" w:cs="Times New Roman"/>
              </w:rPr>
            </w:pPr>
            <w:r>
              <w:rPr>
                <w:rFonts w:hint="eastAsia" w:ascii="黑体" w:hAnsi="黑体" w:eastAsia="黑体" w:cs="黑体"/>
              </w:rPr>
              <w:t>……</w:t>
            </w:r>
          </w:p>
        </w:tc>
        <w:tc>
          <w:tcPr>
            <w:tcW w:w="1582" w:type="dxa"/>
            <w:gridSpan w:val="2"/>
            <w:vAlign w:val="center"/>
          </w:tcPr>
          <w:p>
            <w:pPr>
              <w:spacing w:line="360" w:lineRule="auto"/>
              <w:jc w:val="center"/>
              <w:rPr>
                <w:rFonts w:ascii="黑体" w:hAnsi="黑体" w:eastAsia="黑体" w:cs="Times New Roman"/>
              </w:rPr>
            </w:pPr>
          </w:p>
        </w:tc>
        <w:tc>
          <w:tcPr>
            <w:tcW w:w="1677" w:type="dxa"/>
            <w:vAlign w:val="center"/>
          </w:tcPr>
          <w:p>
            <w:pPr>
              <w:spacing w:line="360" w:lineRule="auto"/>
              <w:jc w:val="center"/>
              <w:rPr>
                <w:rFonts w:ascii="黑体" w:hAnsi="黑体" w:eastAsia="黑体" w:cs="Times New Roman"/>
              </w:rPr>
            </w:pPr>
          </w:p>
        </w:tc>
        <w:tc>
          <w:tcPr>
            <w:tcW w:w="1036" w:type="dxa"/>
            <w:gridSpan w:val="2"/>
            <w:vAlign w:val="center"/>
          </w:tcPr>
          <w:p>
            <w:pPr>
              <w:spacing w:line="360" w:lineRule="auto"/>
              <w:jc w:val="center"/>
              <w:rPr>
                <w:rFonts w:ascii="黑体" w:hAnsi="黑体" w:eastAsia="黑体" w:cs="Times New Roman"/>
              </w:rPr>
            </w:pPr>
          </w:p>
        </w:tc>
        <w:tc>
          <w:tcPr>
            <w:tcW w:w="928" w:type="dxa"/>
            <w:gridSpan w:val="2"/>
            <w:vAlign w:val="center"/>
          </w:tcPr>
          <w:p>
            <w:pPr>
              <w:spacing w:line="360" w:lineRule="auto"/>
              <w:jc w:val="center"/>
              <w:rPr>
                <w:rFonts w:ascii="黑体" w:hAnsi="黑体" w:eastAsia="黑体" w:cs="Times New Roman"/>
              </w:rPr>
            </w:pPr>
          </w:p>
        </w:tc>
        <w:tc>
          <w:tcPr>
            <w:tcW w:w="791" w:type="dxa"/>
            <w:vAlign w:val="center"/>
          </w:tcPr>
          <w:p>
            <w:pPr>
              <w:spacing w:line="360" w:lineRule="auto"/>
              <w:jc w:val="center"/>
              <w:rPr>
                <w:rFonts w:ascii="黑体" w:hAnsi="黑体" w:eastAsia="黑体" w:cs="Times New Roman"/>
              </w:rPr>
            </w:pPr>
          </w:p>
        </w:tc>
        <w:tc>
          <w:tcPr>
            <w:tcW w:w="2376" w:type="dxa"/>
            <w:gridSpan w:val="3"/>
            <w:vAlign w:val="center"/>
          </w:tcPr>
          <w:p>
            <w:pPr>
              <w:spacing w:line="360" w:lineRule="auto"/>
              <w:jc w:val="center"/>
              <w:rPr>
                <w:rFonts w:ascii="黑体" w:hAnsi="黑体" w:eastAsia="黑体" w:cs="Times New Roman"/>
              </w:rPr>
            </w:pPr>
          </w:p>
        </w:tc>
        <w:tc>
          <w:tcPr>
            <w:tcW w:w="1307" w:type="dxa"/>
            <w:vAlign w:val="center"/>
          </w:tcPr>
          <w:p>
            <w:pPr>
              <w:spacing w:line="360" w:lineRule="auto"/>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367" w:type="dxa"/>
            <w:gridSpan w:val="4"/>
            <w:shd w:val="clear" w:color="auto" w:fill="auto"/>
            <w:vAlign w:val="center"/>
          </w:tcPr>
          <w:p>
            <w:pPr>
              <w:spacing w:line="360" w:lineRule="auto"/>
              <w:jc w:val="center"/>
              <w:rPr>
                <w:rFonts w:ascii="黑体" w:hAnsi="黑体" w:eastAsia="黑体" w:cs="Times New Roman"/>
              </w:rPr>
            </w:pPr>
            <w:r>
              <w:rPr>
                <w:rFonts w:hint="eastAsia" w:ascii="黑体" w:hAnsi="黑体" w:eastAsia="黑体" w:cs="黑体"/>
              </w:rPr>
              <w:t>合</w:t>
            </w:r>
            <w:r>
              <w:rPr>
                <w:rFonts w:ascii="黑体" w:hAnsi="黑体" w:eastAsia="黑体" w:cs="黑体"/>
              </w:rPr>
              <w:t xml:space="preserve">     </w:t>
            </w:r>
            <w:r>
              <w:rPr>
                <w:rFonts w:hint="eastAsia" w:ascii="黑体" w:hAnsi="黑体" w:eastAsia="黑体" w:cs="黑体"/>
              </w:rPr>
              <w:t>计</w:t>
            </w:r>
          </w:p>
        </w:tc>
        <w:tc>
          <w:tcPr>
            <w:tcW w:w="2755" w:type="dxa"/>
            <w:gridSpan w:val="5"/>
            <w:shd w:val="clear" w:color="auto" w:fill="FFFFCC"/>
            <w:vAlign w:val="center"/>
          </w:tcPr>
          <w:p>
            <w:pPr>
              <w:spacing w:line="360" w:lineRule="auto"/>
              <w:jc w:val="center"/>
              <w:rPr>
                <w:rFonts w:ascii="黑体" w:hAnsi="黑体" w:eastAsia="黑体" w:cs="Times New Roman"/>
              </w:rPr>
            </w:pPr>
            <w:r>
              <w:rPr>
                <w:rFonts w:hint="eastAsia" w:ascii="黑体" w:hAnsi="黑体" w:eastAsia="黑体" w:cs="黑体"/>
              </w:rPr>
              <w:t>数量合计：</w:t>
            </w:r>
          </w:p>
        </w:tc>
        <w:tc>
          <w:tcPr>
            <w:tcW w:w="3683" w:type="dxa"/>
            <w:gridSpan w:val="4"/>
            <w:shd w:val="clear" w:color="auto" w:fill="FFFFCC"/>
            <w:vAlign w:val="center"/>
          </w:tcPr>
          <w:p>
            <w:pPr>
              <w:spacing w:line="360" w:lineRule="auto"/>
              <w:jc w:val="center"/>
              <w:rPr>
                <w:rFonts w:ascii="黑体" w:hAnsi="黑体" w:eastAsia="黑体" w:cs="Times New Roman"/>
              </w:rPr>
            </w:pPr>
            <w:r>
              <w:rPr>
                <w:rFonts w:hint="eastAsia" w:ascii="黑体" w:hAnsi="黑体" w:eastAsia="黑体" w:cs="黑体"/>
              </w:rPr>
              <w:t>报价合计：</w:t>
            </w:r>
            <w:r>
              <w:rPr>
                <w:rFonts w:ascii="黑体" w:hAnsi="黑体" w:eastAsia="黑体" w:cs="黑体"/>
              </w:rPr>
              <w:t xml:space="preserve">  </w:t>
            </w:r>
            <w:r>
              <w:rPr>
                <w:rFonts w:hint="eastAsia" w:ascii="黑体" w:hAnsi="黑体" w:eastAsia="黑体" w:cs="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0805" w:type="dxa"/>
            <w:gridSpan w:val="13"/>
            <w:shd w:val="clear" w:color="auto" w:fill="FFFFCC"/>
            <w:vAlign w:val="center"/>
          </w:tcPr>
          <w:p>
            <w:pPr>
              <w:rPr>
                <w:rFonts w:hAnsi="宋体" w:cs="Times New Roman"/>
                <w:b/>
                <w:bCs/>
              </w:rPr>
            </w:pPr>
            <w:r>
              <w:rPr>
                <w:rFonts w:hint="eastAsia" w:ascii="黑体" w:hAnsi="黑体" w:eastAsia="黑体" w:cs="黑体"/>
                <w:sz w:val="24"/>
              </w:rPr>
              <w:t>三、报价汇总：人民币</w:t>
            </w:r>
            <w:r>
              <w:rPr>
                <w:rFonts w:ascii="黑体" w:hAnsi="黑体" w:eastAsia="黑体" w:cs="黑体"/>
                <w:sz w:val="24"/>
                <w:u w:val="single"/>
              </w:rPr>
              <w:t xml:space="preserve">    </w:t>
            </w:r>
            <w:r>
              <w:rPr>
                <w:rFonts w:hint="eastAsia" w:ascii="黑体" w:hAnsi="黑体" w:eastAsia="黑体" w:cs="黑体"/>
                <w:sz w:val="24"/>
                <w:u w:val="single"/>
              </w:rPr>
              <w:t xml:space="preserve">  </w:t>
            </w:r>
            <w:r>
              <w:rPr>
                <w:rFonts w:hint="eastAsia" w:ascii="黑体" w:hAnsi="黑体" w:eastAsia="黑体" w:cs="黑体"/>
                <w:sz w:val="24"/>
              </w:rPr>
              <w:t>元。</w:t>
            </w:r>
            <w:r>
              <w:rPr>
                <w:rFonts w:ascii="黑体" w:hAnsi="黑体" w:eastAsia="黑体" w:cs="黑体"/>
                <w:sz w:val="24"/>
              </w:rPr>
              <w:t xml:space="preserve"> </w:t>
            </w:r>
            <w:r>
              <w:rPr>
                <w:rFonts w:hint="eastAsia" w:ascii="黑体" w:hAnsi="黑体" w:eastAsia="黑体" w:cs="黑体"/>
              </w:rPr>
              <w:t>（以上各合计项与首次报价一览表中的对应项均一致相符，如不一致以首次报价一览表为准）</w:t>
            </w:r>
          </w:p>
        </w:tc>
      </w:tr>
    </w:tbl>
    <w:p>
      <w:pPr>
        <w:pStyle w:val="12"/>
        <w:spacing w:line="440" w:lineRule="exact"/>
        <w:ind w:left="-120" w:leftChars="-57" w:firstLine="527" w:firstLineChars="250"/>
        <w:rPr>
          <w:rFonts w:hAnsi="宋体"/>
          <w:b/>
          <w:bCs/>
          <w:u w:val="single"/>
        </w:rPr>
      </w:pPr>
    </w:p>
    <w:p>
      <w:pPr>
        <w:pStyle w:val="12"/>
        <w:spacing w:line="440" w:lineRule="exact"/>
        <w:ind w:left="-120" w:leftChars="-57" w:firstLine="527" w:firstLineChars="250"/>
        <w:rPr>
          <w:b/>
          <w:bCs/>
          <w:u w:val="single"/>
        </w:rPr>
      </w:pPr>
      <w:r>
        <w:rPr>
          <w:rFonts w:hint="eastAsia" w:hAnsi="宋体"/>
          <w:b/>
          <w:bCs/>
          <w:u w:val="single"/>
        </w:rPr>
        <w:t>注：</w:t>
      </w:r>
    </w:p>
    <w:p>
      <w:pPr>
        <w:pStyle w:val="12"/>
        <w:spacing w:line="440" w:lineRule="exact"/>
        <w:ind w:left="-120" w:leftChars="-57" w:firstLine="527" w:firstLineChars="250"/>
        <w:rPr>
          <w:b/>
          <w:bCs/>
          <w:u w:val="single"/>
        </w:rPr>
      </w:pPr>
      <w:r>
        <w:rPr>
          <w:rFonts w:hAnsi="宋体"/>
          <w:b/>
          <w:bCs/>
          <w:u w:val="single"/>
        </w:rPr>
        <w:t>1.</w:t>
      </w:r>
      <w:r>
        <w:rPr>
          <w:rFonts w:hint="eastAsia" w:hAnsi="宋体"/>
          <w:b/>
          <w:bCs/>
          <w:u w:val="single"/>
        </w:rPr>
        <w:t>分项报价表可参照以上格式提供，也可由供应商自拟格式；</w:t>
      </w:r>
    </w:p>
    <w:p>
      <w:pPr>
        <w:pStyle w:val="12"/>
        <w:spacing w:line="440" w:lineRule="exact"/>
        <w:ind w:left="-120" w:leftChars="-57" w:firstLine="527" w:firstLineChars="250"/>
        <w:rPr>
          <w:b/>
          <w:bCs/>
          <w:u w:val="single"/>
        </w:rPr>
      </w:pPr>
      <w:r>
        <w:rPr>
          <w:rFonts w:hint="eastAsia" w:hAnsi="宋体"/>
          <w:b/>
          <w:bCs/>
          <w:u w:val="single"/>
        </w:rPr>
        <w:t>自拟格式应能清楚表达《首次报价一览表》总报价组成；</w:t>
      </w:r>
    </w:p>
    <w:p>
      <w:pPr>
        <w:pStyle w:val="12"/>
        <w:spacing w:line="440" w:lineRule="exact"/>
        <w:ind w:left="-120" w:leftChars="-57" w:firstLine="527" w:firstLineChars="250"/>
        <w:rPr>
          <w:b/>
          <w:bCs/>
          <w:u w:val="single"/>
        </w:rPr>
      </w:pPr>
      <w:r>
        <w:rPr>
          <w:rFonts w:hint="eastAsia" w:hAnsi="宋体"/>
          <w:b/>
          <w:bCs/>
          <w:u w:val="single"/>
        </w:rPr>
        <w:t>如果不提供详细分项报价将视为没有实质性响应磋商文件。</w:t>
      </w:r>
    </w:p>
    <w:p>
      <w:pPr>
        <w:pStyle w:val="12"/>
        <w:spacing w:line="440" w:lineRule="exact"/>
        <w:ind w:left="-120" w:leftChars="-57" w:firstLine="527" w:firstLineChars="250"/>
        <w:rPr>
          <w:b/>
          <w:bCs/>
          <w:u w:val="single"/>
        </w:rPr>
      </w:pPr>
      <w:r>
        <w:rPr>
          <w:rFonts w:hAnsi="宋体"/>
          <w:b/>
          <w:bCs/>
          <w:u w:val="single"/>
        </w:rPr>
        <w:t>2.</w:t>
      </w:r>
      <w:r>
        <w:rPr>
          <w:rFonts w:hint="eastAsia" w:hAnsi="宋体"/>
          <w:b/>
          <w:bCs/>
          <w:u w:val="single"/>
        </w:rPr>
        <w:t>对于报价免费的项目必须标明“免费”。</w:t>
      </w:r>
    </w:p>
    <w:p>
      <w:pPr>
        <w:pStyle w:val="12"/>
        <w:spacing w:line="440" w:lineRule="exact"/>
        <w:ind w:left="-120" w:leftChars="-57" w:firstLine="527" w:firstLineChars="250"/>
        <w:rPr>
          <w:b/>
          <w:bCs/>
          <w:u w:val="single"/>
        </w:rPr>
      </w:pPr>
      <w:r>
        <w:rPr>
          <w:rFonts w:hAnsi="宋体"/>
          <w:b/>
          <w:bCs/>
          <w:u w:val="single"/>
        </w:rPr>
        <w:t>3.</w:t>
      </w:r>
      <w:r>
        <w:rPr>
          <w:rFonts w:hint="eastAsia" w:hAnsi="宋体"/>
          <w:b/>
          <w:bCs/>
          <w:u w:val="single"/>
        </w:rPr>
        <w:t>表内报价内容以元为单位。</w:t>
      </w:r>
    </w:p>
    <w:p>
      <w:pPr>
        <w:pStyle w:val="12"/>
        <w:spacing w:line="500" w:lineRule="exact"/>
        <w:ind w:left="-120" w:leftChars="-57" w:firstLine="527" w:firstLineChars="250"/>
        <w:rPr>
          <w:b/>
          <w:bCs/>
          <w:u w:val="single"/>
        </w:rPr>
      </w:pPr>
    </w:p>
    <w:p>
      <w:pPr>
        <w:pStyle w:val="12"/>
        <w:spacing w:line="500" w:lineRule="exact"/>
        <w:ind w:left="-120" w:leftChars="-57" w:firstLine="527" w:firstLineChars="250"/>
        <w:rPr>
          <w:b/>
          <w:bCs/>
          <w:u w:val="single"/>
        </w:rPr>
      </w:pPr>
    </w:p>
    <w:p>
      <w:pPr>
        <w:spacing w:line="360" w:lineRule="auto"/>
        <w:ind w:firstLine="480" w:firstLineChars="200"/>
        <w:rPr>
          <w:rFonts w:ascii="宋体" w:cs="Times New Roman"/>
          <w:sz w:val="24"/>
          <w:u w:val="single"/>
        </w:rPr>
      </w:pPr>
      <w:r>
        <w:rPr>
          <w:rFonts w:hint="eastAsia" w:ascii="宋体" w:hAnsi="宋体"/>
          <w:sz w:val="24"/>
        </w:rPr>
        <w:t>供应商法定代表人（或法定代表人授权代表）签字：</w:t>
      </w:r>
      <w:r>
        <w:rPr>
          <w:rFonts w:ascii="宋体" w:hAnsi="宋体"/>
          <w:sz w:val="24"/>
          <w:u w:val="single"/>
        </w:rPr>
        <w:t xml:space="preserve">                   </w:t>
      </w:r>
    </w:p>
    <w:p>
      <w:pPr>
        <w:spacing w:line="360" w:lineRule="auto"/>
        <w:ind w:firstLine="480" w:firstLineChars="200"/>
        <w:rPr>
          <w:rFonts w:ascii="宋体" w:cs="Times New Roman"/>
          <w:sz w:val="24"/>
          <w:u w:val="single"/>
        </w:rPr>
      </w:pPr>
      <w:r>
        <w:rPr>
          <w:rFonts w:hint="eastAsia" w:ascii="宋体" w:hAnsi="宋体"/>
          <w:sz w:val="24"/>
        </w:rPr>
        <w:t>供应商名称（盖章）：</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482" w:firstLineChars="200"/>
        <w:rPr>
          <w:rFonts w:ascii="宋体" w:hAnsi="宋体"/>
          <w:b/>
          <w:bCs/>
          <w:sz w:val="24"/>
        </w:rPr>
        <w:sectPr>
          <w:pgSz w:w="16838" w:h="11906" w:orient="landscape"/>
          <w:pgMar w:top="1080" w:right="1440" w:bottom="1080" w:left="1440" w:header="851" w:footer="992" w:gutter="0"/>
          <w:cols w:space="425" w:num="1"/>
          <w:docGrid w:type="lines" w:linePitch="312" w:charSpace="0"/>
        </w:sectPr>
      </w:pPr>
      <w:bookmarkStart w:id="276" w:name="_Toc27342"/>
      <w:bookmarkStart w:id="277" w:name="_Toc484353369"/>
      <w:bookmarkStart w:id="278" w:name="_Toc483349446"/>
      <w:bookmarkStart w:id="279" w:name="_Toc14998"/>
      <w:bookmarkStart w:id="280" w:name="_Toc22652"/>
    </w:p>
    <w:p>
      <w:pPr>
        <w:spacing w:line="360" w:lineRule="auto"/>
        <w:jc w:val="center"/>
        <w:outlineLvl w:val="1"/>
        <w:rPr>
          <w:rFonts w:ascii="黑体" w:hAnsi="仿宋" w:eastAsia="黑体" w:cs="Times New Roman"/>
          <w:b/>
          <w:bCs/>
          <w:sz w:val="32"/>
          <w:szCs w:val="32"/>
        </w:rPr>
      </w:pPr>
      <w:bookmarkStart w:id="281" w:name="_Toc16644"/>
      <w:bookmarkStart w:id="282" w:name="_Toc28380"/>
      <w:r>
        <w:rPr>
          <w:rFonts w:hint="eastAsia" w:ascii="黑体" w:hAnsi="仿宋" w:eastAsia="黑体" w:cs="黑体"/>
          <w:b/>
          <w:bCs/>
          <w:sz w:val="32"/>
          <w:szCs w:val="32"/>
        </w:rPr>
        <w:t>五、技术部分</w:t>
      </w:r>
      <w:bookmarkEnd w:id="276"/>
      <w:bookmarkEnd w:id="277"/>
      <w:bookmarkEnd w:id="278"/>
      <w:bookmarkEnd w:id="279"/>
      <w:bookmarkEnd w:id="280"/>
      <w:bookmarkEnd w:id="281"/>
      <w:bookmarkEnd w:id="282"/>
    </w:p>
    <w:p>
      <w:pPr>
        <w:spacing w:line="360" w:lineRule="auto"/>
        <w:ind w:firstLine="480" w:firstLineChars="200"/>
        <w:rPr>
          <w:rFonts w:ascii="宋体" w:hAnsi="宋体"/>
          <w:sz w:val="24"/>
        </w:rPr>
      </w:pPr>
      <w:r>
        <w:rPr>
          <w:rFonts w:hint="eastAsia" w:ascii="宋体" w:hAnsi="宋体"/>
          <w:sz w:val="24"/>
        </w:rPr>
        <w:t>响应供应商应按照磋商文件的要求，根据《用户需求书》《技术评审表》要求内容做出全面响应并编制技术服务方案。其内容应包括但不限于人力、物力等资源的投入以及服务内容、方式、手段、措施、质量保证及建议等。服务方案设计必须科学合理、真实可行，能充分体现出自身技术和专业优势。对含糊不清或欠具体明确之处，磋商小组可视为响应供应商履约能力不足或响应不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jc w:val="center"/>
        <w:outlineLvl w:val="1"/>
        <w:rPr>
          <w:rFonts w:ascii="黑体" w:hAnsi="仿宋" w:eastAsia="黑体" w:cs="黑体"/>
          <w:b/>
          <w:bCs/>
          <w:sz w:val="32"/>
          <w:szCs w:val="32"/>
        </w:rPr>
      </w:pPr>
      <w:bookmarkStart w:id="283" w:name="_Toc484353370"/>
      <w:bookmarkStart w:id="284" w:name="_Toc483349447"/>
      <w:bookmarkStart w:id="285" w:name="_Toc29468"/>
      <w:bookmarkStart w:id="286" w:name="_Toc8463"/>
      <w:bookmarkStart w:id="287" w:name="_Toc28982"/>
      <w:r>
        <w:rPr>
          <w:rFonts w:hint="eastAsia" w:ascii="黑体" w:hAnsi="仿宋" w:eastAsia="黑体" w:cs="黑体"/>
          <w:b/>
          <w:bCs/>
          <w:sz w:val="32"/>
          <w:szCs w:val="32"/>
        </w:rPr>
        <w:br w:type="page"/>
      </w:r>
    </w:p>
    <w:p>
      <w:pPr>
        <w:spacing w:line="360" w:lineRule="auto"/>
        <w:jc w:val="center"/>
        <w:outlineLvl w:val="1"/>
        <w:rPr>
          <w:rFonts w:ascii="黑体" w:hAnsi="仿宋" w:eastAsia="黑体" w:cs="Times New Roman"/>
          <w:b/>
          <w:bCs/>
          <w:sz w:val="32"/>
          <w:szCs w:val="32"/>
        </w:rPr>
      </w:pPr>
      <w:bookmarkStart w:id="288" w:name="_Toc20479"/>
      <w:bookmarkStart w:id="289" w:name="_Toc10245"/>
      <w:r>
        <w:rPr>
          <w:rFonts w:hint="eastAsia" w:ascii="黑体" w:hAnsi="仿宋" w:eastAsia="黑体" w:cs="黑体"/>
          <w:b/>
          <w:bCs/>
          <w:sz w:val="32"/>
          <w:szCs w:val="32"/>
        </w:rPr>
        <w:t>六、商务部分</w:t>
      </w:r>
      <w:bookmarkEnd w:id="283"/>
      <w:bookmarkEnd w:id="284"/>
      <w:bookmarkEnd w:id="285"/>
      <w:bookmarkEnd w:id="286"/>
      <w:bookmarkEnd w:id="287"/>
      <w:bookmarkEnd w:id="288"/>
      <w:bookmarkEnd w:id="289"/>
    </w:p>
    <w:p>
      <w:pPr>
        <w:spacing w:line="360" w:lineRule="auto"/>
        <w:ind w:firstLine="482" w:firstLineChars="200"/>
        <w:jc w:val="left"/>
        <w:rPr>
          <w:rFonts w:ascii="宋体" w:hAnsi="宋体"/>
          <w:b/>
          <w:bCs/>
          <w:sz w:val="24"/>
        </w:rPr>
      </w:pPr>
      <w:r>
        <w:rPr>
          <w:rFonts w:hint="eastAsia" w:ascii="宋体" w:hAnsi="宋体"/>
          <w:b/>
          <w:bCs/>
          <w:sz w:val="24"/>
        </w:rPr>
        <w:t>6.1供应商履约情况证明材料</w:t>
      </w:r>
    </w:p>
    <w:p>
      <w:pPr>
        <w:spacing w:line="360" w:lineRule="auto"/>
        <w:ind w:firstLine="480" w:firstLineChars="200"/>
        <w:jc w:val="left"/>
        <w:rPr>
          <w:rFonts w:ascii="宋体" w:hAnsi="宋体"/>
          <w:sz w:val="24"/>
        </w:rPr>
      </w:pPr>
      <w:r>
        <w:rPr>
          <w:rFonts w:hint="eastAsia" w:ascii="宋体" w:hAnsi="宋体"/>
          <w:sz w:val="24"/>
        </w:rPr>
        <w:t>6.1.1企业简介</w:t>
      </w:r>
    </w:p>
    <w:p>
      <w:pPr>
        <w:spacing w:line="360" w:lineRule="auto"/>
        <w:ind w:firstLine="480" w:firstLineChars="200"/>
        <w:jc w:val="left"/>
        <w:rPr>
          <w:rFonts w:ascii="宋体" w:hAnsi="宋体"/>
          <w:sz w:val="24"/>
        </w:rPr>
      </w:pPr>
      <w:r>
        <w:rPr>
          <w:rFonts w:hint="eastAsia" w:ascii="宋体" w:hAnsi="宋体"/>
          <w:sz w:val="24"/>
        </w:rPr>
        <w:t>6.1.2资质证书/获奖证书/荣誉证书/信用等级证书等（复印件加盖公章）</w:t>
      </w:r>
    </w:p>
    <w:p>
      <w:pPr>
        <w:spacing w:line="360" w:lineRule="auto"/>
        <w:ind w:firstLine="480" w:firstLineChars="200"/>
        <w:jc w:val="left"/>
        <w:rPr>
          <w:rFonts w:ascii="宋体" w:hAnsi="宋体"/>
          <w:sz w:val="24"/>
        </w:rPr>
      </w:pPr>
      <w:r>
        <w:rPr>
          <w:rFonts w:hint="eastAsia" w:ascii="宋体" w:hAnsi="宋体"/>
          <w:sz w:val="24"/>
        </w:rPr>
        <w:t>6.1.3同类项目业绩</w:t>
      </w:r>
    </w:p>
    <w:p>
      <w:pPr>
        <w:spacing w:line="360" w:lineRule="auto"/>
        <w:ind w:firstLine="480" w:firstLineChars="200"/>
        <w:jc w:val="left"/>
        <w:rPr>
          <w:rFonts w:ascii="宋体" w:hAnsi="宋体"/>
          <w:sz w:val="24"/>
        </w:rPr>
      </w:pPr>
      <w:r>
        <w:rPr>
          <w:rFonts w:hint="eastAsia" w:ascii="宋体" w:hAnsi="宋体"/>
          <w:sz w:val="24"/>
        </w:rPr>
        <w:t>6.1.4本项目管理、技术、服务人员情况表</w:t>
      </w:r>
    </w:p>
    <w:p>
      <w:pPr>
        <w:spacing w:line="360" w:lineRule="auto"/>
        <w:ind w:firstLine="480" w:firstLineChars="200"/>
        <w:jc w:val="left"/>
        <w:rPr>
          <w:rFonts w:ascii="宋体" w:hAnsi="宋体"/>
          <w:sz w:val="24"/>
        </w:rPr>
      </w:pPr>
      <w:r>
        <w:rPr>
          <w:rFonts w:hint="eastAsia" w:ascii="宋体" w:hAnsi="宋体"/>
          <w:sz w:val="24"/>
        </w:rPr>
        <w:t>6.1.5其它重要事项说明及承诺</w:t>
      </w: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r>
        <w:rPr>
          <w:rFonts w:hint="eastAsia" w:ascii="宋体" w:hAnsi="宋体"/>
          <w:b/>
          <w:bCs/>
          <w:sz w:val="24"/>
        </w:rPr>
        <w:t>6.2商务条款响应表</w:t>
      </w: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r>
        <w:rPr>
          <w:rFonts w:hint="eastAsia" w:ascii="宋体" w:hAnsi="宋体"/>
          <w:b/>
          <w:bCs/>
          <w:sz w:val="24"/>
        </w:rPr>
        <w:t>6.3服务承诺</w:t>
      </w: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r>
        <w:rPr>
          <w:rFonts w:hint="eastAsia" w:ascii="宋体" w:hAnsi="宋体"/>
          <w:b/>
          <w:bCs/>
          <w:sz w:val="24"/>
        </w:rPr>
        <w:t>6.4其他</w:t>
      </w: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r>
        <w:rPr>
          <w:rFonts w:hint="eastAsia" w:ascii="宋体" w:hAnsi="宋体"/>
          <w:b/>
          <w:bCs/>
          <w:sz w:val="24"/>
        </w:rPr>
        <w:t>6.1供应商履约情况证明材料</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6.1.1企业简介</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b/>
          <w:bCs/>
          <w:sz w:val="24"/>
        </w:rPr>
      </w:pPr>
      <w:r>
        <w:rPr>
          <w:rFonts w:hint="eastAsia" w:ascii="宋体" w:hAnsi="宋体"/>
          <w:sz w:val="24"/>
        </w:rPr>
        <w:t>6.1.2资质证书/获奖证书/荣誉证书/信用等级证书等（复印件加盖公章）</w:t>
      </w:r>
    </w:p>
    <w:p>
      <w:pPr>
        <w:spacing w:line="360" w:lineRule="auto"/>
        <w:ind w:firstLine="482" w:firstLineChars="200"/>
        <w:jc w:val="left"/>
        <w:rPr>
          <w:rFonts w:ascii="宋体" w:hAnsi="宋体"/>
          <w:b/>
          <w:bCs/>
          <w:sz w:val="24"/>
        </w:rPr>
      </w:pPr>
    </w:p>
    <w:p>
      <w:pPr>
        <w:spacing w:line="360" w:lineRule="auto"/>
        <w:ind w:firstLine="480" w:firstLineChars="200"/>
        <w:jc w:val="left"/>
        <w:rPr>
          <w:rFonts w:ascii="宋体" w:hAnsi="宋体"/>
          <w:sz w:val="24"/>
        </w:rPr>
      </w:pPr>
      <w:r>
        <w:rPr>
          <w:rFonts w:hint="eastAsia" w:ascii="宋体" w:hAnsi="宋体"/>
          <w:sz w:val="24"/>
        </w:rPr>
        <w:t>6.1.3同类项目业绩</w:t>
      </w: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jc w:val="center"/>
        <w:rPr>
          <w:rFonts w:ascii="仿宋_GB2312" w:hAnsi="仿宋" w:eastAsia="仿宋_GB2312" w:cs="仿宋"/>
          <w:b/>
          <w:bCs/>
          <w:sz w:val="24"/>
          <w:szCs w:val="24"/>
        </w:rPr>
      </w:pPr>
      <w:r>
        <w:rPr>
          <w:rFonts w:hint="eastAsia" w:ascii="黑体" w:hAnsi="仿宋" w:eastAsia="黑体" w:cs="仿宋"/>
          <w:bCs/>
          <w:sz w:val="32"/>
          <w:szCs w:val="32"/>
        </w:rPr>
        <w:t>同类项目业绩</w:t>
      </w:r>
    </w:p>
    <w:tbl>
      <w:tblPr>
        <w:tblStyle w:val="22"/>
        <w:tblW w:w="75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8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合同签订时间</w:t>
            </w:r>
          </w:p>
        </w:tc>
        <w:tc>
          <w:tcPr>
            <w:tcW w:w="1145" w:type="dxa"/>
            <w:vAlign w:val="center"/>
          </w:tcPr>
          <w:p>
            <w:pPr>
              <w:spacing w:line="360" w:lineRule="auto"/>
              <w:jc w:val="center"/>
              <w:rPr>
                <w:rFonts w:ascii="黑体" w:hAnsi="黑体" w:eastAsia="黑体" w:cs="黑体"/>
                <w:sz w:val="24"/>
              </w:rPr>
            </w:pPr>
            <w:r>
              <w:rPr>
                <w:rFonts w:hint="eastAsia" w:ascii="黑体" w:hAnsi="黑体" w:eastAsia="黑体" w:cs="黑体"/>
                <w:sz w:val="24"/>
              </w:rPr>
              <w:t>用户名称</w:t>
            </w:r>
          </w:p>
        </w:tc>
        <w:tc>
          <w:tcPr>
            <w:tcW w:w="1320" w:type="dxa"/>
            <w:vAlign w:val="center"/>
          </w:tcPr>
          <w:p>
            <w:pPr>
              <w:spacing w:line="360" w:lineRule="auto"/>
              <w:jc w:val="center"/>
              <w:rPr>
                <w:rFonts w:ascii="黑体" w:hAnsi="黑体" w:eastAsia="黑体" w:cs="黑体"/>
                <w:sz w:val="24"/>
              </w:rPr>
            </w:pPr>
            <w:r>
              <w:rPr>
                <w:rFonts w:hint="eastAsia" w:ascii="黑体" w:hAnsi="黑体" w:eastAsia="黑体" w:cs="黑体"/>
                <w:sz w:val="24"/>
              </w:rPr>
              <w:t>项目名称</w:t>
            </w:r>
          </w:p>
        </w:tc>
        <w:tc>
          <w:tcPr>
            <w:tcW w:w="1161" w:type="dxa"/>
            <w:vAlign w:val="center"/>
          </w:tcPr>
          <w:p>
            <w:pPr>
              <w:spacing w:line="360" w:lineRule="auto"/>
              <w:jc w:val="center"/>
              <w:rPr>
                <w:rFonts w:ascii="黑体" w:hAnsi="黑体" w:eastAsia="黑体" w:cs="黑体"/>
                <w:sz w:val="24"/>
              </w:rPr>
            </w:pPr>
            <w:r>
              <w:rPr>
                <w:rFonts w:hint="eastAsia" w:ascii="黑体" w:hAnsi="黑体" w:eastAsia="黑体" w:cs="黑体"/>
                <w:sz w:val="24"/>
              </w:rPr>
              <w:t>完成时间</w:t>
            </w:r>
          </w:p>
        </w:tc>
        <w:tc>
          <w:tcPr>
            <w:tcW w:w="1260" w:type="dxa"/>
            <w:vAlign w:val="center"/>
          </w:tcPr>
          <w:p>
            <w:pPr>
              <w:spacing w:line="360" w:lineRule="auto"/>
              <w:jc w:val="center"/>
              <w:rPr>
                <w:rFonts w:ascii="黑体" w:hAnsi="黑体" w:eastAsia="黑体" w:cs="黑体"/>
                <w:sz w:val="24"/>
              </w:rPr>
            </w:pPr>
            <w:r>
              <w:rPr>
                <w:rFonts w:hint="eastAsia" w:ascii="黑体" w:hAnsi="黑体" w:eastAsia="黑体" w:cs="黑体"/>
                <w:sz w:val="24"/>
              </w:rPr>
              <w:t>合同金额</w:t>
            </w:r>
          </w:p>
        </w:tc>
        <w:tc>
          <w:tcPr>
            <w:tcW w:w="886" w:type="dxa"/>
            <w:tcBorders>
              <w:lef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rPr>
            </w:pPr>
          </w:p>
        </w:tc>
        <w:tc>
          <w:tcPr>
            <w:tcW w:w="1145"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rPr>
            </w:pPr>
          </w:p>
        </w:tc>
        <w:tc>
          <w:tcPr>
            <w:tcW w:w="1145"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rPr>
            </w:pPr>
          </w:p>
        </w:tc>
        <w:tc>
          <w:tcPr>
            <w:tcW w:w="1145"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rPr>
            </w:pPr>
          </w:p>
        </w:tc>
        <w:tc>
          <w:tcPr>
            <w:tcW w:w="1145" w:type="dxa"/>
            <w:tcBorders>
              <w:right w:val="single" w:color="auto" w:sz="4" w:space="0"/>
            </w:tcBorders>
            <w:vAlign w:val="center"/>
          </w:tcPr>
          <w:p>
            <w:pPr>
              <w:widowControl/>
              <w:spacing w:line="360" w:lineRule="atLeast"/>
              <w:ind w:firstLine="470" w:firstLineChars="196"/>
              <w:jc w:val="left"/>
              <w:outlineLvl w:val="1"/>
              <w:rPr>
                <w:rFonts w:ascii="宋体"/>
                <w:sz w:val="24"/>
              </w:rPr>
            </w:pPr>
          </w:p>
        </w:tc>
        <w:tc>
          <w:tcPr>
            <w:tcW w:w="1320"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rPr>
            </w:pPr>
          </w:p>
        </w:tc>
        <w:tc>
          <w:tcPr>
            <w:tcW w:w="1145" w:type="dxa"/>
            <w:tcBorders>
              <w:right w:val="single" w:color="auto" w:sz="4" w:space="0"/>
            </w:tcBorders>
            <w:vAlign w:val="center"/>
          </w:tcPr>
          <w:p>
            <w:pPr>
              <w:widowControl/>
              <w:spacing w:line="360" w:lineRule="atLeast"/>
              <w:ind w:firstLine="470" w:firstLineChars="196"/>
              <w:jc w:val="left"/>
              <w:outlineLvl w:val="1"/>
              <w:rPr>
                <w:rFonts w:ascii="宋体"/>
                <w:sz w:val="24"/>
              </w:rPr>
            </w:pPr>
          </w:p>
        </w:tc>
        <w:tc>
          <w:tcPr>
            <w:tcW w:w="1320"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rPr>
            </w:pPr>
          </w:p>
        </w:tc>
        <w:tc>
          <w:tcPr>
            <w:tcW w:w="1145" w:type="dxa"/>
            <w:tcBorders>
              <w:right w:val="single" w:color="auto" w:sz="4" w:space="0"/>
            </w:tcBorders>
            <w:vAlign w:val="center"/>
          </w:tcPr>
          <w:p>
            <w:pPr>
              <w:widowControl/>
              <w:spacing w:line="360" w:lineRule="atLeast"/>
              <w:ind w:firstLine="470" w:firstLineChars="196"/>
              <w:jc w:val="left"/>
              <w:outlineLvl w:val="1"/>
              <w:rPr>
                <w:rFonts w:ascii="宋体"/>
                <w:sz w:val="24"/>
              </w:rPr>
            </w:pPr>
          </w:p>
        </w:tc>
        <w:tc>
          <w:tcPr>
            <w:tcW w:w="1320"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rPr>
            </w:pPr>
          </w:p>
        </w:tc>
      </w:tr>
    </w:tbl>
    <w:p>
      <w:pPr>
        <w:widowControl/>
        <w:spacing w:line="360" w:lineRule="atLeast"/>
        <w:ind w:firstLine="470" w:firstLineChars="196"/>
        <w:jc w:val="left"/>
        <w:rPr>
          <w:rFonts w:ascii="宋体"/>
          <w:sz w:val="24"/>
        </w:rPr>
      </w:pPr>
    </w:p>
    <w:p>
      <w:pPr>
        <w:spacing w:line="360" w:lineRule="auto"/>
        <w:ind w:firstLine="422" w:firstLineChars="200"/>
        <w:rPr>
          <w:rFonts w:ascii="宋体" w:hAnsi="宋体"/>
          <w:b/>
          <w:bCs/>
          <w:u w:val="single"/>
        </w:rPr>
      </w:pPr>
      <w:r>
        <w:rPr>
          <w:rFonts w:hint="eastAsia" w:ascii="宋体" w:hAnsi="宋体"/>
          <w:b/>
          <w:bCs/>
          <w:u w:val="single"/>
        </w:rPr>
        <w:t>注：</w:t>
      </w:r>
    </w:p>
    <w:p>
      <w:pPr>
        <w:spacing w:line="360" w:lineRule="auto"/>
        <w:ind w:firstLine="422" w:firstLineChars="200"/>
        <w:rPr>
          <w:rFonts w:ascii="仿宋_GB2312" w:hAnsi="仿宋" w:eastAsia="仿宋_GB2312" w:cs="仿宋"/>
          <w:b/>
          <w:bCs/>
          <w:u w:val="single"/>
        </w:rPr>
      </w:pPr>
      <w:r>
        <w:rPr>
          <w:rFonts w:hint="eastAsia" w:ascii="宋体" w:hAnsi="宋体"/>
          <w:b/>
          <w:bCs/>
          <w:u w:val="single"/>
        </w:rPr>
        <w:t>1.响应供应商（仅限于响应供应商自己实施的）以上业绩需提供有关书面证明材料。“合同金额”需提供合同复印件； 2.对于证明材料的特殊要求参照评审表。</w:t>
      </w:r>
    </w:p>
    <w:p>
      <w:pPr>
        <w:spacing w:line="360" w:lineRule="atLeast"/>
        <w:jc w:val="center"/>
        <w:rPr>
          <w:rFonts w:ascii="仿宋_GB2312" w:hAnsi="仿宋" w:eastAsia="仿宋_GB2312" w:cs="仿宋"/>
          <w:sz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spacing w:line="360" w:lineRule="auto"/>
        <w:ind w:firstLine="480" w:firstLineChars="200"/>
        <w:jc w:val="left"/>
        <w:rPr>
          <w:rFonts w:ascii="宋体" w:hAnsi="宋体"/>
          <w:sz w:val="24"/>
        </w:rPr>
      </w:pPr>
      <w:r>
        <w:rPr>
          <w:rFonts w:hint="eastAsia" w:ascii="宋体" w:hAnsi="宋体"/>
          <w:sz w:val="24"/>
        </w:rPr>
        <w:t>6.1.4本项目管理、技术、服务人员情况表</w:t>
      </w:r>
    </w:p>
    <w:p>
      <w:pPr>
        <w:spacing w:line="360" w:lineRule="auto"/>
        <w:jc w:val="center"/>
        <w:rPr>
          <w:rFonts w:ascii="黑体" w:hAnsi="仿宋" w:eastAsia="黑体" w:cs="仿宋"/>
          <w:bCs/>
          <w:sz w:val="32"/>
          <w:szCs w:val="32"/>
        </w:rPr>
      </w:pPr>
      <w:r>
        <w:rPr>
          <w:rFonts w:hint="eastAsia" w:ascii="黑体" w:hAnsi="仿宋" w:eastAsia="黑体" w:cs="仿宋"/>
          <w:bCs/>
          <w:sz w:val="32"/>
          <w:szCs w:val="32"/>
        </w:rPr>
        <w:t>本项目管理、技术、服务人员情况表</w:t>
      </w:r>
    </w:p>
    <w:tbl>
      <w:tblPr>
        <w:tblStyle w:val="2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职责分工</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姓名</w:t>
            </w:r>
          </w:p>
        </w:tc>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现职务</w:t>
            </w:r>
          </w:p>
        </w:tc>
        <w:tc>
          <w:tcPr>
            <w:tcW w:w="21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曾主持/参与的</w:t>
            </w:r>
            <w:r>
              <w:rPr>
                <w:rFonts w:hint="eastAsia" w:ascii="黑体" w:hAnsi="黑体" w:eastAsia="黑体" w:cs="黑体"/>
                <w:sz w:val="24"/>
              </w:rPr>
              <w:br w:type="textWrapping"/>
            </w:r>
            <w:r>
              <w:rPr>
                <w:rFonts w:hint="eastAsia" w:ascii="黑体" w:hAnsi="黑体" w:eastAsia="黑体" w:cs="黑体"/>
                <w:sz w:val="24"/>
              </w:rPr>
              <w:t>同类项目经历</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职称</w:t>
            </w: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专业</w:t>
            </w:r>
          </w:p>
          <w:p>
            <w:pPr>
              <w:spacing w:line="360" w:lineRule="auto"/>
              <w:jc w:val="center"/>
              <w:rPr>
                <w:rFonts w:ascii="黑体" w:hAnsi="黑体" w:eastAsia="黑体" w:cs="黑体"/>
                <w:sz w:val="24"/>
              </w:rPr>
            </w:pPr>
            <w:r>
              <w:rPr>
                <w:rFonts w:hint="eastAsia" w:ascii="黑体" w:hAnsi="黑体" w:eastAsia="黑体" w:cs="黑体"/>
                <w:sz w:val="24"/>
              </w:rPr>
              <w:t>工龄</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总负责人</w:t>
            </w:r>
          </w:p>
        </w:tc>
        <w:tc>
          <w:tcPr>
            <w:tcW w:w="1231" w:type="dxa"/>
            <w:tcBorders>
              <w:top w:val="single" w:color="auto" w:sz="4" w:space="0"/>
              <w:left w:val="single" w:color="auto" w:sz="4" w:space="0"/>
              <w:bottom w:val="nil"/>
              <w:right w:val="single" w:color="auto" w:sz="4" w:space="0"/>
            </w:tcBorders>
            <w:vAlign w:val="center"/>
          </w:tcPr>
          <w:p>
            <w:pPr>
              <w:jc w:val="center"/>
              <w:rPr>
                <w:rFonts w:ascii="宋体" w:hAnsi="宋体"/>
              </w:rPr>
            </w:pPr>
          </w:p>
        </w:tc>
        <w:tc>
          <w:tcPr>
            <w:tcW w:w="1192" w:type="dxa"/>
            <w:tcBorders>
              <w:top w:val="single" w:color="auto" w:sz="4" w:space="0"/>
              <w:left w:val="single" w:color="auto" w:sz="4" w:space="0"/>
              <w:bottom w:val="nil"/>
              <w:right w:val="single" w:color="auto" w:sz="4" w:space="0"/>
            </w:tcBorders>
            <w:vAlign w:val="center"/>
          </w:tcPr>
          <w:p>
            <w:pPr>
              <w:jc w:val="center"/>
              <w:rPr>
                <w:rFonts w:ascii="宋体" w:hAnsi="宋体"/>
              </w:rPr>
            </w:pPr>
          </w:p>
        </w:tc>
        <w:tc>
          <w:tcPr>
            <w:tcW w:w="2196" w:type="dxa"/>
            <w:tcBorders>
              <w:top w:val="single" w:color="auto" w:sz="4" w:space="0"/>
              <w:left w:val="single" w:color="auto" w:sz="4" w:space="0"/>
              <w:bottom w:val="nil"/>
              <w:right w:val="single" w:color="auto" w:sz="4" w:space="0"/>
            </w:tcBorders>
            <w:vAlign w:val="center"/>
          </w:tcPr>
          <w:p>
            <w:pPr>
              <w:pStyle w:val="28"/>
              <w:keepNext w:val="0"/>
              <w:adjustRightInd/>
              <w:spacing w:before="0" w:after="0" w:line="240" w:lineRule="auto"/>
              <w:rPr>
                <w:rFonts w:ascii="宋体" w:hAnsi="宋体"/>
                <w:spacing w:val="0"/>
                <w:kern w:val="2"/>
                <w:sz w:val="21"/>
                <w:szCs w:val="21"/>
              </w:rPr>
            </w:pPr>
          </w:p>
        </w:tc>
        <w:tc>
          <w:tcPr>
            <w:tcW w:w="749" w:type="dxa"/>
            <w:tcBorders>
              <w:top w:val="single" w:color="auto" w:sz="4" w:space="0"/>
              <w:left w:val="single" w:color="auto" w:sz="4" w:space="0"/>
              <w:bottom w:val="nil"/>
              <w:right w:val="single" w:color="auto" w:sz="4" w:space="0"/>
            </w:tcBorders>
            <w:vAlign w:val="center"/>
          </w:tcPr>
          <w:p>
            <w:pPr>
              <w:jc w:val="center"/>
              <w:rPr>
                <w:rFonts w:ascii="宋体" w:hAnsi="宋体"/>
              </w:rPr>
            </w:pPr>
          </w:p>
        </w:tc>
        <w:tc>
          <w:tcPr>
            <w:tcW w:w="818" w:type="dxa"/>
            <w:tcBorders>
              <w:top w:val="single" w:color="auto" w:sz="4" w:space="0"/>
              <w:left w:val="single" w:color="auto" w:sz="4" w:space="0"/>
              <w:bottom w:val="nil"/>
              <w:right w:val="single" w:color="auto" w:sz="4" w:space="0"/>
            </w:tcBorders>
            <w:vAlign w:val="center"/>
          </w:tcPr>
          <w:p>
            <w:pPr>
              <w:ind w:firstLine="12"/>
              <w:jc w:val="center"/>
              <w:rPr>
                <w:rFonts w:ascii="宋体" w:hAnsi="宋体"/>
              </w:rPr>
            </w:pPr>
          </w:p>
        </w:tc>
        <w:tc>
          <w:tcPr>
            <w:tcW w:w="1236" w:type="dxa"/>
            <w:tcBorders>
              <w:top w:val="single" w:color="auto" w:sz="4" w:space="0"/>
              <w:left w:val="single" w:color="auto" w:sz="4" w:space="0"/>
              <w:bottom w:val="nil"/>
              <w:right w:val="single" w:color="auto" w:sz="4" w:space="0"/>
            </w:tcBorders>
            <w:vAlign w:val="center"/>
          </w:tcPr>
          <w:p>
            <w:pPr>
              <w:ind w:firstLine="1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主要技术人员</w:t>
            </w: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s="黑体"/>
                <w:sz w:val="24"/>
              </w:rPr>
            </w:pPr>
            <w:r>
              <w:rPr>
                <w:rFonts w:hint="eastAsia" w:ascii="黑体" w:hAnsi="黑体" w:eastAsia="黑体" w:cs="黑体"/>
                <w:sz w:val="24"/>
              </w:rPr>
              <w:t>主要售后服务人员</w:t>
            </w: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bl>
    <w:p>
      <w:pPr>
        <w:spacing w:line="360" w:lineRule="auto"/>
        <w:ind w:firstLine="422" w:firstLineChars="200"/>
        <w:rPr>
          <w:rFonts w:ascii="宋体" w:hAnsi="宋体"/>
          <w:b/>
          <w:bCs/>
          <w:u w:val="single"/>
        </w:rPr>
      </w:pPr>
      <w:r>
        <w:rPr>
          <w:rFonts w:hint="eastAsia" w:ascii="宋体" w:hAnsi="宋体"/>
          <w:b/>
          <w:bCs/>
          <w:u w:val="single"/>
        </w:rPr>
        <w:t>注：</w:t>
      </w:r>
    </w:p>
    <w:p>
      <w:pPr>
        <w:spacing w:line="360" w:lineRule="auto"/>
        <w:ind w:firstLine="422" w:firstLineChars="200"/>
        <w:rPr>
          <w:rFonts w:ascii="宋体" w:hAnsi="宋体"/>
          <w:b/>
          <w:bCs/>
          <w:u w:val="single"/>
        </w:rPr>
      </w:pPr>
      <w:r>
        <w:rPr>
          <w:rFonts w:hint="eastAsia" w:ascii="宋体" w:hAnsi="宋体"/>
          <w:b/>
          <w:bCs/>
          <w:u w:val="single"/>
        </w:rPr>
        <w:t>1.对于主要管理、技术、服务人员可另页单独介绍。</w:t>
      </w:r>
    </w:p>
    <w:p>
      <w:pPr>
        <w:spacing w:line="360" w:lineRule="auto"/>
        <w:ind w:firstLine="422" w:firstLineChars="200"/>
        <w:rPr>
          <w:rFonts w:ascii="宋体" w:hAnsi="宋体"/>
          <w:b/>
          <w:bCs/>
          <w:u w:val="single"/>
        </w:rPr>
      </w:pPr>
      <w:r>
        <w:rPr>
          <w:rFonts w:hint="eastAsia" w:ascii="宋体" w:hAnsi="宋体"/>
          <w:b/>
          <w:bCs/>
          <w:u w:val="single"/>
        </w:rPr>
        <w:t>2.对于证明材料的特殊要求参照评审表。</w:t>
      </w:r>
    </w:p>
    <w:p>
      <w:pPr>
        <w:pStyle w:val="12"/>
        <w:spacing w:line="360" w:lineRule="auto"/>
        <w:ind w:left="-120" w:leftChars="-57" w:firstLine="602" w:firstLineChars="250"/>
        <w:rPr>
          <w:rFonts w:ascii="仿宋_GB2312" w:hAnsi="仿宋" w:eastAsia="仿宋_GB2312" w:cs="仿宋"/>
          <w:b/>
          <w:bCs/>
          <w:sz w:val="24"/>
          <w:szCs w:val="24"/>
        </w:rPr>
      </w:pPr>
    </w:p>
    <w:p>
      <w:pPr>
        <w:spacing w:line="360" w:lineRule="auto"/>
        <w:ind w:firstLine="482" w:firstLineChars="200"/>
        <w:jc w:val="left"/>
        <w:rPr>
          <w:rFonts w:ascii="宋体" w:hAnsi="宋体"/>
          <w:b/>
          <w:bCs/>
          <w:sz w:val="24"/>
        </w:rPr>
      </w:pPr>
    </w:p>
    <w:p>
      <w:pPr>
        <w:spacing w:line="360" w:lineRule="auto"/>
        <w:ind w:firstLine="480" w:firstLineChars="200"/>
        <w:jc w:val="left"/>
        <w:rPr>
          <w:rFonts w:ascii="宋体" w:hAnsi="宋体"/>
          <w:sz w:val="24"/>
        </w:rPr>
      </w:pPr>
      <w:r>
        <w:rPr>
          <w:rFonts w:hint="eastAsia" w:ascii="宋体" w:hAnsi="宋体"/>
          <w:sz w:val="24"/>
        </w:rPr>
        <w:t>6.1.5其它重要事项说明及承诺</w:t>
      </w:r>
    </w:p>
    <w:p>
      <w:pPr>
        <w:spacing w:line="360" w:lineRule="auto"/>
        <w:ind w:firstLine="422" w:firstLineChars="200"/>
        <w:rPr>
          <w:rFonts w:ascii="宋体" w:hAnsi="宋体"/>
          <w:b/>
          <w:bCs/>
          <w:u w:val="single"/>
        </w:rPr>
      </w:pPr>
      <w:r>
        <w:rPr>
          <w:rFonts w:hint="eastAsia" w:ascii="宋体" w:hAnsi="宋体"/>
          <w:b/>
          <w:bCs/>
          <w:u w:val="single"/>
          <w:lang w:val="en-GB"/>
        </w:rPr>
        <w:t>（如有，请扼要叙述）</w:t>
      </w: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ascii="仿宋_GB2312" w:hAnsi="仿宋" w:eastAsia="仿宋_GB2312" w:cs="仿宋"/>
          <w:b/>
          <w:bCs/>
          <w:sz w:val="24"/>
          <w:szCs w:val="24"/>
        </w:rPr>
      </w:pPr>
    </w:p>
    <w:p>
      <w:pPr>
        <w:pStyle w:val="12"/>
        <w:spacing w:line="360" w:lineRule="auto"/>
        <w:ind w:left="-120" w:leftChars="-57" w:firstLine="602" w:firstLineChars="250"/>
        <w:rPr>
          <w:rFonts w:hAnsi="宋体"/>
          <w:b/>
          <w:bCs/>
          <w:sz w:val="24"/>
          <w:szCs w:val="24"/>
        </w:rPr>
      </w:pPr>
      <w:r>
        <w:rPr>
          <w:rFonts w:hint="eastAsia" w:ascii="仿宋_GB2312" w:hAnsi="仿宋" w:eastAsia="仿宋_GB2312" w:cs="仿宋"/>
          <w:b/>
          <w:bCs/>
          <w:sz w:val="24"/>
          <w:szCs w:val="24"/>
        </w:rPr>
        <w:br w:type="page"/>
      </w:r>
      <w:r>
        <w:rPr>
          <w:rFonts w:hint="eastAsia" w:hAnsi="宋体"/>
          <w:b/>
          <w:bCs/>
          <w:sz w:val="24"/>
          <w:szCs w:val="24"/>
        </w:rPr>
        <w:t>6.2商务条款响应表</w:t>
      </w:r>
    </w:p>
    <w:p>
      <w:pPr>
        <w:spacing w:line="360" w:lineRule="auto"/>
        <w:jc w:val="center"/>
        <w:rPr>
          <w:rFonts w:ascii="黑体" w:hAnsi="仿宋" w:eastAsia="黑体" w:cs="仿宋"/>
          <w:bCs/>
          <w:sz w:val="32"/>
          <w:szCs w:val="32"/>
        </w:rPr>
      </w:pPr>
      <w:r>
        <w:rPr>
          <w:rFonts w:hint="eastAsia" w:ascii="黑体" w:hAnsi="仿宋" w:eastAsia="黑体" w:cs="仿宋"/>
          <w:bCs/>
          <w:sz w:val="32"/>
          <w:szCs w:val="32"/>
        </w:rPr>
        <w:t>商务条款响应表</w:t>
      </w:r>
    </w:p>
    <w:tbl>
      <w:tblPr>
        <w:tblStyle w:val="22"/>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945"/>
        <w:gridCol w:w="1428"/>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7" w:type="dxa"/>
            <w:vAlign w:val="center"/>
          </w:tcPr>
          <w:p>
            <w:pPr>
              <w:spacing w:line="360" w:lineRule="auto"/>
              <w:jc w:val="center"/>
              <w:rPr>
                <w:rFonts w:ascii="黑体" w:hAnsi="黑体" w:eastAsia="黑体" w:cs="黑体"/>
                <w:sz w:val="24"/>
              </w:rPr>
            </w:pPr>
            <w:r>
              <w:rPr>
                <w:rFonts w:hint="eastAsia" w:ascii="黑体" w:hAnsi="黑体" w:eastAsia="黑体" w:cs="黑体"/>
                <w:sz w:val="24"/>
              </w:rPr>
              <w:t>序号</w:t>
            </w:r>
          </w:p>
        </w:tc>
        <w:tc>
          <w:tcPr>
            <w:tcW w:w="5945" w:type="dxa"/>
            <w:vAlign w:val="center"/>
          </w:tcPr>
          <w:p>
            <w:pPr>
              <w:spacing w:line="360" w:lineRule="auto"/>
              <w:jc w:val="center"/>
              <w:rPr>
                <w:rFonts w:ascii="黑体" w:hAnsi="黑体" w:eastAsia="黑体" w:cs="黑体"/>
                <w:sz w:val="24"/>
              </w:rPr>
            </w:pPr>
            <w:r>
              <w:rPr>
                <w:rFonts w:hint="eastAsia" w:ascii="黑体" w:hAnsi="黑体" w:eastAsia="黑体" w:cs="黑体"/>
                <w:sz w:val="24"/>
              </w:rPr>
              <w:t>一般商务条款要求</w:t>
            </w:r>
          </w:p>
        </w:tc>
        <w:tc>
          <w:tcPr>
            <w:tcW w:w="1428" w:type="dxa"/>
            <w:vAlign w:val="center"/>
          </w:tcPr>
          <w:p>
            <w:pPr>
              <w:spacing w:line="360" w:lineRule="auto"/>
              <w:jc w:val="center"/>
              <w:rPr>
                <w:rFonts w:ascii="黑体" w:hAnsi="黑体" w:eastAsia="黑体" w:cs="黑体"/>
                <w:sz w:val="24"/>
              </w:rPr>
            </w:pPr>
            <w:r>
              <w:rPr>
                <w:rFonts w:hint="eastAsia" w:ascii="黑体" w:hAnsi="黑体" w:eastAsia="黑体" w:cs="黑体"/>
                <w:sz w:val="24"/>
              </w:rPr>
              <w:t>是否响应</w:t>
            </w:r>
          </w:p>
        </w:tc>
        <w:tc>
          <w:tcPr>
            <w:tcW w:w="1255" w:type="dxa"/>
            <w:vAlign w:val="center"/>
          </w:tcPr>
          <w:p>
            <w:pPr>
              <w:spacing w:line="360" w:lineRule="auto"/>
              <w:jc w:val="center"/>
              <w:rPr>
                <w:rFonts w:ascii="黑体" w:hAnsi="黑体" w:eastAsia="黑体" w:cs="黑体"/>
                <w:sz w:val="24"/>
              </w:rPr>
            </w:pPr>
            <w:r>
              <w:rPr>
                <w:rFonts w:hint="eastAsia" w:ascii="黑体" w:hAnsi="黑体" w:eastAsia="黑体" w:cs="黑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1</w:t>
            </w:r>
          </w:p>
        </w:tc>
        <w:tc>
          <w:tcPr>
            <w:tcW w:w="5945" w:type="dxa"/>
          </w:tcPr>
          <w:p>
            <w:pPr>
              <w:spacing w:line="360" w:lineRule="auto"/>
              <w:jc w:val="left"/>
              <w:rPr>
                <w:rFonts w:ascii="宋体" w:hAnsi="宋体"/>
              </w:rPr>
            </w:pPr>
            <w:r>
              <w:rPr>
                <w:rFonts w:hint="eastAsia" w:ascii="宋体" w:hAnsi="宋体"/>
              </w:rPr>
              <w:t>完全理解并接受合同条款的要求</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2</w:t>
            </w:r>
          </w:p>
        </w:tc>
        <w:tc>
          <w:tcPr>
            <w:tcW w:w="5945" w:type="dxa"/>
          </w:tcPr>
          <w:p>
            <w:pPr>
              <w:spacing w:line="360" w:lineRule="auto"/>
              <w:jc w:val="left"/>
              <w:rPr>
                <w:rFonts w:ascii="宋体" w:hAnsi="宋体"/>
              </w:rPr>
            </w:pPr>
            <w:r>
              <w:rPr>
                <w:rFonts w:hint="eastAsia" w:ascii="宋体" w:hAnsi="宋体"/>
              </w:rPr>
              <w:t>完全理解并接受对合格供应商、合格服务的要求</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3</w:t>
            </w:r>
          </w:p>
        </w:tc>
        <w:tc>
          <w:tcPr>
            <w:tcW w:w="5945" w:type="dxa"/>
          </w:tcPr>
          <w:p>
            <w:pPr>
              <w:spacing w:line="360" w:lineRule="auto"/>
              <w:jc w:val="left"/>
              <w:rPr>
                <w:rFonts w:ascii="宋体" w:hAnsi="宋体"/>
              </w:rPr>
            </w:pPr>
            <w:r>
              <w:rPr>
                <w:rFonts w:hint="eastAsia" w:ascii="宋体" w:hAnsi="宋体"/>
              </w:rPr>
              <w:t>完全理解并接受对供应商须知、规约要求和责任义务</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4</w:t>
            </w:r>
          </w:p>
        </w:tc>
        <w:tc>
          <w:tcPr>
            <w:tcW w:w="5945" w:type="dxa"/>
          </w:tcPr>
          <w:p>
            <w:pPr>
              <w:spacing w:line="360" w:lineRule="auto"/>
              <w:jc w:val="left"/>
              <w:rPr>
                <w:rFonts w:ascii="宋体" w:hAnsi="宋体"/>
              </w:rPr>
            </w:pPr>
            <w:r>
              <w:rPr>
                <w:rFonts w:hint="eastAsia" w:ascii="宋体" w:hAnsi="宋体"/>
              </w:rPr>
              <w:t>响应有效期：自响应截止起不少于90日</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5</w:t>
            </w:r>
          </w:p>
        </w:tc>
        <w:tc>
          <w:tcPr>
            <w:tcW w:w="5945" w:type="dxa"/>
          </w:tcPr>
          <w:p>
            <w:pPr>
              <w:spacing w:line="360" w:lineRule="auto"/>
              <w:jc w:val="left"/>
              <w:rPr>
                <w:rFonts w:ascii="宋体" w:hAnsi="宋体"/>
              </w:rPr>
            </w:pPr>
            <w:r>
              <w:rPr>
                <w:rFonts w:hint="eastAsia" w:ascii="宋体" w:hAnsi="宋体"/>
              </w:rPr>
              <w:t>报价内容涵盖报价要求之一切费用和伴随服务</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6</w:t>
            </w:r>
          </w:p>
        </w:tc>
        <w:tc>
          <w:tcPr>
            <w:tcW w:w="5945" w:type="dxa"/>
          </w:tcPr>
          <w:p>
            <w:pPr>
              <w:spacing w:line="360" w:lineRule="auto"/>
              <w:jc w:val="left"/>
              <w:rPr>
                <w:rFonts w:ascii="宋体" w:hAnsi="宋体"/>
              </w:rPr>
            </w:pPr>
            <w:r>
              <w:rPr>
                <w:rFonts w:hint="eastAsia" w:ascii="宋体" w:hAnsi="宋体"/>
              </w:rPr>
              <w:t>同意接受磋商文件要求的付款方式</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7</w:t>
            </w:r>
          </w:p>
        </w:tc>
        <w:tc>
          <w:tcPr>
            <w:tcW w:w="5945" w:type="dxa"/>
          </w:tcPr>
          <w:p>
            <w:pPr>
              <w:spacing w:line="360" w:lineRule="auto"/>
              <w:jc w:val="left"/>
              <w:rPr>
                <w:rFonts w:ascii="宋体" w:hAnsi="宋体"/>
              </w:rPr>
            </w:pPr>
            <w:r>
              <w:rPr>
                <w:rFonts w:hint="eastAsia" w:ascii="宋体" w:hAnsi="宋体"/>
              </w:rPr>
              <w:t>同意接受磋商文件要求的服务期</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8</w:t>
            </w:r>
          </w:p>
        </w:tc>
        <w:tc>
          <w:tcPr>
            <w:tcW w:w="5945" w:type="dxa"/>
          </w:tcPr>
          <w:p>
            <w:pPr>
              <w:spacing w:line="360" w:lineRule="auto"/>
              <w:jc w:val="left"/>
              <w:rPr>
                <w:rFonts w:ascii="宋体" w:hAnsi="宋体"/>
              </w:rPr>
            </w:pPr>
            <w:r>
              <w:rPr>
                <w:rFonts w:hint="eastAsia" w:ascii="宋体" w:hAnsi="宋体"/>
              </w:rPr>
              <w:t>同意接受磋商文件要求的售后服务的各项要求</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9</w:t>
            </w:r>
          </w:p>
        </w:tc>
        <w:tc>
          <w:tcPr>
            <w:tcW w:w="5945" w:type="dxa"/>
          </w:tcPr>
          <w:p>
            <w:pPr>
              <w:spacing w:line="360" w:lineRule="auto"/>
              <w:jc w:val="left"/>
              <w:rPr>
                <w:rFonts w:ascii="宋体" w:hAnsi="宋体"/>
              </w:rPr>
            </w:pPr>
            <w:r>
              <w:rPr>
                <w:rFonts w:hint="eastAsia" w:ascii="宋体" w:hAnsi="宋体"/>
              </w:rPr>
              <w:t>同意接受合同范本所列的各项条款</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10</w:t>
            </w:r>
          </w:p>
        </w:tc>
        <w:tc>
          <w:tcPr>
            <w:tcW w:w="5945" w:type="dxa"/>
          </w:tcPr>
          <w:p>
            <w:pPr>
              <w:spacing w:line="360" w:lineRule="auto"/>
              <w:jc w:val="left"/>
              <w:rPr>
                <w:rFonts w:ascii="宋体" w:hAnsi="宋体"/>
              </w:rPr>
            </w:pPr>
            <w:r>
              <w:rPr>
                <w:rFonts w:hint="eastAsia" w:ascii="宋体" w:hAnsi="宋体"/>
              </w:rPr>
              <w:t>同意按照本项目要求缴付各项款项</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11</w:t>
            </w:r>
          </w:p>
        </w:tc>
        <w:tc>
          <w:tcPr>
            <w:tcW w:w="5945" w:type="dxa"/>
          </w:tcPr>
          <w:p>
            <w:pPr>
              <w:spacing w:line="360" w:lineRule="auto"/>
              <w:jc w:val="left"/>
              <w:rPr>
                <w:rFonts w:ascii="宋体" w:hAnsi="宋体"/>
              </w:rPr>
            </w:pPr>
            <w:r>
              <w:rPr>
                <w:rFonts w:hint="eastAsia" w:ascii="宋体" w:hAnsi="宋体"/>
              </w:rPr>
              <w:t>同意采购方以各种方式对我方提供的响应文件内容的真实性、有效性进行审查、验证</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pPr>
              <w:spacing w:line="360" w:lineRule="auto"/>
              <w:jc w:val="center"/>
              <w:rPr>
                <w:rFonts w:ascii="黑体" w:hAnsi="黑体" w:eastAsia="黑体" w:cs="黑体"/>
                <w:sz w:val="24"/>
              </w:rPr>
            </w:pPr>
            <w:r>
              <w:rPr>
                <w:rFonts w:hint="eastAsia" w:ascii="黑体" w:hAnsi="黑体" w:eastAsia="黑体" w:cs="黑体"/>
                <w:sz w:val="24"/>
              </w:rPr>
              <w:t>12</w:t>
            </w:r>
          </w:p>
        </w:tc>
        <w:tc>
          <w:tcPr>
            <w:tcW w:w="5945" w:type="dxa"/>
          </w:tcPr>
          <w:p>
            <w:pPr>
              <w:spacing w:line="360" w:lineRule="auto"/>
              <w:jc w:val="left"/>
              <w:rPr>
                <w:rFonts w:ascii="宋体" w:hAnsi="宋体"/>
              </w:rPr>
            </w:pPr>
            <w:r>
              <w:rPr>
                <w:rFonts w:hint="eastAsia" w:ascii="宋体" w:hAnsi="宋体"/>
              </w:rPr>
              <w:t>其他商务条款偏离说明：</w:t>
            </w:r>
          </w:p>
        </w:tc>
        <w:tc>
          <w:tcPr>
            <w:tcW w:w="1428" w:type="dxa"/>
          </w:tcPr>
          <w:p>
            <w:pPr>
              <w:spacing w:line="360" w:lineRule="auto"/>
              <w:jc w:val="center"/>
              <w:rPr>
                <w:rFonts w:ascii="宋体" w:hAnsi="宋体"/>
              </w:rPr>
            </w:pPr>
          </w:p>
        </w:tc>
        <w:tc>
          <w:tcPr>
            <w:tcW w:w="1255" w:type="dxa"/>
          </w:tcPr>
          <w:p>
            <w:pPr>
              <w:spacing w:line="360" w:lineRule="auto"/>
              <w:jc w:val="center"/>
              <w:rPr>
                <w:rFonts w:ascii="宋体" w:hAnsi="宋体"/>
              </w:rPr>
            </w:pPr>
          </w:p>
        </w:tc>
      </w:tr>
    </w:tbl>
    <w:p>
      <w:pPr>
        <w:spacing w:line="360" w:lineRule="auto"/>
        <w:ind w:firstLine="422" w:firstLineChars="200"/>
        <w:jc w:val="left"/>
        <w:rPr>
          <w:rFonts w:ascii="宋体" w:hAnsi="宋体"/>
          <w:b/>
          <w:bCs/>
          <w:u w:val="single"/>
        </w:rPr>
      </w:pPr>
      <w:r>
        <w:rPr>
          <w:rFonts w:hint="eastAsia" w:ascii="宋体" w:hAnsi="宋体"/>
          <w:b/>
          <w:bCs/>
          <w:u w:val="single"/>
        </w:rPr>
        <w:t>注：对于上述要求，如响应供应商完全响应，则在“是否响应”栏打“√”，空白或打“Х”视偏离，请在“偏离说明”栏</w:t>
      </w:r>
      <w:r>
        <w:rPr>
          <w:rFonts w:hint="eastAsia" w:ascii="宋体" w:hAnsi="宋体"/>
          <w:b/>
          <w:bCs/>
          <w:u w:val="single"/>
          <w:lang w:val="en-GB"/>
        </w:rPr>
        <w:t>扼要叙述。</w:t>
      </w: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p>
    <w:p>
      <w:pPr>
        <w:spacing w:line="360" w:lineRule="auto"/>
        <w:ind w:firstLine="482" w:firstLineChars="200"/>
        <w:jc w:val="left"/>
        <w:rPr>
          <w:rFonts w:ascii="宋体" w:hAnsi="宋体"/>
          <w:b/>
          <w:bCs/>
          <w:sz w:val="24"/>
        </w:rPr>
      </w:pPr>
      <w:r>
        <w:rPr>
          <w:rFonts w:hint="eastAsia" w:ascii="宋体" w:hAnsi="宋体"/>
          <w:b/>
          <w:bCs/>
          <w:sz w:val="24"/>
        </w:rPr>
        <w:t>6.3服务承诺</w:t>
      </w:r>
    </w:p>
    <w:p>
      <w:pPr>
        <w:spacing w:line="360" w:lineRule="auto"/>
        <w:ind w:firstLine="482" w:firstLineChars="200"/>
        <w:jc w:val="left"/>
        <w:rPr>
          <w:rFonts w:ascii="宋体" w:cs="Times New Roman"/>
          <w:b/>
          <w:bCs/>
          <w:sz w:val="24"/>
        </w:rPr>
      </w:pPr>
    </w:p>
    <w:p>
      <w:pPr>
        <w:spacing w:line="360" w:lineRule="auto"/>
        <w:ind w:firstLine="482" w:firstLineChars="200"/>
        <w:jc w:val="left"/>
        <w:rPr>
          <w:rFonts w:ascii="宋体" w:cs="Times New Roman"/>
          <w:b/>
          <w:bCs/>
          <w:sz w:val="24"/>
        </w:rPr>
      </w:pPr>
      <w:r>
        <w:rPr>
          <w:rFonts w:hint="eastAsia" w:ascii="宋体" w:cs="Times New Roman"/>
          <w:b/>
          <w:bCs/>
          <w:sz w:val="24"/>
        </w:rPr>
        <w:t>6.4其他</w:t>
      </w:r>
    </w:p>
    <w:p>
      <w:pPr>
        <w:spacing w:line="360" w:lineRule="auto"/>
        <w:ind w:firstLine="482" w:firstLineChars="200"/>
        <w:rPr>
          <w:rFonts w:ascii="宋体" w:hAnsi="宋体"/>
          <w:b/>
          <w:bCs/>
          <w:sz w:val="24"/>
        </w:rPr>
      </w:pPr>
    </w:p>
    <w:p>
      <w:pPr>
        <w:spacing w:line="360" w:lineRule="auto"/>
        <w:rPr>
          <w:rFonts w:ascii="宋体" w:hAnsi="宋体"/>
          <w:b/>
          <w:bCs/>
          <w:sz w:val="24"/>
        </w:rPr>
      </w:pPr>
    </w:p>
    <w:p>
      <w:pPr>
        <w:rPr>
          <w:rFonts w:ascii="黑体" w:hAnsi="黑体" w:eastAsia="黑体" w:cs="黑体"/>
          <w:b/>
          <w:bCs/>
          <w:sz w:val="32"/>
          <w:szCs w:val="32"/>
        </w:rPr>
      </w:pPr>
      <w:bookmarkStart w:id="290" w:name="_Toc278794818"/>
      <w:bookmarkStart w:id="291" w:name="_Toc27025"/>
      <w:bookmarkStart w:id="292" w:name="_Toc13723"/>
      <w:r>
        <w:rPr>
          <w:rFonts w:hint="eastAsia" w:ascii="黑体" w:hAnsi="黑体" w:eastAsia="黑体" w:cs="黑体"/>
          <w:b/>
          <w:bCs/>
          <w:sz w:val="32"/>
          <w:szCs w:val="32"/>
        </w:rPr>
        <w:br w:type="page"/>
      </w:r>
    </w:p>
    <w:p>
      <w:pPr>
        <w:pStyle w:val="4"/>
        <w:keepNext w:val="0"/>
        <w:keepLines w:val="0"/>
        <w:jc w:val="center"/>
        <w:rPr>
          <w:rFonts w:ascii="黑体" w:hAnsi="黑体" w:cs="黑体"/>
          <w:bCs/>
          <w:szCs w:val="32"/>
        </w:rPr>
      </w:pPr>
      <w:bookmarkStart w:id="293" w:name="_Toc24536"/>
      <w:bookmarkStart w:id="294" w:name="_Toc31841"/>
      <w:r>
        <w:rPr>
          <w:rFonts w:hint="eastAsia" w:ascii="黑体" w:hAnsi="黑体" w:cs="黑体"/>
          <w:bCs/>
          <w:szCs w:val="32"/>
        </w:rPr>
        <w:t>七、</w:t>
      </w:r>
      <w:bookmarkEnd w:id="290"/>
      <w:r>
        <w:rPr>
          <w:rFonts w:hint="eastAsia" w:ascii="黑体" w:hAnsi="黑体" w:cs="黑体"/>
          <w:bCs/>
          <w:szCs w:val="32"/>
        </w:rPr>
        <w:t>供应商认为必要说明的其它内容</w:t>
      </w:r>
      <w:bookmarkEnd w:id="291"/>
      <w:bookmarkEnd w:id="292"/>
      <w:bookmarkEnd w:id="293"/>
      <w:bookmarkEnd w:id="294"/>
    </w:p>
    <w:p>
      <w:pPr>
        <w:pStyle w:val="29"/>
        <w:spacing w:before="0" w:after="0" w:line="360" w:lineRule="auto"/>
        <w:rPr>
          <w:rFonts w:ascii="宋体" w:hAnsi="宋体"/>
          <w:sz w:val="21"/>
          <w:szCs w:val="21"/>
        </w:rPr>
      </w:pPr>
    </w:p>
    <w:p>
      <w:pPr>
        <w:spacing w:line="360" w:lineRule="atLeast"/>
        <w:jc w:val="center"/>
        <w:rPr>
          <w:rFonts w:ascii="仿宋_GB2312" w:hAnsi="仿宋" w:eastAsia="仿宋_GB2312" w:cs="仿宋"/>
          <w:sz w:val="24"/>
        </w:rPr>
      </w:pPr>
      <w:r>
        <w:rPr>
          <w:rFonts w:hint="eastAsia" w:ascii="宋体" w:hAnsi="宋体"/>
          <w:szCs w:val="21"/>
        </w:rPr>
        <w:br w:type="page"/>
      </w:r>
    </w:p>
    <w:p>
      <w:pPr>
        <w:pStyle w:val="4"/>
        <w:keepNext w:val="0"/>
        <w:keepLines w:val="0"/>
        <w:jc w:val="center"/>
        <w:rPr>
          <w:rFonts w:ascii="黑体" w:hAnsi="黑体" w:cs="黑体"/>
          <w:bCs/>
          <w:szCs w:val="32"/>
        </w:rPr>
      </w:pPr>
      <w:bookmarkStart w:id="295" w:name="_Toc13265"/>
      <w:bookmarkStart w:id="296" w:name="_Toc24041"/>
      <w:bookmarkStart w:id="297" w:name="_Toc15979"/>
      <w:bookmarkStart w:id="298" w:name="_Toc6268"/>
      <w:r>
        <w:rPr>
          <w:rFonts w:hint="eastAsia" w:ascii="黑体" w:hAnsi="黑体" w:cs="黑体"/>
          <w:bCs/>
          <w:szCs w:val="32"/>
        </w:rPr>
        <w:t>八、承诺书</w:t>
      </w:r>
      <w:bookmarkEnd w:id="295"/>
      <w:bookmarkEnd w:id="296"/>
      <w:bookmarkEnd w:id="297"/>
      <w:bookmarkEnd w:id="298"/>
    </w:p>
    <w:p>
      <w:pPr>
        <w:pStyle w:val="12"/>
        <w:spacing w:line="360" w:lineRule="auto"/>
        <w:ind w:left="-120" w:leftChars="-57" w:firstLine="602" w:firstLineChars="250"/>
        <w:rPr>
          <w:rFonts w:hAnsi="宋体"/>
          <w:b/>
          <w:bCs/>
          <w:sz w:val="24"/>
          <w:szCs w:val="24"/>
        </w:rPr>
      </w:pPr>
      <w:r>
        <w:rPr>
          <w:rFonts w:hint="eastAsia" w:hAnsi="宋体"/>
          <w:b/>
          <w:bCs/>
          <w:sz w:val="24"/>
          <w:szCs w:val="24"/>
        </w:rPr>
        <w:t>8.1供应商拒绝政府采购领域商业贿赂承诺书（格式）</w:t>
      </w:r>
    </w:p>
    <w:p>
      <w:pPr>
        <w:pStyle w:val="12"/>
        <w:spacing w:line="360" w:lineRule="auto"/>
        <w:ind w:left="-120" w:leftChars="-57" w:firstLine="602" w:firstLineChars="250"/>
        <w:rPr>
          <w:rFonts w:ascii="仿宋_GB2312" w:hAnsi="仿宋" w:eastAsia="仿宋_GB2312" w:cs="仿宋"/>
          <w:b/>
          <w:bCs/>
          <w:sz w:val="24"/>
          <w:szCs w:val="24"/>
        </w:rPr>
      </w:pPr>
    </w:p>
    <w:p>
      <w:pPr>
        <w:spacing w:line="360" w:lineRule="auto"/>
        <w:jc w:val="center"/>
        <w:rPr>
          <w:rFonts w:ascii="黑体" w:hAnsi="仿宋" w:eastAsia="黑体" w:cs="仿宋"/>
          <w:bCs/>
          <w:sz w:val="32"/>
          <w:szCs w:val="32"/>
          <w:lang w:val="en-GB"/>
        </w:rPr>
      </w:pPr>
      <w:bookmarkStart w:id="299" w:name="_Toc20127"/>
      <w:bookmarkStart w:id="300" w:name="_Toc23819"/>
      <w:bookmarkStart w:id="301" w:name="_Toc15323"/>
      <w:r>
        <w:rPr>
          <w:rFonts w:hint="eastAsia" w:ascii="黑体" w:hAnsi="仿宋" w:eastAsia="黑体" w:cs="仿宋"/>
          <w:bCs/>
          <w:sz w:val="32"/>
          <w:szCs w:val="32"/>
          <w:lang w:val="en-GB"/>
        </w:rPr>
        <w:t>陕西省政府采购供应商</w:t>
      </w:r>
      <w:bookmarkEnd w:id="299"/>
      <w:bookmarkEnd w:id="300"/>
      <w:bookmarkEnd w:id="301"/>
    </w:p>
    <w:p>
      <w:pPr>
        <w:spacing w:line="360" w:lineRule="auto"/>
        <w:jc w:val="center"/>
        <w:rPr>
          <w:rFonts w:ascii="黑体" w:hAnsi="仿宋" w:eastAsia="黑体" w:cs="仿宋"/>
          <w:bCs/>
          <w:sz w:val="32"/>
          <w:szCs w:val="32"/>
          <w:lang w:val="en-GB"/>
        </w:rPr>
      </w:pPr>
      <w:bookmarkStart w:id="302" w:name="_Toc17495"/>
      <w:bookmarkStart w:id="303" w:name="_Toc26965"/>
      <w:bookmarkStart w:id="304" w:name="_Toc6239"/>
      <w:r>
        <w:rPr>
          <w:rFonts w:hint="eastAsia" w:ascii="黑体" w:hAnsi="仿宋" w:eastAsia="黑体" w:cs="仿宋"/>
          <w:bCs/>
          <w:sz w:val="32"/>
          <w:szCs w:val="32"/>
          <w:lang w:val="en-GB"/>
        </w:rPr>
        <w:t>拒绝政府采购领域商业贿赂承诺书</w:t>
      </w:r>
      <w:bookmarkEnd w:id="302"/>
      <w:bookmarkEnd w:id="303"/>
      <w:bookmarkEnd w:id="304"/>
    </w:p>
    <w:p>
      <w:pPr>
        <w:spacing w:line="360" w:lineRule="auto"/>
        <w:ind w:firstLine="480" w:firstLineChars="200"/>
        <w:rPr>
          <w:rFonts w:ascii="宋体" w:hAnsi="宋体"/>
          <w:sz w:val="24"/>
          <w:lang w:val="en-GB"/>
        </w:rPr>
      </w:pPr>
      <w:r>
        <w:rPr>
          <w:rFonts w:hint="eastAsia" w:ascii="宋体" w:hAnsi="宋体"/>
          <w:sz w:val="24"/>
          <w:lang w:val="en-GB"/>
        </w:rPr>
        <w:t>为响应党中央、国务院关于治理政府采购领域商业贿赂行为的号召，我公司在此庄严承诺：</w:t>
      </w:r>
    </w:p>
    <w:p>
      <w:pPr>
        <w:spacing w:line="360" w:lineRule="auto"/>
        <w:ind w:firstLine="480" w:firstLineChars="200"/>
        <w:rPr>
          <w:rFonts w:ascii="宋体" w:hAnsi="宋体"/>
          <w:sz w:val="24"/>
          <w:lang w:val="en-GB"/>
        </w:rPr>
      </w:pPr>
      <w:r>
        <w:rPr>
          <w:rFonts w:hint="eastAsia" w:ascii="宋体" w:hAnsi="宋体"/>
          <w:sz w:val="24"/>
          <w:lang w:val="en-GB"/>
        </w:rPr>
        <w:t>1、在参与政府采购活动中遵纪守法、诚信经营、公平竞标。</w:t>
      </w:r>
    </w:p>
    <w:p>
      <w:pPr>
        <w:spacing w:line="360" w:lineRule="auto"/>
        <w:ind w:firstLine="480" w:firstLineChars="200"/>
        <w:rPr>
          <w:rFonts w:ascii="宋体" w:hAnsi="宋体"/>
          <w:sz w:val="24"/>
          <w:lang w:val="en-GB"/>
        </w:rPr>
      </w:pPr>
      <w:r>
        <w:rPr>
          <w:rFonts w:hint="eastAsia" w:ascii="宋体" w:hAnsi="宋体"/>
          <w:sz w:val="24"/>
          <w:lang w:val="en-GB"/>
        </w:rPr>
        <w:t>2、不向政府采购单位、采购代理机构和政府采购评审专家进行任何形式的商业贿赂以谋取交易机会。</w:t>
      </w:r>
    </w:p>
    <w:p>
      <w:pPr>
        <w:spacing w:line="360" w:lineRule="auto"/>
        <w:ind w:firstLine="480" w:firstLineChars="200"/>
        <w:rPr>
          <w:rFonts w:ascii="宋体" w:hAnsi="宋体"/>
          <w:sz w:val="24"/>
          <w:lang w:val="en-GB"/>
        </w:rPr>
      </w:pPr>
      <w:r>
        <w:rPr>
          <w:rFonts w:hint="eastAsia" w:ascii="宋体" w:hAnsi="宋体"/>
          <w:sz w:val="24"/>
          <w:lang w:val="en-GB"/>
        </w:rPr>
        <w:t>3、不向政府采购代理机构和采购单位提供虚假资质文件或采用虚假应标方式参与政府采购市场竞争并谋取成交。</w:t>
      </w:r>
    </w:p>
    <w:p>
      <w:pPr>
        <w:spacing w:line="360" w:lineRule="auto"/>
        <w:ind w:firstLine="480" w:firstLineChars="200"/>
        <w:rPr>
          <w:rFonts w:ascii="宋体" w:hAnsi="宋体"/>
          <w:sz w:val="24"/>
          <w:lang w:val="en-GB"/>
        </w:rPr>
      </w:pPr>
      <w:r>
        <w:rPr>
          <w:rFonts w:hint="eastAsia" w:ascii="宋体" w:hAnsi="宋体"/>
          <w:sz w:val="24"/>
          <w:lang w:val="en-GB"/>
        </w:rPr>
        <w:t>4、不采取“围标、陪标”等商业欺诈手段获得政府采购订单。</w:t>
      </w:r>
    </w:p>
    <w:p>
      <w:pPr>
        <w:spacing w:line="360" w:lineRule="auto"/>
        <w:ind w:firstLine="480" w:firstLineChars="200"/>
        <w:rPr>
          <w:rFonts w:ascii="宋体" w:hAnsi="宋体"/>
          <w:sz w:val="24"/>
          <w:lang w:val="en-GB"/>
        </w:rPr>
      </w:pPr>
      <w:r>
        <w:rPr>
          <w:rFonts w:hint="eastAsia" w:ascii="宋体" w:hAnsi="宋体"/>
          <w:sz w:val="24"/>
          <w:lang w:val="en-GB"/>
        </w:rPr>
        <w:t>5、不采取不正当手段诋毁、排挤其他响应单位。</w:t>
      </w:r>
    </w:p>
    <w:p>
      <w:pPr>
        <w:spacing w:line="360" w:lineRule="auto"/>
        <w:ind w:firstLine="480" w:firstLineChars="200"/>
        <w:rPr>
          <w:rFonts w:ascii="宋体" w:hAnsi="宋体"/>
          <w:sz w:val="24"/>
          <w:lang w:val="en-GB"/>
        </w:rPr>
      </w:pPr>
      <w:r>
        <w:rPr>
          <w:rFonts w:hint="eastAsia" w:ascii="宋体" w:hAnsi="宋体"/>
          <w:sz w:val="24"/>
          <w:lang w:val="en-GB"/>
        </w:rPr>
        <w:t>6、不在提供商品或（和）服务时“偷梁换柱、以次充好”损害采购单位的合法权益。</w:t>
      </w:r>
    </w:p>
    <w:p>
      <w:pPr>
        <w:spacing w:line="360" w:lineRule="auto"/>
        <w:ind w:firstLine="480" w:firstLineChars="200"/>
        <w:rPr>
          <w:rFonts w:ascii="宋体" w:hAnsi="宋体"/>
          <w:sz w:val="24"/>
          <w:lang w:val="en-GB"/>
        </w:rPr>
      </w:pPr>
      <w:r>
        <w:rPr>
          <w:rFonts w:hint="eastAsia" w:ascii="宋体" w:hAnsi="宋体"/>
          <w:sz w:val="24"/>
          <w:lang w:val="en-GB"/>
        </w:rPr>
        <w:t>7、不与采购单位、采购代理机构政府采购评审专家或其它响应单位恶意串通，进行质疑和投诉，维护政府采购市场秩序。</w:t>
      </w:r>
    </w:p>
    <w:p>
      <w:pPr>
        <w:spacing w:line="360" w:lineRule="auto"/>
        <w:ind w:firstLine="480" w:firstLineChars="200"/>
        <w:rPr>
          <w:rFonts w:ascii="宋体" w:hAnsi="宋体"/>
          <w:sz w:val="24"/>
          <w:lang w:val="en-GB"/>
        </w:rPr>
      </w:pPr>
      <w:r>
        <w:rPr>
          <w:rFonts w:hint="eastAsia" w:ascii="宋体" w:hAnsi="宋体"/>
          <w:sz w:val="24"/>
          <w:lang w:val="en-GB"/>
        </w:rPr>
        <w:t>8、尊重和接受政府采购监督管理部门的监督和政府采购代理机构招标采购要求，承担因违约行为给采购单位造成的损失。</w:t>
      </w:r>
    </w:p>
    <w:p>
      <w:pPr>
        <w:spacing w:line="360" w:lineRule="auto"/>
        <w:ind w:firstLine="480" w:firstLineChars="200"/>
        <w:rPr>
          <w:rFonts w:ascii="宋体" w:hAnsi="宋体"/>
          <w:sz w:val="24"/>
          <w:lang w:val="en-GB"/>
        </w:rPr>
      </w:pPr>
      <w:r>
        <w:rPr>
          <w:rFonts w:hint="eastAsia" w:ascii="宋体" w:hAnsi="宋体"/>
          <w:sz w:val="24"/>
          <w:lang w:val="en-GB"/>
        </w:rPr>
        <w:t>9、不发生其他有悖于政府采购公开、公平、公正和诚信原则的行为。</w:t>
      </w:r>
    </w:p>
    <w:p>
      <w:pPr>
        <w:spacing w:line="360" w:lineRule="auto"/>
        <w:ind w:firstLine="480" w:firstLineChars="200"/>
        <w:rPr>
          <w:rFonts w:ascii="宋体" w:hAnsi="宋体"/>
          <w:sz w:val="24"/>
          <w:lang w:val="en-GB"/>
        </w:rPr>
      </w:pPr>
    </w:p>
    <w:p>
      <w:pPr>
        <w:spacing w:line="360" w:lineRule="auto"/>
        <w:ind w:firstLine="480" w:firstLineChars="200"/>
        <w:rPr>
          <w:rFonts w:ascii="宋体" w:hAnsi="宋体"/>
          <w:sz w:val="24"/>
          <w:szCs w:val="28"/>
        </w:rPr>
      </w:pPr>
      <w:r>
        <w:rPr>
          <w:rFonts w:hint="eastAsia" w:ascii="宋体" w:hAnsi="宋体"/>
          <w:sz w:val="24"/>
          <w:szCs w:val="28"/>
        </w:rPr>
        <w:t>承诺单位：（盖章）</w:t>
      </w:r>
    </w:p>
    <w:p>
      <w:pPr>
        <w:spacing w:line="360" w:lineRule="auto"/>
        <w:ind w:firstLine="360" w:firstLineChars="15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全权代表：（签字）</w:t>
      </w:r>
    </w:p>
    <w:p>
      <w:pPr>
        <w:spacing w:line="360" w:lineRule="auto"/>
        <w:ind w:firstLine="360" w:firstLineChars="150"/>
        <w:rPr>
          <w:rFonts w:ascii="宋体" w:hAnsi="宋体"/>
          <w:sz w:val="24"/>
          <w:szCs w:val="28"/>
        </w:rPr>
      </w:pPr>
    </w:p>
    <w:p>
      <w:pPr>
        <w:spacing w:line="360" w:lineRule="auto"/>
        <w:jc w:val="left"/>
        <w:rPr>
          <w:rFonts w:ascii="宋体" w:hAnsi="宋体"/>
          <w:sz w:val="24"/>
          <w:szCs w:val="28"/>
        </w:rPr>
      </w:pPr>
      <w:r>
        <w:rPr>
          <w:rFonts w:hint="eastAsia" w:ascii="宋体" w:hAnsi="宋体"/>
          <w:sz w:val="24"/>
          <w:szCs w:val="28"/>
        </w:rPr>
        <w:t xml:space="preserve">       年   月  日</w:t>
      </w:r>
    </w:p>
    <w:p>
      <w:pPr>
        <w:spacing w:line="360" w:lineRule="auto"/>
        <w:jc w:val="left"/>
        <w:rPr>
          <w:rFonts w:ascii="宋体" w:hAnsi="宋体"/>
          <w:b/>
          <w:bCs/>
          <w:sz w:val="24"/>
        </w:rPr>
      </w:pPr>
    </w:p>
    <w:p>
      <w:pPr>
        <w:spacing w:line="360" w:lineRule="auto"/>
        <w:jc w:val="left"/>
        <w:rPr>
          <w:rFonts w:ascii="宋体" w:hAnsi="宋体"/>
          <w:b/>
          <w:bCs/>
          <w:sz w:val="24"/>
        </w:rPr>
      </w:pPr>
    </w:p>
    <w:p>
      <w:pPr>
        <w:spacing w:line="360" w:lineRule="auto"/>
        <w:jc w:val="left"/>
        <w:rPr>
          <w:rFonts w:ascii="仿宋_GB2312" w:hAnsi="仿宋" w:eastAsia="仿宋_GB2312" w:cs="仿宋"/>
          <w:b/>
          <w:bCs/>
          <w:sz w:val="24"/>
        </w:rPr>
      </w:pPr>
    </w:p>
    <w:p>
      <w:pPr>
        <w:pStyle w:val="12"/>
        <w:spacing w:line="360" w:lineRule="auto"/>
        <w:ind w:left="-120" w:leftChars="-57" w:firstLine="602" w:firstLineChars="250"/>
        <w:rPr>
          <w:rFonts w:hAnsi="宋体"/>
          <w:b/>
          <w:bCs/>
          <w:sz w:val="24"/>
          <w:szCs w:val="24"/>
        </w:rPr>
      </w:pPr>
      <w:r>
        <w:rPr>
          <w:rFonts w:hint="eastAsia" w:hAnsi="宋体"/>
          <w:b/>
          <w:bCs/>
          <w:sz w:val="24"/>
          <w:szCs w:val="24"/>
        </w:rPr>
        <w:t>8.2其他承诺书</w:t>
      </w:r>
    </w:p>
    <w:p>
      <w:pPr>
        <w:pStyle w:val="12"/>
        <w:spacing w:line="360" w:lineRule="auto"/>
        <w:ind w:left="-120" w:leftChars="-57" w:firstLine="602" w:firstLineChars="250"/>
        <w:rPr>
          <w:rFonts w:hAnsi="宋体"/>
          <w:b/>
          <w:bCs/>
          <w:sz w:val="24"/>
          <w:szCs w:val="24"/>
        </w:rPr>
      </w:pPr>
    </w:p>
    <w:p>
      <w:pPr>
        <w:spacing w:line="360" w:lineRule="auto"/>
        <w:jc w:val="center"/>
        <w:rPr>
          <w:rFonts w:ascii="黑体" w:hAnsi="仿宋" w:eastAsia="黑体" w:cs="仿宋"/>
          <w:bCs/>
          <w:sz w:val="32"/>
          <w:szCs w:val="32"/>
          <w:lang w:val="en-GB"/>
        </w:rPr>
      </w:pPr>
      <w:bookmarkStart w:id="305" w:name="_Toc26079"/>
      <w:bookmarkStart w:id="306" w:name="_Toc15733"/>
      <w:bookmarkStart w:id="307" w:name="_Toc3302"/>
      <w:r>
        <w:rPr>
          <w:rFonts w:hint="eastAsia" w:ascii="黑体" w:hAnsi="仿宋" w:eastAsia="黑体" w:cs="仿宋"/>
          <w:bCs/>
          <w:sz w:val="32"/>
          <w:szCs w:val="32"/>
          <w:lang w:val="en-GB"/>
        </w:rPr>
        <w:t>承诺书Ⅱ</w:t>
      </w:r>
      <w:bookmarkEnd w:id="305"/>
      <w:bookmarkEnd w:id="306"/>
      <w:bookmarkEnd w:id="307"/>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sz w:val="24"/>
              </w:rPr>
            </w:pPr>
            <w:r>
              <w:rPr>
                <w:rFonts w:hint="eastAsia" w:ascii="宋体" w:hAnsi="宋体"/>
                <w:sz w:val="24"/>
              </w:rPr>
              <w:t>致：</w:t>
            </w:r>
            <w:r>
              <w:rPr>
                <w:rFonts w:hint="eastAsia" w:ascii="宋体" w:hAnsi="宋体"/>
                <w:b/>
                <w:bCs/>
                <w:sz w:val="24"/>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sz w:val="24"/>
              </w:rPr>
            </w:pPr>
            <w:r>
              <w:rPr>
                <w:rFonts w:hint="eastAsia" w:ascii="宋体" w:hAnsi="宋体"/>
                <w:sz w:val="24"/>
              </w:rPr>
              <w:t>作为参加贵公司组织的采购项目的供应商，本公司承诺：在参加本项目采购之前不存在被依法禁止经营行为、财产被接管或冻结的情况，如有隐瞒实情，愿承担一切责任及后果。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sz w:val="24"/>
              </w:rPr>
            </w:pPr>
            <w:r>
              <w:rPr>
                <w:rFonts w:hint="eastAsia" w:ascii="宋体" w:hAnsi="宋体"/>
                <w:sz w:val="24"/>
              </w:rPr>
              <w:t>供应商</w:t>
            </w:r>
          </w:p>
        </w:tc>
        <w:tc>
          <w:tcPr>
            <w:tcW w:w="3420" w:type="dxa"/>
            <w:vAlign w:val="center"/>
          </w:tcPr>
          <w:p>
            <w:pPr>
              <w:spacing w:line="360" w:lineRule="atLeast"/>
              <w:jc w:val="center"/>
              <w:rPr>
                <w:rFonts w:ascii="宋体" w:hAnsi="宋体"/>
                <w:sz w:val="24"/>
              </w:rPr>
            </w:pPr>
            <w:r>
              <w:rPr>
                <w:rFonts w:hint="eastAsia" w:ascii="宋体" w:hAnsi="宋体"/>
                <w:sz w:val="24"/>
              </w:rPr>
              <w:t>法定代表人</w:t>
            </w:r>
          </w:p>
        </w:tc>
        <w:tc>
          <w:tcPr>
            <w:tcW w:w="2340" w:type="dxa"/>
            <w:vAlign w:val="center"/>
          </w:tcPr>
          <w:p>
            <w:pPr>
              <w:spacing w:line="360" w:lineRule="atLeast"/>
              <w:jc w:val="center"/>
              <w:rPr>
                <w:rFonts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sz w:val="24"/>
              </w:rPr>
            </w:pPr>
            <w:r>
              <w:rPr>
                <w:rFonts w:hint="eastAsia" w:ascii="宋体" w:hAnsi="宋体"/>
                <w:sz w:val="24"/>
              </w:rPr>
              <w:t>（公章）</w:t>
            </w:r>
          </w:p>
        </w:tc>
        <w:tc>
          <w:tcPr>
            <w:tcW w:w="3420" w:type="dxa"/>
            <w:vAlign w:val="center"/>
          </w:tcPr>
          <w:p>
            <w:pPr>
              <w:spacing w:line="360" w:lineRule="atLeast"/>
              <w:jc w:val="center"/>
              <w:rPr>
                <w:rFonts w:ascii="宋体" w:hAnsi="宋体"/>
                <w:sz w:val="24"/>
              </w:rPr>
            </w:pPr>
            <w:r>
              <w:rPr>
                <w:rFonts w:hint="eastAsia" w:ascii="宋体" w:hAnsi="宋体"/>
                <w:sz w:val="24"/>
              </w:rPr>
              <w:t>（签字或盖章）</w:t>
            </w:r>
          </w:p>
        </w:tc>
        <w:tc>
          <w:tcPr>
            <w:tcW w:w="2340" w:type="dxa"/>
            <w:vAlign w:val="center"/>
          </w:tcPr>
          <w:p>
            <w:pPr>
              <w:spacing w:line="360" w:lineRule="atLeast"/>
              <w:ind w:firstLine="240" w:firstLineChars="100"/>
              <w:jc w:val="center"/>
              <w:rPr>
                <w:rFonts w:ascii="宋体" w:hAnsi="宋体"/>
                <w:sz w:val="24"/>
              </w:rPr>
            </w:pPr>
            <w:r>
              <w:rPr>
                <w:rFonts w:hint="eastAsia" w:ascii="宋体" w:hAnsi="宋体"/>
                <w:sz w:val="24"/>
              </w:rPr>
              <w:t>年  月  日</w:t>
            </w:r>
          </w:p>
        </w:tc>
      </w:tr>
    </w:tbl>
    <w:p>
      <w:pPr>
        <w:spacing w:line="360" w:lineRule="atLeast"/>
        <w:rPr>
          <w:rFonts w:ascii="仿宋_GB2312" w:hAnsi="仿宋" w:eastAsia="仿宋_GB2312" w:cs="仿宋"/>
          <w:b/>
          <w:sz w:val="42"/>
          <w:szCs w:val="42"/>
        </w:rPr>
      </w:pPr>
    </w:p>
    <w:p>
      <w:pPr>
        <w:spacing w:line="360" w:lineRule="auto"/>
        <w:jc w:val="center"/>
        <w:rPr>
          <w:rFonts w:ascii="黑体" w:hAnsi="仿宋" w:eastAsia="黑体" w:cs="仿宋"/>
          <w:bCs/>
          <w:sz w:val="32"/>
          <w:szCs w:val="32"/>
          <w:lang w:val="en-GB"/>
        </w:rPr>
      </w:pPr>
      <w:bookmarkStart w:id="308" w:name="_Toc28520"/>
      <w:bookmarkStart w:id="309" w:name="_Toc1560"/>
      <w:bookmarkStart w:id="310" w:name="_Toc32058"/>
      <w:r>
        <w:rPr>
          <w:rFonts w:hint="eastAsia" w:ascii="黑体" w:hAnsi="仿宋" w:eastAsia="黑体" w:cs="仿宋"/>
          <w:bCs/>
          <w:sz w:val="32"/>
          <w:szCs w:val="32"/>
          <w:lang w:val="en-GB"/>
        </w:rPr>
        <w:t>承诺书Ⅲ</w:t>
      </w:r>
      <w:bookmarkEnd w:id="308"/>
      <w:bookmarkEnd w:id="309"/>
      <w:bookmarkEnd w:id="310"/>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宋体" w:hAnsi="宋体"/>
                <w:sz w:val="24"/>
              </w:rPr>
            </w:pPr>
            <w:r>
              <w:rPr>
                <w:rFonts w:hint="eastAsia" w:ascii="宋体" w:hAnsi="宋体"/>
                <w:sz w:val="24"/>
              </w:rPr>
              <w:t>致：</w:t>
            </w:r>
            <w:r>
              <w:rPr>
                <w:rFonts w:hint="eastAsia" w:ascii="宋体" w:hAnsi="宋体"/>
                <w:b/>
                <w:bCs/>
                <w:sz w:val="24"/>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宋体" w:hAnsi="宋体"/>
                <w:sz w:val="24"/>
              </w:rPr>
            </w:pPr>
            <w:r>
              <w:rPr>
                <w:rFonts w:hint="eastAsia" w:ascii="宋体" w:hAnsi="宋体"/>
                <w:sz w:val="24"/>
              </w:rPr>
              <w:t>作为参加贵公司组织的采购项目的供应商，本公司承诺：参加本次响应提交的所有资质证明文件及业绩证明是真实的、有效的，如有隐瞒实情，愿承担一切责任及后果。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宋体" w:hAnsi="宋体"/>
                <w:sz w:val="24"/>
              </w:rPr>
            </w:pPr>
            <w:r>
              <w:rPr>
                <w:rFonts w:hint="eastAsia" w:ascii="宋体" w:hAnsi="宋体"/>
                <w:sz w:val="24"/>
              </w:rPr>
              <w:t>供应商</w:t>
            </w:r>
          </w:p>
        </w:tc>
        <w:tc>
          <w:tcPr>
            <w:tcW w:w="3420" w:type="dxa"/>
            <w:vAlign w:val="center"/>
          </w:tcPr>
          <w:p>
            <w:pPr>
              <w:spacing w:line="360" w:lineRule="atLeast"/>
              <w:jc w:val="center"/>
              <w:rPr>
                <w:rFonts w:ascii="宋体" w:hAnsi="宋体"/>
                <w:sz w:val="24"/>
              </w:rPr>
            </w:pPr>
            <w:r>
              <w:rPr>
                <w:rFonts w:hint="eastAsia" w:ascii="宋体" w:hAnsi="宋体"/>
                <w:sz w:val="24"/>
              </w:rPr>
              <w:t>法定代表人</w:t>
            </w:r>
          </w:p>
        </w:tc>
        <w:tc>
          <w:tcPr>
            <w:tcW w:w="2340" w:type="dxa"/>
            <w:vAlign w:val="center"/>
          </w:tcPr>
          <w:p>
            <w:pPr>
              <w:spacing w:line="360" w:lineRule="atLeast"/>
              <w:jc w:val="center"/>
              <w:rPr>
                <w:rFonts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宋体" w:hAnsi="宋体"/>
                <w:sz w:val="24"/>
              </w:rPr>
            </w:pPr>
            <w:r>
              <w:rPr>
                <w:rFonts w:hint="eastAsia" w:ascii="宋体" w:hAnsi="宋体"/>
                <w:sz w:val="24"/>
              </w:rPr>
              <w:t>（公章）</w:t>
            </w:r>
          </w:p>
        </w:tc>
        <w:tc>
          <w:tcPr>
            <w:tcW w:w="3420" w:type="dxa"/>
            <w:vAlign w:val="center"/>
          </w:tcPr>
          <w:p>
            <w:pPr>
              <w:spacing w:line="360" w:lineRule="atLeast"/>
              <w:jc w:val="center"/>
              <w:rPr>
                <w:rFonts w:ascii="宋体" w:hAnsi="宋体"/>
                <w:sz w:val="24"/>
              </w:rPr>
            </w:pPr>
            <w:r>
              <w:rPr>
                <w:rFonts w:hint="eastAsia" w:ascii="宋体" w:hAnsi="宋体"/>
                <w:sz w:val="24"/>
              </w:rPr>
              <w:t>（签字或盖章）</w:t>
            </w:r>
          </w:p>
        </w:tc>
        <w:tc>
          <w:tcPr>
            <w:tcW w:w="2340" w:type="dxa"/>
            <w:vAlign w:val="center"/>
          </w:tcPr>
          <w:p>
            <w:pPr>
              <w:spacing w:line="360" w:lineRule="atLeast"/>
              <w:ind w:firstLine="240" w:firstLineChars="100"/>
              <w:jc w:val="center"/>
              <w:rPr>
                <w:rFonts w:ascii="宋体" w:hAnsi="宋体"/>
                <w:sz w:val="24"/>
              </w:rPr>
            </w:pPr>
            <w:r>
              <w:rPr>
                <w:rFonts w:hint="eastAsia" w:ascii="宋体" w:hAnsi="宋体"/>
                <w:sz w:val="24"/>
              </w:rPr>
              <w:t>年  月  日</w:t>
            </w:r>
          </w:p>
        </w:tc>
      </w:tr>
    </w:tbl>
    <w:p>
      <w:pPr>
        <w:spacing w:line="500" w:lineRule="exact"/>
        <w:rPr>
          <w:rFonts w:ascii="仿宋_GB2312" w:hAnsi="仿宋" w:eastAsia="仿宋_GB2312" w:cs="仿宋"/>
          <w:b/>
          <w:bCs/>
          <w:sz w:val="32"/>
        </w:rPr>
      </w:pPr>
    </w:p>
    <w:p>
      <w:pPr>
        <w:spacing w:line="360" w:lineRule="auto"/>
        <w:jc w:val="center"/>
        <w:outlineLvl w:val="0"/>
        <w:rPr>
          <w:rFonts w:ascii="黑体" w:hAnsi="仿宋" w:eastAsia="黑体" w:cs="仿宋"/>
          <w:b/>
          <w:sz w:val="32"/>
          <w:szCs w:val="32"/>
          <w:lang w:val="en-GB"/>
        </w:rPr>
      </w:pPr>
      <w:bookmarkStart w:id="311" w:name="_Toc17612"/>
      <w:r>
        <w:rPr>
          <w:rFonts w:hint="eastAsia" w:ascii="黑体" w:hAnsi="仿宋" w:eastAsia="黑体" w:cs="仿宋"/>
          <w:b/>
          <w:sz w:val="32"/>
          <w:szCs w:val="32"/>
          <w:lang w:val="en-GB"/>
        </w:rPr>
        <w:t>询问函、质疑函格式</w:t>
      </w:r>
      <w:bookmarkEnd w:id="311"/>
    </w:p>
    <w:p>
      <w:pPr>
        <w:pStyle w:val="12"/>
        <w:spacing w:line="500" w:lineRule="exact"/>
        <w:ind w:left="-120" w:leftChars="-57" w:firstLine="527" w:firstLineChars="250"/>
        <w:rPr>
          <w:rFonts w:hAnsi="宋体"/>
          <w:b/>
          <w:bCs/>
          <w:u w:val="single"/>
          <w:lang w:val="en-GB"/>
        </w:rPr>
      </w:pPr>
      <w:r>
        <w:rPr>
          <w:rFonts w:hint="eastAsia" w:hAnsi="宋体"/>
          <w:b/>
          <w:bCs/>
          <w:u w:val="single"/>
          <w:lang w:val="en-GB"/>
        </w:rPr>
        <w:t>说明：本部分格式为供应商提交询问函、质疑函时使用，不属于响应文件格式的组成部分。</w:t>
      </w:r>
    </w:p>
    <w:p>
      <w:pPr>
        <w:pStyle w:val="12"/>
        <w:spacing w:line="500" w:lineRule="exact"/>
        <w:ind w:left="-120" w:leftChars="-57" w:firstLine="527" w:firstLineChars="250"/>
        <w:rPr>
          <w:rFonts w:hAnsi="宋体"/>
          <w:b/>
          <w:bCs/>
          <w:u w:val="single"/>
          <w:lang w:val="en-GB"/>
        </w:rPr>
      </w:pPr>
    </w:p>
    <w:p>
      <w:pPr>
        <w:pStyle w:val="12"/>
        <w:spacing w:line="500" w:lineRule="exact"/>
        <w:ind w:left="-120" w:leftChars="-57" w:firstLine="602" w:firstLineChars="250"/>
        <w:rPr>
          <w:rFonts w:hAnsi="宋体"/>
          <w:b/>
          <w:bCs/>
          <w:sz w:val="24"/>
          <w:szCs w:val="24"/>
        </w:rPr>
      </w:pPr>
      <w:r>
        <w:rPr>
          <w:rFonts w:hint="eastAsia" w:hAnsi="宋体"/>
          <w:b/>
          <w:bCs/>
          <w:sz w:val="24"/>
          <w:szCs w:val="24"/>
        </w:rPr>
        <w:t>1.询问函格式</w:t>
      </w:r>
    </w:p>
    <w:p>
      <w:pPr>
        <w:pStyle w:val="12"/>
        <w:spacing w:line="500" w:lineRule="exact"/>
        <w:ind w:left="-120" w:leftChars="-57" w:firstLine="602" w:firstLineChars="250"/>
        <w:rPr>
          <w:rFonts w:hAnsi="宋体"/>
          <w:b/>
          <w:bCs/>
          <w:sz w:val="24"/>
          <w:szCs w:val="24"/>
        </w:rPr>
      </w:pPr>
    </w:p>
    <w:p>
      <w:pPr>
        <w:spacing w:line="360" w:lineRule="auto"/>
        <w:jc w:val="center"/>
        <w:outlineLvl w:val="1"/>
        <w:rPr>
          <w:rFonts w:ascii="黑体" w:hAnsi="黑体" w:eastAsia="黑体" w:cs="黑体"/>
          <w:bCs/>
          <w:sz w:val="32"/>
          <w:szCs w:val="32"/>
          <w:lang w:val="en-GB"/>
        </w:rPr>
      </w:pPr>
      <w:bookmarkStart w:id="312" w:name="_Toc14289"/>
      <w:r>
        <w:rPr>
          <w:rFonts w:hint="eastAsia" w:ascii="黑体" w:hAnsi="黑体" w:eastAsia="黑体" w:cs="黑体"/>
          <w:bCs/>
          <w:sz w:val="32"/>
          <w:szCs w:val="32"/>
          <w:lang w:val="en-GB"/>
        </w:rPr>
        <w:t>询问函</w:t>
      </w:r>
      <w:bookmarkEnd w:id="312"/>
    </w:p>
    <w:p>
      <w:pPr>
        <w:widowControl/>
        <w:tabs>
          <w:tab w:val="left" w:pos="6300"/>
        </w:tabs>
        <w:snapToGrid w:val="0"/>
        <w:spacing w:line="360" w:lineRule="auto"/>
        <w:jc w:val="left"/>
        <w:rPr>
          <w:rFonts w:ascii="宋体" w:hAnsi="宋体"/>
          <w:sz w:val="24"/>
        </w:rPr>
      </w:pPr>
      <w:r>
        <w:rPr>
          <w:rFonts w:hint="eastAsia" w:ascii="宋体" w:hAnsi="宋体"/>
          <w:sz w:val="24"/>
        </w:rPr>
        <w:t>陕西德勤招标有限公司：</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我单位已报名并准备参与</w:t>
      </w:r>
      <w:r>
        <w:rPr>
          <w:rFonts w:hint="eastAsia" w:ascii="宋体" w:hAnsi="宋体"/>
          <w:sz w:val="24"/>
          <w:u w:val="single"/>
        </w:rPr>
        <w:t>（</w:t>
      </w:r>
      <w:r>
        <w:rPr>
          <w:rFonts w:hint="eastAsia" w:hAnsi="宋体"/>
          <w:sz w:val="24"/>
          <w:u w:val="single"/>
        </w:rPr>
        <w:t>采购项目名称及标段）</w:t>
      </w:r>
      <w:r>
        <w:rPr>
          <w:rFonts w:hint="eastAsia" w:ascii="宋体" w:hAnsi="宋体"/>
          <w:sz w:val="24"/>
        </w:rPr>
        <w:t>项目（磋商文件编号：</w:t>
      </w:r>
      <w:r>
        <w:rPr>
          <w:rFonts w:hint="eastAsia" w:ascii="宋体" w:hAnsi="宋体"/>
          <w:sz w:val="24"/>
          <w:u w:val="single"/>
        </w:rPr>
        <w:t xml:space="preserve">     </w:t>
      </w:r>
      <w:r>
        <w:rPr>
          <w:rFonts w:hint="eastAsia" w:ascii="宋体" w:hAnsi="宋体"/>
          <w:sz w:val="24"/>
        </w:rPr>
        <w:t>）的响应（或报价）活动，现有以下几个内容（或条款）存在疑问（或无法理解），特提出询问。</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一、_____________________（事项一）</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（1）____________________（问题或条款内容）</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（2）____________________（说明疑问或无法理解原因）</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（3）____________________（建议）</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二、_____________________（事项二）</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随附相关证明材料如下：</w:t>
      </w:r>
    </w:p>
    <w:p>
      <w:pPr>
        <w:widowControl/>
        <w:tabs>
          <w:tab w:val="left" w:pos="6300"/>
        </w:tabs>
        <w:snapToGrid w:val="0"/>
        <w:spacing w:line="360" w:lineRule="auto"/>
        <w:ind w:firstLine="1440" w:firstLineChars="600"/>
        <w:jc w:val="left"/>
        <w:rPr>
          <w:rFonts w:ascii="宋体" w:hAnsi="宋体"/>
          <w:sz w:val="24"/>
        </w:rPr>
      </w:pPr>
    </w:p>
    <w:p>
      <w:pPr>
        <w:widowControl/>
        <w:tabs>
          <w:tab w:val="left" w:pos="6300"/>
        </w:tabs>
        <w:snapToGrid w:val="0"/>
        <w:spacing w:line="360" w:lineRule="auto"/>
        <w:ind w:firstLine="1440" w:firstLineChars="600"/>
        <w:jc w:val="left"/>
        <w:rPr>
          <w:rFonts w:ascii="宋体" w:hAnsi="宋体"/>
          <w:sz w:val="24"/>
        </w:rPr>
      </w:pPr>
    </w:p>
    <w:p>
      <w:pPr>
        <w:widowControl/>
        <w:tabs>
          <w:tab w:val="left" w:pos="6300"/>
        </w:tabs>
        <w:snapToGrid w:val="0"/>
        <w:spacing w:line="360" w:lineRule="auto"/>
        <w:ind w:firstLine="1440" w:firstLineChars="600"/>
        <w:jc w:val="left"/>
        <w:rPr>
          <w:rFonts w:ascii="宋体" w:hAnsi="宋体"/>
          <w:sz w:val="24"/>
        </w:rPr>
      </w:pPr>
    </w:p>
    <w:p>
      <w:pPr>
        <w:widowControl/>
        <w:tabs>
          <w:tab w:val="left" w:pos="6300"/>
        </w:tabs>
        <w:snapToGrid w:val="0"/>
        <w:spacing w:line="360" w:lineRule="auto"/>
        <w:ind w:firstLine="1440" w:firstLineChars="600"/>
        <w:jc w:val="left"/>
        <w:rPr>
          <w:rFonts w:ascii="宋体" w:hAnsi="宋体"/>
          <w:sz w:val="24"/>
        </w:rPr>
      </w:pPr>
    </w:p>
    <w:p>
      <w:pPr>
        <w:widowControl/>
        <w:tabs>
          <w:tab w:val="left" w:pos="6300"/>
        </w:tabs>
        <w:snapToGrid w:val="0"/>
        <w:spacing w:line="360" w:lineRule="auto"/>
        <w:ind w:firstLine="1440" w:firstLineChars="600"/>
        <w:jc w:val="left"/>
        <w:rPr>
          <w:rFonts w:ascii="宋体" w:hAnsi="宋体"/>
          <w:sz w:val="24"/>
        </w:rPr>
      </w:pPr>
    </w:p>
    <w:p>
      <w:pPr>
        <w:widowControl/>
        <w:tabs>
          <w:tab w:val="left" w:pos="6300"/>
        </w:tabs>
        <w:snapToGrid w:val="0"/>
        <w:spacing w:line="360" w:lineRule="auto"/>
        <w:ind w:firstLine="1440" w:firstLineChars="600"/>
        <w:jc w:val="left"/>
        <w:rPr>
          <w:rFonts w:ascii="宋体" w:hAnsi="宋体"/>
          <w:sz w:val="24"/>
        </w:rPr>
      </w:pPr>
    </w:p>
    <w:p>
      <w:pPr>
        <w:widowControl/>
        <w:tabs>
          <w:tab w:val="left" w:pos="6300"/>
        </w:tabs>
        <w:snapToGrid w:val="0"/>
        <w:spacing w:line="360" w:lineRule="auto"/>
        <w:ind w:firstLine="480" w:firstLineChars="200"/>
        <w:jc w:val="left"/>
        <w:rPr>
          <w:rFonts w:ascii="宋体" w:hAnsi="宋体"/>
          <w:sz w:val="24"/>
        </w:rPr>
      </w:pP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询问人：（公章）</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法定代表人（授权代表）：</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地址/邮编：</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电话/传真：</w:t>
      </w:r>
    </w:p>
    <w:p>
      <w:pPr>
        <w:spacing w:line="360" w:lineRule="auto"/>
        <w:jc w:val="righ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line="360" w:lineRule="auto"/>
        <w:ind w:firstLine="378" w:firstLineChars="180"/>
        <w:rPr>
          <w:rFonts w:ascii="宋体" w:hAnsi="宋体"/>
          <w:szCs w:val="21"/>
        </w:rPr>
      </w:pPr>
    </w:p>
    <w:p>
      <w:pPr>
        <w:pStyle w:val="21"/>
        <w:adjustRightInd w:val="0"/>
        <w:snapToGrid w:val="0"/>
        <w:spacing w:before="0" w:beforeAutospacing="0" w:after="0" w:afterAutospacing="0" w:line="360" w:lineRule="auto"/>
        <w:ind w:firstLine="481"/>
        <w:jc w:val="both"/>
        <w:rPr>
          <w:b/>
          <w:bCs/>
          <w:color w:val="auto"/>
          <w:kern w:val="2"/>
        </w:rPr>
      </w:pPr>
      <w:r>
        <w:rPr>
          <w:rFonts w:hint="eastAsia"/>
          <w:b/>
          <w:bCs/>
          <w:color w:val="auto"/>
          <w:kern w:val="2"/>
        </w:rPr>
        <w:t>2.质疑书格式</w:t>
      </w:r>
    </w:p>
    <w:p>
      <w:pPr>
        <w:pStyle w:val="21"/>
        <w:adjustRightInd w:val="0"/>
        <w:snapToGrid w:val="0"/>
        <w:spacing w:before="0" w:beforeAutospacing="0" w:after="0" w:afterAutospacing="0" w:line="360" w:lineRule="auto"/>
        <w:ind w:firstLine="481"/>
        <w:jc w:val="both"/>
        <w:rPr>
          <w:rFonts w:ascii="仿宋_GB2312" w:hAnsi="Courier New" w:eastAsia="仿宋_GB2312"/>
          <w:b/>
          <w:bCs/>
          <w:color w:val="auto"/>
          <w:kern w:val="2"/>
        </w:rPr>
      </w:pPr>
    </w:p>
    <w:p>
      <w:pPr>
        <w:spacing w:line="360" w:lineRule="auto"/>
        <w:jc w:val="center"/>
        <w:outlineLvl w:val="1"/>
        <w:rPr>
          <w:rFonts w:ascii="黑体" w:hAnsi="黑体" w:eastAsia="黑体" w:cs="黑体"/>
          <w:bCs/>
          <w:sz w:val="32"/>
          <w:szCs w:val="32"/>
          <w:lang w:val="en-GB"/>
        </w:rPr>
      </w:pPr>
      <w:bookmarkStart w:id="313" w:name="_Toc18152"/>
      <w:r>
        <w:rPr>
          <w:rFonts w:hint="eastAsia" w:ascii="黑体" w:hAnsi="黑体" w:eastAsia="黑体" w:cs="黑体"/>
          <w:bCs/>
          <w:sz w:val="32"/>
          <w:szCs w:val="32"/>
          <w:lang w:val="en-GB"/>
        </w:rPr>
        <w:t>质疑</w:t>
      </w:r>
      <w:r>
        <w:rPr>
          <w:rFonts w:hint="eastAsia" w:ascii="黑体" w:hAnsi="黑体" w:eastAsia="黑体" w:cs="黑体"/>
          <w:bCs/>
          <w:sz w:val="32"/>
          <w:szCs w:val="32"/>
        </w:rPr>
        <w:t>书</w:t>
      </w:r>
      <w:bookmarkEnd w:id="313"/>
    </w:p>
    <w:p>
      <w:pPr>
        <w:widowControl/>
        <w:tabs>
          <w:tab w:val="left" w:pos="6300"/>
        </w:tabs>
        <w:snapToGrid w:val="0"/>
        <w:spacing w:line="360" w:lineRule="auto"/>
        <w:jc w:val="left"/>
        <w:rPr>
          <w:rFonts w:ascii="仿宋_GB2312" w:hAnsi="宋体" w:eastAsia="仿宋_GB2312"/>
          <w:b/>
          <w:bCs/>
          <w:sz w:val="24"/>
        </w:rPr>
      </w:pPr>
      <w:r>
        <w:rPr>
          <w:rFonts w:hint="eastAsia" w:ascii="仿宋_GB2312" w:hAnsi="宋体" w:eastAsia="仿宋_GB2312"/>
          <w:b/>
          <w:bCs/>
          <w:sz w:val="24"/>
        </w:rPr>
        <w:t>陕西德勤招标有限公司/采购人：</w:t>
      </w:r>
    </w:p>
    <w:p>
      <w:pPr>
        <w:widowControl/>
        <w:tabs>
          <w:tab w:val="left" w:pos="6300"/>
        </w:tabs>
        <w:snapToGrid w:val="0"/>
        <w:spacing w:line="360" w:lineRule="auto"/>
        <w:ind w:firstLine="480" w:firstLineChars="200"/>
        <w:jc w:val="left"/>
        <w:rPr>
          <w:rFonts w:ascii="宋体" w:hAnsi="宋体"/>
          <w:sz w:val="24"/>
        </w:rPr>
      </w:pPr>
      <w:r>
        <w:rPr>
          <w:rFonts w:hint="eastAsia" w:ascii="宋体" w:hAnsi="宋体"/>
          <w:sz w:val="24"/>
        </w:rPr>
        <w:t>我公司依法参与了</w:t>
      </w:r>
      <w:r>
        <w:rPr>
          <w:rFonts w:hint="eastAsia" w:ascii="宋体" w:hAnsi="宋体"/>
          <w:sz w:val="24"/>
          <w:u w:val="single"/>
        </w:rPr>
        <w:t>（采购代理机构或采购人）</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日组织的政府采购活动。根据《政府采购法》和《政府采购供应商投诉处理办法》等规定，我公司认为</w:t>
      </w:r>
      <w:r>
        <w:rPr>
          <w:rFonts w:hint="eastAsia" w:ascii="宋体" w:hAnsi="宋体"/>
          <w:sz w:val="24"/>
          <w:u w:val="single"/>
        </w:rPr>
        <w:t xml:space="preserve"> （</w:t>
      </w:r>
      <w:r>
        <w:rPr>
          <w:rFonts w:hint="eastAsia" w:hAnsi="宋体"/>
          <w:sz w:val="24"/>
          <w:u w:val="single"/>
        </w:rPr>
        <w:t>采购项目名称及标段）</w:t>
      </w:r>
      <w:r>
        <w:rPr>
          <w:rFonts w:hint="eastAsia" w:ascii="宋体" w:hAnsi="宋体"/>
          <w:sz w:val="24"/>
          <w:u w:val="single"/>
        </w:rPr>
        <w:t>（采购项目编号：     ）</w:t>
      </w:r>
      <w:r>
        <w:rPr>
          <w:rFonts w:hint="eastAsia" w:ascii="宋体" w:hAnsi="宋体"/>
          <w:sz w:val="24"/>
        </w:rPr>
        <w:t>项目的采购活动中，</w:t>
      </w:r>
      <w:r>
        <w:rPr>
          <w:rFonts w:hint="eastAsia" w:ascii="宋体" w:hAnsi="宋体"/>
          <w:sz w:val="24"/>
          <w:u w:val="single"/>
        </w:rPr>
        <w:t>（磋商文件、采购过程、中标/成交结果）</w:t>
      </w:r>
      <w:r>
        <w:rPr>
          <w:rFonts w:hint="eastAsia" w:ascii="宋体" w:hAnsi="宋体"/>
          <w:sz w:val="24"/>
        </w:rPr>
        <w:t>损害了我公司权益，特提出质疑。</w:t>
      </w:r>
    </w:p>
    <w:p>
      <w:pPr>
        <w:spacing w:line="360" w:lineRule="auto"/>
        <w:ind w:right="120" w:firstLine="480"/>
        <w:rPr>
          <w:rFonts w:ascii="宋体" w:hAnsi="宋体"/>
          <w:sz w:val="24"/>
        </w:rPr>
      </w:pPr>
      <w:r>
        <w:rPr>
          <w:rFonts w:hint="eastAsia" w:ascii="宋体" w:hAnsi="宋体"/>
          <w:sz w:val="24"/>
        </w:rPr>
        <w:t>一、我公司认为项目的</w:t>
      </w:r>
      <w:r>
        <w:rPr>
          <w:rFonts w:hint="eastAsia" w:ascii="宋体" w:hAnsi="宋体"/>
          <w:sz w:val="24"/>
          <w:u w:val="single"/>
        </w:rPr>
        <w:t>（磋商文件、采购过程、中标/成交结果）</w:t>
      </w:r>
      <w:r>
        <w:rPr>
          <w:rFonts w:hint="eastAsia" w:ascii="宋体" w:hAnsi="宋体"/>
          <w:sz w:val="24"/>
        </w:rPr>
        <w:t>损害了我司权益，具体事项如下：（每个质疑事项应有与之相对应的证据予以支持。质疑事项属于涉密的，应提供信息来源或有效证据）：</w:t>
      </w:r>
    </w:p>
    <w:p>
      <w:pPr>
        <w:spacing w:line="360" w:lineRule="auto"/>
        <w:ind w:right="120" w:firstLine="480"/>
        <w:rPr>
          <w:rFonts w:ascii="宋体" w:hAnsi="宋体"/>
          <w:sz w:val="24"/>
        </w:rPr>
      </w:pPr>
      <w:r>
        <w:rPr>
          <w:rFonts w:hint="eastAsia" w:ascii="宋体" w:hAnsi="宋体"/>
          <w:sz w:val="24"/>
        </w:rPr>
        <w:t>（  ）质疑磋商文件</w:t>
      </w:r>
    </w:p>
    <w:p>
      <w:pPr>
        <w:widowControl/>
        <w:snapToGrid w:val="0"/>
        <w:spacing w:line="360" w:lineRule="auto"/>
        <w:ind w:firstLine="480" w:firstLineChars="200"/>
        <w:jc w:val="left"/>
        <w:rPr>
          <w:rFonts w:ascii="宋体" w:hAnsi="宋体"/>
          <w:sz w:val="24"/>
        </w:rPr>
      </w:pPr>
      <w:r>
        <w:rPr>
          <w:rFonts w:hint="eastAsia" w:ascii="宋体" w:hAnsi="宋体"/>
          <w:sz w:val="24"/>
        </w:rPr>
        <w:t>1.质疑内容磋商文件</w:t>
      </w:r>
      <w:r>
        <w:rPr>
          <w:rFonts w:hint="eastAsia" w:ascii="宋体" w:hAnsi="宋体"/>
          <w:sz w:val="24"/>
          <w:u w:val="single"/>
        </w:rPr>
        <w:t xml:space="preserve">    </w:t>
      </w:r>
      <w:r>
        <w:rPr>
          <w:rFonts w:hint="eastAsia" w:ascii="宋体" w:hAnsi="宋体"/>
          <w:sz w:val="24"/>
        </w:rPr>
        <w:t xml:space="preserve">页，内容“ </w:t>
      </w:r>
      <w:r>
        <w:rPr>
          <w:rFonts w:hint="eastAsia" w:ascii="宋体" w:hAnsi="宋体"/>
          <w:sz w:val="24"/>
          <w:u w:val="single"/>
        </w:rPr>
        <w:t xml:space="preserve">                            </w:t>
      </w:r>
      <w:r>
        <w:rPr>
          <w:rFonts w:hint="eastAsia" w:ascii="宋体" w:hAnsi="宋体"/>
          <w:sz w:val="24"/>
        </w:rPr>
        <w:t xml:space="preserve"> ” 损害了我公司权益，</w:t>
      </w:r>
    </w:p>
    <w:p>
      <w:pPr>
        <w:widowControl/>
        <w:snapToGrid w:val="0"/>
        <w:spacing w:line="360" w:lineRule="auto"/>
        <w:ind w:firstLine="480" w:firstLineChars="200"/>
        <w:jc w:val="left"/>
        <w:rPr>
          <w:rFonts w:ascii="宋体" w:hAnsi="宋体"/>
          <w:sz w:val="24"/>
        </w:rPr>
      </w:pPr>
      <w:r>
        <w:rPr>
          <w:rFonts w:hint="eastAsia" w:ascii="宋体" w:hAnsi="宋体"/>
          <w:sz w:val="24"/>
        </w:rPr>
        <w:t xml:space="preserve">事实依据： </w:t>
      </w:r>
      <w:r>
        <w:rPr>
          <w:rFonts w:hint="eastAsia" w:ascii="宋体" w:hAnsi="宋体"/>
          <w:sz w:val="24"/>
          <w:u w:val="single"/>
        </w:rPr>
        <w:t xml:space="preserve">                          （</w:t>
      </w:r>
      <w:r>
        <w:rPr>
          <w:rFonts w:hint="eastAsia" w:ascii="宋体" w:hAnsi="宋体"/>
          <w:sz w:val="24"/>
        </w:rPr>
        <w:t>证据见附件第</w:t>
      </w:r>
      <w:r>
        <w:rPr>
          <w:rFonts w:hint="eastAsia" w:ascii="宋体" w:hAnsi="宋体"/>
          <w:sz w:val="24"/>
          <w:u w:val="single"/>
        </w:rPr>
        <w:t xml:space="preserve">  </w:t>
      </w:r>
      <w:r>
        <w:rPr>
          <w:rFonts w:hint="eastAsia" w:ascii="宋体" w:hAnsi="宋体"/>
          <w:sz w:val="24"/>
        </w:rPr>
        <w:t>页）</w:t>
      </w:r>
    </w:p>
    <w:p>
      <w:pPr>
        <w:widowControl/>
        <w:snapToGrid w:val="0"/>
        <w:spacing w:line="360" w:lineRule="auto"/>
        <w:ind w:firstLine="480" w:firstLineChars="200"/>
        <w:jc w:val="left"/>
        <w:rPr>
          <w:rFonts w:ascii="宋体" w:hAnsi="宋体"/>
          <w:sz w:val="24"/>
          <w:u w:val="single"/>
        </w:rPr>
      </w:pPr>
      <w:r>
        <w:rPr>
          <w:rFonts w:hint="eastAsia" w:ascii="宋体" w:hAnsi="宋体"/>
          <w:sz w:val="24"/>
        </w:rPr>
        <w:t>法律依据</w:t>
      </w:r>
      <w:r>
        <w:rPr>
          <w:rFonts w:hint="eastAsia" w:ascii="宋体" w:hAnsi="宋体"/>
          <w:kern w:val="0"/>
          <w:sz w:val="24"/>
        </w:rPr>
        <w:t>：</w:t>
      </w:r>
      <w:r>
        <w:rPr>
          <w:rFonts w:hint="eastAsia" w:ascii="宋体" w:hAnsi="宋体"/>
          <w:sz w:val="24"/>
          <w:u w:val="single"/>
        </w:rPr>
        <w:t xml:space="preserve">                                        </w:t>
      </w:r>
    </w:p>
    <w:p>
      <w:pPr>
        <w:widowControl/>
        <w:snapToGrid w:val="0"/>
        <w:spacing w:line="360" w:lineRule="auto"/>
        <w:ind w:firstLine="480" w:firstLineChars="200"/>
        <w:jc w:val="left"/>
        <w:rPr>
          <w:rFonts w:ascii="宋体" w:hAnsi="宋体"/>
          <w:sz w:val="24"/>
          <w:u w:val="single"/>
        </w:rPr>
      </w:pPr>
      <w:r>
        <w:rPr>
          <w:rFonts w:hint="eastAsia" w:ascii="宋体" w:hAnsi="宋体"/>
          <w:sz w:val="24"/>
        </w:rPr>
        <w:t>我方请求磋商文件做如下修改：</w:t>
      </w:r>
      <w:r>
        <w:rPr>
          <w:rFonts w:hint="eastAsia" w:ascii="宋体" w:hAnsi="宋体"/>
          <w:sz w:val="24"/>
          <w:u w:val="single"/>
        </w:rPr>
        <w:t xml:space="preserve">                      </w:t>
      </w:r>
    </w:p>
    <w:p>
      <w:pPr>
        <w:widowControl/>
        <w:snapToGrid w:val="0"/>
        <w:spacing w:line="360" w:lineRule="auto"/>
        <w:ind w:firstLine="480" w:firstLineChars="200"/>
        <w:jc w:val="left"/>
        <w:rPr>
          <w:rFonts w:ascii="宋体" w:hAnsi="宋体"/>
          <w:sz w:val="24"/>
        </w:rPr>
      </w:pPr>
      <w:r>
        <w:rPr>
          <w:rFonts w:hint="eastAsia" w:ascii="宋体" w:hAnsi="宋体"/>
          <w:sz w:val="24"/>
        </w:rPr>
        <w:t>我方对磋商文件其他内容无质疑。</w:t>
      </w:r>
    </w:p>
    <w:p>
      <w:pPr>
        <w:spacing w:line="360" w:lineRule="auto"/>
        <w:ind w:right="120" w:firstLine="480"/>
        <w:rPr>
          <w:rFonts w:ascii="宋体" w:hAnsi="宋体"/>
          <w:sz w:val="24"/>
        </w:rPr>
      </w:pPr>
      <w:r>
        <w:rPr>
          <w:rFonts w:hint="eastAsia" w:ascii="宋体" w:hAnsi="宋体"/>
          <w:sz w:val="24"/>
        </w:rPr>
        <w:t>（  ）质疑采购过程</w:t>
      </w:r>
    </w:p>
    <w:p>
      <w:pPr>
        <w:widowControl/>
        <w:snapToGrid w:val="0"/>
        <w:spacing w:line="360" w:lineRule="auto"/>
        <w:ind w:firstLine="480" w:firstLineChars="200"/>
        <w:jc w:val="left"/>
        <w:rPr>
          <w:rFonts w:ascii="宋体" w:hAnsi="宋体"/>
          <w:sz w:val="24"/>
        </w:rPr>
      </w:pPr>
      <w:r>
        <w:rPr>
          <w:rFonts w:hint="eastAsia" w:ascii="宋体" w:hAnsi="宋体"/>
          <w:sz w:val="24"/>
        </w:rPr>
        <w:t>1.于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日，在</w:t>
      </w:r>
      <w:r>
        <w:rPr>
          <w:rFonts w:hint="eastAsia" w:ascii="宋体" w:hAnsi="宋体"/>
          <w:sz w:val="24"/>
          <w:u w:val="single"/>
        </w:rPr>
        <w:t xml:space="preserve">                          </w:t>
      </w:r>
      <w:r>
        <w:rPr>
          <w:rFonts w:hint="eastAsia" w:ascii="宋体" w:hAnsi="宋体"/>
          <w:sz w:val="24"/>
        </w:rPr>
        <w:t>进行的（收取磋商文件（样品）、开标、谈判）过程，发生损害了我公司权益的事项，</w:t>
      </w:r>
    </w:p>
    <w:p>
      <w:pPr>
        <w:widowControl/>
        <w:snapToGrid w:val="0"/>
        <w:spacing w:line="360" w:lineRule="auto"/>
        <w:ind w:firstLine="480" w:firstLineChars="200"/>
        <w:jc w:val="left"/>
        <w:rPr>
          <w:rFonts w:ascii="宋体" w:hAnsi="宋体"/>
          <w:sz w:val="24"/>
        </w:rPr>
      </w:pPr>
      <w:r>
        <w:rPr>
          <w:rFonts w:hint="eastAsia" w:ascii="宋体" w:hAnsi="宋体"/>
          <w:sz w:val="24"/>
        </w:rPr>
        <w:t xml:space="preserve">事实依据： </w:t>
      </w:r>
      <w:r>
        <w:rPr>
          <w:rFonts w:hint="eastAsia" w:ascii="宋体" w:hAnsi="宋体"/>
          <w:sz w:val="24"/>
          <w:u w:val="single"/>
        </w:rPr>
        <w:t xml:space="preserve">                          （</w:t>
      </w:r>
      <w:r>
        <w:rPr>
          <w:rFonts w:hint="eastAsia" w:ascii="宋体" w:hAnsi="宋体"/>
          <w:sz w:val="24"/>
        </w:rPr>
        <w:t>证据见附件第</w:t>
      </w:r>
      <w:r>
        <w:rPr>
          <w:rFonts w:hint="eastAsia" w:ascii="宋体" w:hAnsi="宋体"/>
          <w:sz w:val="24"/>
          <w:u w:val="single"/>
        </w:rPr>
        <w:t xml:space="preserve">  </w:t>
      </w:r>
      <w:r>
        <w:rPr>
          <w:rFonts w:hint="eastAsia" w:ascii="宋体" w:hAnsi="宋体"/>
          <w:sz w:val="24"/>
        </w:rPr>
        <w:t>页）</w:t>
      </w:r>
    </w:p>
    <w:p>
      <w:pPr>
        <w:widowControl/>
        <w:snapToGrid w:val="0"/>
        <w:spacing w:line="360" w:lineRule="auto"/>
        <w:ind w:firstLine="480" w:firstLineChars="200"/>
        <w:jc w:val="left"/>
        <w:rPr>
          <w:rFonts w:ascii="宋体" w:hAnsi="宋体"/>
          <w:sz w:val="24"/>
          <w:u w:val="single"/>
        </w:rPr>
      </w:pPr>
      <w:r>
        <w:rPr>
          <w:rFonts w:hint="eastAsia" w:ascii="宋体" w:hAnsi="宋体"/>
          <w:sz w:val="24"/>
        </w:rPr>
        <w:t>法律依据</w:t>
      </w:r>
      <w:r>
        <w:rPr>
          <w:rFonts w:hint="eastAsia" w:ascii="宋体" w:hAnsi="宋体"/>
          <w:kern w:val="0"/>
          <w:sz w:val="24"/>
        </w:rPr>
        <w:t>：</w:t>
      </w:r>
      <w:r>
        <w:rPr>
          <w:rFonts w:hint="eastAsia" w:ascii="宋体" w:hAnsi="宋体"/>
          <w:sz w:val="24"/>
          <w:u w:val="single"/>
        </w:rPr>
        <w:t xml:space="preserve">                                        </w:t>
      </w:r>
    </w:p>
    <w:p>
      <w:pPr>
        <w:widowControl/>
        <w:snapToGrid w:val="0"/>
        <w:spacing w:line="360" w:lineRule="auto"/>
        <w:ind w:firstLine="480" w:firstLineChars="200"/>
        <w:jc w:val="left"/>
        <w:rPr>
          <w:rFonts w:ascii="宋体" w:hAnsi="宋体"/>
          <w:sz w:val="24"/>
          <w:u w:val="single"/>
        </w:rPr>
      </w:pPr>
      <w:r>
        <w:rPr>
          <w:rFonts w:hint="eastAsia" w:ascii="宋体" w:hAnsi="宋体"/>
          <w:sz w:val="24"/>
        </w:rPr>
        <w:t>我方请求：</w:t>
      </w:r>
      <w:r>
        <w:rPr>
          <w:rFonts w:hint="eastAsia" w:ascii="宋体" w:hAnsi="宋体"/>
          <w:sz w:val="24"/>
          <w:u w:val="single"/>
        </w:rPr>
        <w:t xml:space="preserve">                          </w:t>
      </w:r>
    </w:p>
    <w:p>
      <w:pPr>
        <w:widowControl/>
        <w:snapToGrid w:val="0"/>
        <w:spacing w:line="360" w:lineRule="auto"/>
        <w:ind w:firstLine="480" w:firstLineChars="200"/>
        <w:jc w:val="left"/>
        <w:rPr>
          <w:rFonts w:ascii="宋体" w:hAnsi="宋体"/>
          <w:sz w:val="24"/>
        </w:rPr>
      </w:pPr>
      <w:r>
        <w:rPr>
          <w:rFonts w:hint="eastAsia" w:ascii="宋体" w:hAnsi="宋体"/>
          <w:sz w:val="24"/>
        </w:rPr>
        <w:t>我方对其他采购过程无质疑。</w:t>
      </w:r>
    </w:p>
    <w:p>
      <w:pPr>
        <w:widowControl/>
        <w:snapToGrid w:val="0"/>
        <w:spacing w:line="360" w:lineRule="auto"/>
        <w:ind w:firstLine="480" w:firstLineChars="200"/>
        <w:jc w:val="left"/>
        <w:rPr>
          <w:rFonts w:ascii="宋体" w:hAnsi="宋体"/>
          <w:sz w:val="24"/>
        </w:rPr>
      </w:pPr>
      <w:r>
        <w:rPr>
          <w:rFonts w:hint="eastAsia" w:ascii="宋体" w:hAnsi="宋体"/>
          <w:sz w:val="24"/>
        </w:rPr>
        <w:t>（  ）质疑采购结果</w:t>
      </w:r>
    </w:p>
    <w:p>
      <w:pPr>
        <w:widowControl/>
        <w:snapToGrid w:val="0"/>
        <w:spacing w:line="360" w:lineRule="auto"/>
        <w:ind w:firstLine="480" w:firstLineChars="200"/>
        <w:jc w:val="left"/>
        <w:rPr>
          <w:rFonts w:ascii="宋体" w:hAnsi="宋体"/>
          <w:sz w:val="24"/>
        </w:rPr>
      </w:pPr>
      <w:r>
        <w:rPr>
          <w:rFonts w:hint="eastAsia" w:ascii="宋体" w:hAnsi="宋体"/>
          <w:sz w:val="24"/>
        </w:rPr>
        <w:t>1.于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日公布的成交（成交）结果，发生损害了我公司权益的事项，</w:t>
      </w:r>
    </w:p>
    <w:p>
      <w:pPr>
        <w:widowControl/>
        <w:snapToGrid w:val="0"/>
        <w:spacing w:line="360" w:lineRule="auto"/>
        <w:ind w:firstLine="480" w:firstLineChars="200"/>
        <w:jc w:val="left"/>
        <w:rPr>
          <w:rFonts w:ascii="宋体" w:hAnsi="宋体"/>
          <w:sz w:val="24"/>
        </w:rPr>
      </w:pPr>
      <w:r>
        <w:rPr>
          <w:rFonts w:hint="eastAsia" w:ascii="宋体" w:hAnsi="宋体"/>
          <w:sz w:val="24"/>
        </w:rPr>
        <w:t xml:space="preserve">事实依据： </w:t>
      </w:r>
      <w:r>
        <w:rPr>
          <w:rFonts w:hint="eastAsia" w:ascii="宋体" w:hAnsi="宋体"/>
          <w:sz w:val="24"/>
          <w:u w:val="single"/>
        </w:rPr>
        <w:t xml:space="preserve">                          （</w:t>
      </w:r>
      <w:r>
        <w:rPr>
          <w:rFonts w:hint="eastAsia" w:ascii="宋体" w:hAnsi="宋体"/>
          <w:sz w:val="24"/>
        </w:rPr>
        <w:t>证据见附件第</w:t>
      </w:r>
      <w:r>
        <w:rPr>
          <w:rFonts w:hint="eastAsia" w:ascii="宋体" w:hAnsi="宋体"/>
          <w:sz w:val="24"/>
          <w:u w:val="single"/>
        </w:rPr>
        <w:t xml:space="preserve">  </w:t>
      </w:r>
      <w:r>
        <w:rPr>
          <w:rFonts w:hint="eastAsia" w:ascii="宋体" w:hAnsi="宋体"/>
          <w:sz w:val="24"/>
        </w:rPr>
        <w:t>页）</w:t>
      </w:r>
    </w:p>
    <w:p>
      <w:pPr>
        <w:widowControl/>
        <w:snapToGrid w:val="0"/>
        <w:spacing w:line="360" w:lineRule="auto"/>
        <w:ind w:firstLine="480" w:firstLineChars="200"/>
        <w:jc w:val="left"/>
        <w:rPr>
          <w:rFonts w:ascii="宋体" w:hAnsi="宋体"/>
          <w:sz w:val="24"/>
          <w:u w:val="single"/>
        </w:rPr>
      </w:pPr>
      <w:r>
        <w:rPr>
          <w:rFonts w:hint="eastAsia" w:ascii="宋体" w:hAnsi="宋体"/>
          <w:sz w:val="24"/>
        </w:rPr>
        <w:t>法律依据</w:t>
      </w:r>
      <w:r>
        <w:rPr>
          <w:rFonts w:hint="eastAsia" w:ascii="宋体" w:hAnsi="宋体"/>
          <w:kern w:val="0"/>
          <w:sz w:val="24"/>
        </w:rPr>
        <w:t>：</w:t>
      </w:r>
      <w:r>
        <w:rPr>
          <w:rFonts w:hint="eastAsia" w:ascii="宋体" w:hAnsi="宋体"/>
          <w:sz w:val="24"/>
          <w:u w:val="single"/>
        </w:rPr>
        <w:t xml:space="preserve">                                        </w:t>
      </w:r>
    </w:p>
    <w:p>
      <w:pPr>
        <w:widowControl/>
        <w:snapToGrid w:val="0"/>
        <w:spacing w:line="360" w:lineRule="auto"/>
        <w:ind w:firstLine="480" w:firstLineChars="200"/>
        <w:jc w:val="left"/>
        <w:rPr>
          <w:rFonts w:ascii="宋体" w:hAnsi="宋体"/>
          <w:sz w:val="24"/>
          <w:u w:val="single"/>
        </w:rPr>
      </w:pPr>
      <w:r>
        <w:rPr>
          <w:rFonts w:hint="eastAsia" w:ascii="宋体" w:hAnsi="宋体"/>
          <w:sz w:val="24"/>
        </w:rPr>
        <w:t>我方请求：</w:t>
      </w:r>
      <w:r>
        <w:rPr>
          <w:rFonts w:hint="eastAsia" w:ascii="宋体" w:hAnsi="宋体"/>
          <w:sz w:val="24"/>
          <w:u w:val="single"/>
        </w:rPr>
        <w:t xml:space="preserve">                          </w:t>
      </w:r>
    </w:p>
    <w:p>
      <w:pPr>
        <w:widowControl/>
        <w:snapToGrid w:val="0"/>
        <w:spacing w:line="360" w:lineRule="auto"/>
        <w:ind w:firstLine="480" w:firstLineChars="200"/>
        <w:jc w:val="left"/>
        <w:rPr>
          <w:rFonts w:ascii="宋体" w:hAnsi="宋体"/>
          <w:sz w:val="24"/>
        </w:rPr>
      </w:pPr>
      <w:r>
        <w:rPr>
          <w:rFonts w:hint="eastAsia" w:ascii="宋体" w:hAnsi="宋体"/>
          <w:sz w:val="24"/>
        </w:rPr>
        <w:t>我方对成交（成交）结果公告其他内容无质疑。</w:t>
      </w:r>
    </w:p>
    <w:p>
      <w:pPr>
        <w:widowControl/>
        <w:snapToGrid w:val="0"/>
        <w:spacing w:line="360" w:lineRule="auto"/>
        <w:ind w:firstLine="480" w:firstLineChars="200"/>
        <w:jc w:val="left"/>
        <w:rPr>
          <w:rFonts w:ascii="宋体" w:hAnsi="宋体"/>
          <w:sz w:val="24"/>
        </w:rPr>
      </w:pPr>
    </w:p>
    <w:p>
      <w:pPr>
        <w:widowControl/>
        <w:snapToGrid w:val="0"/>
        <w:spacing w:line="360" w:lineRule="auto"/>
        <w:ind w:firstLine="480" w:firstLineChars="200"/>
        <w:jc w:val="left"/>
        <w:rPr>
          <w:rFonts w:ascii="宋体" w:hAnsi="宋体"/>
          <w:sz w:val="24"/>
        </w:rPr>
      </w:pPr>
      <w:r>
        <w:rPr>
          <w:rFonts w:hint="eastAsia" w:ascii="宋体" w:hAnsi="宋体"/>
          <w:sz w:val="24"/>
        </w:rPr>
        <w:t>二、为维护我公司的合法权益，现要求贵方就上述质疑事项依照政府采购有关规定在限期内作出回复。</w:t>
      </w:r>
    </w:p>
    <w:p>
      <w:pPr>
        <w:widowControl/>
        <w:snapToGrid w:val="0"/>
        <w:spacing w:line="360" w:lineRule="auto"/>
        <w:jc w:val="left"/>
        <w:rPr>
          <w:rFonts w:ascii="宋体" w:hAnsi="宋体"/>
          <w:sz w:val="24"/>
        </w:rPr>
      </w:pPr>
    </w:p>
    <w:p>
      <w:pPr>
        <w:widowControl/>
        <w:snapToGrid w:val="0"/>
        <w:spacing w:line="360" w:lineRule="auto"/>
        <w:ind w:firstLine="480" w:firstLineChars="200"/>
        <w:jc w:val="left"/>
        <w:rPr>
          <w:rFonts w:ascii="宋体" w:hAnsi="宋体"/>
          <w:sz w:val="24"/>
        </w:rPr>
      </w:pPr>
      <w:r>
        <w:rPr>
          <w:rFonts w:hint="eastAsia" w:ascii="宋体" w:hAnsi="宋体"/>
          <w:sz w:val="24"/>
        </w:rPr>
        <w:t>质疑供应商</w:t>
      </w:r>
      <w:r>
        <w:rPr>
          <w:rFonts w:hint="eastAsia" w:ascii="宋体" w:hAnsi="宋体"/>
          <w:sz w:val="24"/>
          <w:u w:val="single"/>
        </w:rPr>
        <w:t xml:space="preserve">： （签章）    </w:t>
      </w:r>
      <w:r>
        <w:rPr>
          <w:rFonts w:hint="eastAsia" w:ascii="宋体" w:hAnsi="宋体"/>
          <w:sz w:val="24"/>
        </w:rPr>
        <w:t xml:space="preserve">   法定代表人：</w:t>
      </w:r>
      <w:r>
        <w:rPr>
          <w:rFonts w:hint="eastAsia" w:ascii="宋体" w:hAnsi="宋体"/>
          <w:sz w:val="24"/>
          <w:u w:val="single"/>
        </w:rPr>
        <w:t xml:space="preserve">        </w:t>
      </w:r>
      <w:r>
        <w:rPr>
          <w:rFonts w:hint="eastAsia" w:ascii="宋体" w:hAnsi="宋体"/>
          <w:sz w:val="24"/>
        </w:rPr>
        <w:t>（签名）</w:t>
      </w:r>
    </w:p>
    <w:p>
      <w:pPr>
        <w:widowControl/>
        <w:snapToGrid w:val="0"/>
        <w:spacing w:line="360" w:lineRule="auto"/>
        <w:ind w:firstLine="480" w:firstLineChars="200"/>
        <w:jc w:val="left"/>
        <w:rPr>
          <w:rFonts w:ascii="宋体" w:hAnsi="宋体"/>
          <w:sz w:val="24"/>
        </w:rPr>
      </w:pPr>
      <w:r>
        <w:rPr>
          <w:rFonts w:hint="eastAsia" w:ascii="宋体" w:hAnsi="宋体"/>
          <w:sz w:val="24"/>
        </w:rPr>
        <w:t>项目联系人：</w:t>
      </w:r>
      <w:r>
        <w:rPr>
          <w:rFonts w:hint="eastAsia" w:ascii="宋体" w:hAnsi="宋体"/>
          <w:sz w:val="24"/>
          <w:u w:val="single"/>
        </w:rPr>
        <w:t xml:space="preserve">             </w:t>
      </w:r>
      <w:r>
        <w:rPr>
          <w:rFonts w:hint="eastAsia" w:ascii="宋体" w:hAnsi="宋体"/>
          <w:sz w:val="24"/>
        </w:rPr>
        <w:t xml:space="preserve">   电话（手机/座机）：</w:t>
      </w:r>
      <w:r>
        <w:rPr>
          <w:rFonts w:hint="eastAsia" w:ascii="宋体" w:hAnsi="宋体"/>
          <w:sz w:val="24"/>
          <w:u w:val="single"/>
        </w:rPr>
        <w:t xml:space="preserve">       </w:t>
      </w:r>
    </w:p>
    <w:p>
      <w:pPr>
        <w:widowControl/>
        <w:snapToGrid w:val="0"/>
        <w:spacing w:line="360" w:lineRule="auto"/>
        <w:ind w:firstLine="480" w:firstLineChars="200"/>
        <w:jc w:val="left"/>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pPr>
        <w:widowControl/>
        <w:snapToGrid w:val="0"/>
        <w:spacing w:line="360" w:lineRule="auto"/>
        <w:ind w:firstLine="480" w:firstLineChars="200"/>
        <w:jc w:val="left"/>
        <w:rPr>
          <w:rFonts w:ascii="宋体" w:hAnsi="宋体"/>
          <w:sz w:val="24"/>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pPr>
        <w:widowControl/>
        <w:tabs>
          <w:tab w:val="left" w:pos="6300"/>
        </w:tabs>
        <w:snapToGrid w:val="0"/>
        <w:spacing w:line="360" w:lineRule="auto"/>
        <w:jc w:val="righ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2"/>
        <w:spacing w:line="360" w:lineRule="auto"/>
        <w:ind w:left="-120" w:leftChars="-57" w:firstLine="527" w:firstLineChars="250"/>
        <w:rPr>
          <w:rFonts w:hAnsi="宋体"/>
          <w:b/>
          <w:bCs/>
          <w:u w:val="single"/>
          <w:lang w:val="en-GB"/>
        </w:rPr>
      </w:pPr>
      <w:r>
        <w:rPr>
          <w:rFonts w:hint="eastAsia" w:hAnsi="宋体"/>
          <w:b/>
          <w:bCs/>
          <w:u w:val="single"/>
          <w:lang w:val="en-GB"/>
        </w:rPr>
        <w:t>备注：</w:t>
      </w:r>
    </w:p>
    <w:p>
      <w:pPr>
        <w:pStyle w:val="12"/>
        <w:spacing w:line="360" w:lineRule="auto"/>
        <w:ind w:left="-120" w:leftChars="-57" w:firstLine="527" w:firstLineChars="250"/>
        <w:rPr>
          <w:rFonts w:hAnsi="宋体"/>
          <w:b/>
          <w:bCs/>
          <w:u w:val="single"/>
          <w:lang w:val="en-GB"/>
        </w:rPr>
      </w:pPr>
      <w:r>
        <w:rPr>
          <w:rFonts w:hint="eastAsia" w:hAnsi="宋体"/>
          <w:b/>
          <w:bCs/>
          <w:u w:val="single"/>
          <w:lang w:val="en-GB"/>
        </w:rPr>
        <w:t>1.每个质疑事项应有与之相对应的证据予以支持。质疑事项属于涉密的，应提供信息来源或有效证据。</w:t>
      </w:r>
    </w:p>
    <w:p>
      <w:pPr>
        <w:pStyle w:val="12"/>
        <w:spacing w:line="360" w:lineRule="auto"/>
        <w:ind w:left="-120" w:leftChars="-57" w:firstLine="527" w:firstLineChars="250"/>
        <w:rPr>
          <w:rFonts w:hAnsi="宋体"/>
          <w:b/>
          <w:bCs/>
          <w:u w:val="single"/>
          <w:lang w:val="en-GB"/>
        </w:rPr>
      </w:pPr>
      <w:r>
        <w:rPr>
          <w:rFonts w:hint="eastAsia" w:hAnsi="宋体"/>
          <w:b/>
          <w:bCs/>
          <w:u w:val="single"/>
          <w:lang w:val="en-GB"/>
        </w:rPr>
        <w:t>2.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pStyle w:val="12"/>
        <w:spacing w:line="360" w:lineRule="auto"/>
        <w:ind w:left="-120" w:leftChars="-57" w:firstLine="527" w:firstLineChars="250"/>
        <w:rPr>
          <w:rFonts w:hAnsi="宋体"/>
          <w:b/>
          <w:bCs/>
          <w:u w:val="single"/>
        </w:rPr>
      </w:pPr>
      <w:r>
        <w:rPr>
          <w:rFonts w:hint="eastAsia" w:hAnsi="宋体"/>
          <w:b/>
          <w:bCs/>
          <w:u w:val="single"/>
        </w:rPr>
        <w:t>3.质疑书应</w:t>
      </w:r>
      <w:r>
        <w:rPr>
          <w:rFonts w:hint="eastAsia" w:hAnsi="宋体"/>
          <w:b/>
          <w:bCs/>
          <w:u w:val="single"/>
          <w:lang w:val="en-GB"/>
        </w:rPr>
        <w:t>当包括</w:t>
      </w:r>
      <w:r>
        <w:rPr>
          <w:rFonts w:hint="eastAsia" w:hAnsi="宋体"/>
          <w:b/>
          <w:bCs/>
          <w:u w:val="single"/>
        </w:rPr>
        <w:t>但不限于</w:t>
      </w:r>
      <w:r>
        <w:rPr>
          <w:rFonts w:hint="eastAsia" w:hAnsi="宋体"/>
          <w:b/>
          <w:bCs/>
          <w:u w:val="single"/>
          <w:lang w:val="en-GB"/>
        </w:rPr>
        <w:t>以下主要内容：被质疑项目名称、项目编号、标段（</w:t>
      </w:r>
      <w:r>
        <w:rPr>
          <w:rFonts w:hint="eastAsia" w:hAnsi="宋体"/>
          <w:b/>
          <w:bCs/>
          <w:u w:val="single"/>
        </w:rPr>
        <w:t>如果有</w:t>
      </w:r>
      <w:r>
        <w:rPr>
          <w:rFonts w:hint="eastAsia" w:hAnsi="宋体"/>
          <w:b/>
          <w:bCs/>
          <w:u w:val="single"/>
          <w:lang w:val="en-GB"/>
        </w:rPr>
        <w:t>）、采购公告发布时间、质疑事项、权益受损害的情况说明及受损害的原因、证据材料、法律依据（具体条款）、质疑供应商有效联系方式等。</w:t>
      </w:r>
    </w:p>
    <w:p>
      <w:pPr>
        <w:pStyle w:val="12"/>
        <w:spacing w:line="360" w:lineRule="auto"/>
        <w:ind w:left="-120" w:leftChars="-57" w:firstLine="527" w:firstLineChars="250"/>
        <w:rPr>
          <w:rFonts w:hAnsi="宋体"/>
          <w:b/>
          <w:bCs/>
          <w:u w:val="single"/>
          <w:lang w:val="en-GB"/>
        </w:rPr>
      </w:pPr>
      <w:r>
        <w:rPr>
          <w:rFonts w:hint="eastAsia" w:hAnsi="宋体"/>
          <w:b/>
          <w:bCs/>
          <w:u w:val="single"/>
        </w:rPr>
        <w:t>4.</w:t>
      </w:r>
      <w:r>
        <w:rPr>
          <w:rFonts w:hint="eastAsia" w:hAnsi="宋体"/>
          <w:b/>
          <w:bCs/>
          <w:u w:val="single"/>
          <w:lang w:val="en-GB"/>
        </w:rPr>
        <w:t>质疑书应当由法定代表人签字并加盖公章，公章不得以合同章或其他印章代替；</w:t>
      </w:r>
    </w:p>
    <w:p>
      <w:pPr>
        <w:pStyle w:val="12"/>
        <w:spacing w:line="360" w:lineRule="auto"/>
        <w:ind w:left="-120" w:leftChars="-57" w:firstLine="527" w:firstLineChars="250"/>
        <w:rPr>
          <w:rFonts w:hAnsi="宋体"/>
          <w:b/>
          <w:bCs/>
          <w:u w:val="single"/>
          <w:lang w:val="en-GB"/>
        </w:rPr>
      </w:pPr>
      <w:r>
        <w:rPr>
          <w:rFonts w:hint="eastAsia" w:hAnsi="宋体"/>
          <w:b/>
          <w:bCs/>
          <w:u w:val="single"/>
        </w:rPr>
        <w:t>5.</w:t>
      </w:r>
      <w:r>
        <w:rPr>
          <w:rFonts w:hint="eastAsia" w:hAnsi="宋体"/>
          <w:b/>
          <w:bCs/>
          <w:u w:val="single"/>
          <w:lang w:val="en-GB"/>
        </w:rPr>
        <w:t>质疑供应商可以委托代理人办理质疑事项，代理人办理质疑事项时，除提交质疑书外，还应当提交质疑供应商的授权委托书及代理人的有效身份证明，授权委托书应当载明委托代理的具体权限和事项。</w:t>
      </w:r>
    </w:p>
    <w:p>
      <w:pPr>
        <w:pStyle w:val="12"/>
        <w:spacing w:line="360" w:lineRule="auto"/>
        <w:ind w:left="-120" w:leftChars="-57" w:firstLine="527" w:firstLineChars="250"/>
        <w:rPr>
          <w:rFonts w:hAnsi="宋体"/>
          <w:b/>
          <w:bCs/>
          <w:u w:val="single"/>
          <w:lang w:val="en-GB"/>
        </w:rPr>
      </w:pPr>
      <w:r>
        <w:rPr>
          <w:rFonts w:hint="eastAsia" w:hAnsi="宋体"/>
          <w:b/>
          <w:bCs/>
          <w:u w:val="single"/>
          <w:lang w:val="en-GB"/>
        </w:rPr>
        <w:t>不按上述要求拟写的质疑函，</w:t>
      </w:r>
      <w:r>
        <w:rPr>
          <w:rFonts w:hint="eastAsia" w:hAnsi="宋体"/>
          <w:b/>
          <w:bCs/>
          <w:u w:val="single"/>
        </w:rPr>
        <w:t>采购人、采购代理机构</w:t>
      </w:r>
      <w:r>
        <w:rPr>
          <w:rFonts w:hint="eastAsia" w:hAnsi="宋体"/>
          <w:b/>
          <w:bCs/>
          <w:u w:val="single"/>
          <w:lang w:val="en-GB"/>
        </w:rPr>
        <w:t>将有可能不予受理。</w:t>
      </w: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jc w:val="center"/>
        <w:outlineLvl w:val="0"/>
        <w:rPr>
          <w:rFonts w:ascii="黑体" w:hAnsi="仿宋" w:eastAsia="黑体" w:cs="仿宋"/>
          <w:b/>
          <w:sz w:val="32"/>
          <w:szCs w:val="32"/>
          <w:lang w:val="en-GB"/>
        </w:rPr>
      </w:pPr>
      <w:bookmarkStart w:id="314" w:name="_Toc928"/>
      <w:r>
        <w:rPr>
          <w:rFonts w:hint="eastAsia" w:ascii="黑体" w:hAnsi="仿宋" w:eastAsia="黑体" w:cs="仿宋"/>
          <w:b/>
          <w:sz w:val="32"/>
          <w:szCs w:val="32"/>
          <w:lang w:val="en-GB"/>
        </w:rPr>
        <w:t>封袋正面标识式样</w:t>
      </w:r>
      <w:bookmarkEnd w:id="314"/>
    </w:p>
    <w:p>
      <w:pPr>
        <w:spacing w:line="360" w:lineRule="atLeast"/>
        <w:jc w:val="center"/>
        <w:rPr>
          <w:rFonts w:ascii="黑体" w:hAnsi="仿宋" w:eastAsia="黑体" w:cs="仿宋"/>
          <w:b/>
          <w:sz w:val="24"/>
          <w:lang w:val="en-GB"/>
        </w:rPr>
      </w:pPr>
    </w:p>
    <w:p>
      <w:pPr>
        <w:pStyle w:val="21"/>
        <w:adjustRightInd w:val="0"/>
        <w:snapToGrid w:val="0"/>
        <w:spacing w:before="0" w:beforeAutospacing="0" w:after="0" w:afterAutospacing="0" w:line="360" w:lineRule="auto"/>
        <w:ind w:firstLine="481"/>
        <w:jc w:val="both"/>
        <w:rPr>
          <w:b/>
          <w:bCs/>
          <w:color w:val="auto"/>
          <w:kern w:val="2"/>
        </w:rPr>
      </w:pPr>
      <w:r>
        <w:rPr>
          <w:rFonts w:hint="eastAsia"/>
          <w:b/>
          <w:bCs/>
          <w:color w:val="auto"/>
          <w:kern w:val="2"/>
        </w:rPr>
        <w:t>格式A：响应文件封袋正面标识式样</w:t>
      </w:r>
    </w:p>
    <w:p>
      <w:pPr>
        <w:pStyle w:val="21"/>
        <w:adjustRightInd w:val="0"/>
        <w:snapToGrid w:val="0"/>
        <w:spacing w:before="0" w:beforeAutospacing="0" w:after="0" w:afterAutospacing="0" w:line="360" w:lineRule="auto"/>
        <w:ind w:left="479" w:leftChars="228" w:firstLine="65" w:firstLineChars="27"/>
        <w:jc w:val="both"/>
        <w:rPr>
          <w:b/>
          <w:bCs/>
          <w:color w:val="auto"/>
          <w:kern w:val="2"/>
        </w:rPr>
      </w:pPr>
      <w:r>
        <w:rPr>
          <w:rFonts w:hint="eastAsia" w:ascii="仿宋_GB2312" w:hAnsi="仿宋" w:eastAsia="仿宋_GB2312" w:cs="仿宋"/>
          <w:b/>
        </w:rPr>
        <mc:AlternateContent>
          <mc:Choice Requires="wps">
            <w:drawing>
              <wp:inline distT="0" distB="0" distL="0" distR="0">
                <wp:extent cx="5791200" cy="3524885"/>
                <wp:effectExtent l="4445" t="4445" r="14605" b="13970"/>
                <wp:docPr id="1027"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响应文件（正本）</w:t>
                            </w:r>
                          </w:p>
                          <w:p>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pPr>
                              <w:widowControl/>
                              <w:tabs>
                                <w:tab w:val="left" w:pos="6300"/>
                              </w:tabs>
                              <w:snapToGrid w:val="0"/>
                              <w:spacing w:line="360" w:lineRule="auto"/>
                              <w:jc w:val="left"/>
                              <w:rPr>
                                <w:rFonts w:ascii="宋体" w:hAnsi="宋体"/>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2W8ddQAAAAFAQAADwAAAAAAAAABACAAAAAiAAAAZHJz&#10;L2Rvd25yZXYueG1sUEsBAhQAFAAAAAgAh07iQF0K/iwIAgAAMAQAAA4AAAAAAAAAAQAgAAAAIwEA&#10;AGRycy9lMm9Eb2MueG1sUEsFBgAAAAAGAAYAWQEAAJ0FAAAAAA==&#10;">
                <v:fill on="t" focussize="0,0"/>
                <v:stroke color="#000000" joinstyle="miter"/>
                <v:imagedata o:title=""/>
                <o:lock v:ext="edit" aspectratio="f"/>
                <v:textbox>
                  <w:txbxContent>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响应文件（正本）</w:t>
                      </w:r>
                    </w:p>
                    <w:p>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pPr>
                        <w:widowControl/>
                        <w:tabs>
                          <w:tab w:val="left" w:pos="6300"/>
                        </w:tabs>
                        <w:snapToGrid w:val="0"/>
                        <w:spacing w:line="360" w:lineRule="auto"/>
                        <w:jc w:val="left"/>
                        <w:rPr>
                          <w:rFonts w:ascii="宋体" w:hAnsi="宋体"/>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r>
        <w:rPr>
          <w:rFonts w:hint="eastAsia"/>
          <w:b/>
          <w:bCs/>
          <w:color w:val="auto"/>
          <w:kern w:val="2"/>
        </w:rPr>
        <w:t>格式B：响应文件封袋正面标识式样</w:t>
      </w:r>
    </w:p>
    <w:p>
      <w:pPr>
        <w:spacing w:line="360" w:lineRule="auto"/>
        <w:ind w:firstLine="482" w:firstLineChars="200"/>
        <w:rPr>
          <w:rFonts w:ascii="仿宋_GB2312" w:hAnsi="仿宋" w:eastAsia="仿宋_GB2312" w:cs="仿宋"/>
          <w:b/>
          <w:sz w:val="24"/>
        </w:rPr>
      </w:pPr>
      <w:r>
        <w:rPr>
          <w:rFonts w:hint="eastAsia" w:ascii="仿宋_GB2312" w:hAnsi="仿宋" w:eastAsia="仿宋_GB2312" w:cs="仿宋"/>
          <w:b/>
          <w:sz w:val="24"/>
        </w:rPr>
        <mc:AlternateContent>
          <mc:Choice Requires="wps">
            <w:drawing>
              <wp:inline distT="0" distB="0" distL="0" distR="0">
                <wp:extent cx="5791200" cy="3524885"/>
                <wp:effectExtent l="4445" t="4445" r="14605" b="13970"/>
                <wp:docPr id="1"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响应文件（副本）</w:t>
                            </w:r>
                          </w:p>
                          <w:p>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pPr>
                              <w:widowControl/>
                              <w:tabs>
                                <w:tab w:val="left" w:pos="6300"/>
                              </w:tabs>
                              <w:snapToGrid w:val="0"/>
                              <w:spacing w:line="360" w:lineRule="auto"/>
                              <w:jc w:val="left"/>
                              <w:rPr>
                                <w:rFonts w:ascii="宋体" w:hAnsi="宋体"/>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CDZrzgQCAAAtBAAADgAAAAAAAAABACAAAAAjAQAAZHJz&#10;L2Uyb0RvYy54bWxQSwUGAAAAAAYABgBZAQAAmQUAAAAA&#10;">
                <v:fill on="t" focussize="0,0"/>
                <v:stroke color="#000000" joinstyle="miter"/>
                <v:imagedata o:title=""/>
                <o:lock v:ext="edit" aspectratio="f"/>
                <v:textbox>
                  <w:txbxContent>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响应文件（副本）</w:t>
                      </w:r>
                    </w:p>
                    <w:p>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pPr>
                        <w:widowControl/>
                        <w:tabs>
                          <w:tab w:val="left" w:pos="6300"/>
                        </w:tabs>
                        <w:snapToGrid w:val="0"/>
                        <w:spacing w:line="360" w:lineRule="auto"/>
                        <w:jc w:val="left"/>
                        <w:rPr>
                          <w:rFonts w:ascii="宋体" w:hAnsi="宋体"/>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21"/>
        <w:adjustRightInd w:val="0"/>
        <w:snapToGrid w:val="0"/>
        <w:spacing w:before="0" w:beforeAutospacing="0" w:after="0" w:afterAutospacing="0" w:line="360" w:lineRule="auto"/>
        <w:ind w:firstLine="481"/>
        <w:jc w:val="both"/>
        <w:rPr>
          <w:b/>
          <w:bCs/>
          <w:color w:val="auto"/>
          <w:kern w:val="2"/>
        </w:rPr>
      </w:pPr>
    </w:p>
    <w:p>
      <w:pPr>
        <w:pStyle w:val="21"/>
        <w:adjustRightInd w:val="0"/>
        <w:snapToGrid w:val="0"/>
        <w:spacing w:before="0" w:beforeAutospacing="0" w:after="0" w:afterAutospacing="0" w:line="360" w:lineRule="auto"/>
        <w:ind w:firstLine="481"/>
        <w:jc w:val="both"/>
        <w:rPr>
          <w:b/>
          <w:bCs/>
          <w:color w:val="auto"/>
          <w:kern w:val="2"/>
        </w:rPr>
      </w:pPr>
    </w:p>
    <w:p>
      <w:pPr>
        <w:pStyle w:val="21"/>
        <w:adjustRightInd w:val="0"/>
        <w:snapToGrid w:val="0"/>
        <w:spacing w:before="0" w:beforeAutospacing="0" w:after="0" w:afterAutospacing="0" w:line="360" w:lineRule="auto"/>
        <w:ind w:firstLine="481"/>
        <w:jc w:val="both"/>
        <w:rPr>
          <w:b/>
          <w:bCs/>
          <w:color w:val="auto"/>
          <w:kern w:val="2"/>
        </w:rPr>
      </w:pPr>
      <w:r>
        <w:rPr>
          <w:rFonts w:hint="eastAsia"/>
          <w:b/>
          <w:bCs/>
          <w:color w:val="auto"/>
          <w:kern w:val="2"/>
        </w:rPr>
        <w:t>格式C：响应文件封袋正面标识式样</w:t>
      </w:r>
    </w:p>
    <w:p>
      <w:pPr>
        <w:spacing w:line="360" w:lineRule="auto"/>
        <w:ind w:firstLine="482" w:firstLineChars="200"/>
        <w:rPr>
          <w:rFonts w:ascii="仿宋_GB2312" w:hAnsi="仿宋" w:eastAsia="仿宋_GB2312" w:cs="仿宋"/>
          <w:b/>
          <w:sz w:val="24"/>
        </w:rPr>
      </w:pPr>
      <w:r>
        <w:rPr>
          <w:rFonts w:hint="eastAsia" w:ascii="仿宋_GB2312" w:hAnsi="仿宋" w:eastAsia="仿宋_GB2312" w:cs="仿宋"/>
          <w:b/>
          <w:sz w:val="24"/>
        </w:rPr>
        <mc:AlternateContent>
          <mc:Choice Requires="wps">
            <w:drawing>
              <wp:inline distT="0" distB="0" distL="0" distR="0">
                <wp:extent cx="5791200" cy="3524885"/>
                <wp:effectExtent l="4445" t="4445" r="14605" b="13970"/>
                <wp:docPr id="2"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pPr>
                            <w:r>
                              <w:rPr>
                                <w:rFonts w:hint="eastAsia" w:ascii="宋体" w:hAnsi="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响应文件（电子版本）</w:t>
                            </w:r>
                          </w:p>
                          <w:p>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pPr>
                              <w:widowControl/>
                              <w:tabs>
                                <w:tab w:val="left" w:pos="6300"/>
                              </w:tabs>
                              <w:snapToGrid w:val="0"/>
                              <w:spacing w:line="360" w:lineRule="auto"/>
                              <w:jc w:val="left"/>
                              <w:rPr>
                                <w:rFonts w:ascii="宋体" w:hAnsi="宋体"/>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6rBmAQCAAAtBAAADgAAAAAAAAABACAAAAAjAQAAZHJz&#10;L2Uyb0RvYy54bWxQSwUGAAAAAAYABgBZAQAAmQUAAAAA&#10;">
                <v:fill on="t" focussize="0,0"/>
                <v:stroke color="#000000" joinstyle="miter"/>
                <v:imagedata o:title=""/>
                <o:lock v:ext="edit" aspectratio="f"/>
                <v:textbox>
                  <w:txbxContent>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pPr>
                      <w:r>
                        <w:rPr>
                          <w:rFonts w:hint="eastAsia" w:ascii="宋体" w:hAnsi="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响应文件（电子版本）</w:t>
                      </w:r>
                    </w:p>
                    <w:p>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pPr>
                        <w:widowControl/>
                        <w:tabs>
                          <w:tab w:val="left" w:pos="6300"/>
                        </w:tabs>
                        <w:snapToGrid w:val="0"/>
                        <w:spacing w:line="360" w:lineRule="auto"/>
                        <w:jc w:val="left"/>
                        <w:rPr>
                          <w:rFonts w:ascii="宋体" w:hAnsi="宋体"/>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21"/>
        <w:adjustRightInd w:val="0"/>
        <w:snapToGrid w:val="0"/>
        <w:spacing w:before="0" w:beforeAutospacing="0" w:after="0" w:afterAutospacing="0" w:line="360" w:lineRule="auto"/>
        <w:ind w:left="479" w:leftChars="228" w:firstLine="65" w:firstLineChars="27"/>
        <w:jc w:val="both"/>
        <w:rPr>
          <w:b/>
          <w:bCs/>
          <w:color w:val="auto"/>
          <w:kern w:val="2"/>
        </w:rPr>
      </w:pPr>
      <w:bookmarkStart w:id="315" w:name="_Toc30521"/>
      <w:r>
        <w:rPr>
          <w:rFonts w:hint="eastAsia"/>
          <w:b/>
          <w:bCs/>
          <w:color w:val="auto"/>
          <w:kern w:val="2"/>
        </w:rPr>
        <w:t>格式D：首次报价一览表封袋正面标识式样</w:t>
      </w:r>
      <w:bookmarkEnd w:id="315"/>
    </w:p>
    <w:p>
      <w:pPr>
        <w:spacing w:line="360" w:lineRule="auto"/>
        <w:ind w:firstLine="482" w:firstLineChars="200"/>
        <w:rPr>
          <w:rFonts w:ascii="仿宋_GB2312" w:hAnsi="仿宋" w:eastAsia="仿宋_GB2312" w:cs="仿宋"/>
          <w:b/>
          <w:sz w:val="24"/>
        </w:rPr>
      </w:pPr>
      <w:r>
        <w:rPr>
          <w:rFonts w:hint="eastAsia" w:ascii="仿宋_GB2312" w:hAnsi="仿宋" w:eastAsia="仿宋_GB2312" w:cs="仿宋"/>
          <w:b/>
          <w:sz w:val="24"/>
        </w:rPr>
        <mc:AlternateContent>
          <mc:Choice Requires="wps">
            <w:drawing>
              <wp:inline distT="0" distB="0" distL="0" distR="0">
                <wp:extent cx="5791200" cy="3541395"/>
                <wp:effectExtent l="4445" t="4445" r="14605" b="16510"/>
                <wp:docPr id="1028" name="文本框 3"/>
                <wp:cNvGraphicFramePr/>
                <a:graphic xmlns:a="http://schemas.openxmlformats.org/drawingml/2006/main">
                  <a:graphicData uri="http://schemas.microsoft.com/office/word/2010/wordprocessingShape">
                    <wps:wsp>
                      <wps:cNvSpPr/>
                      <wps:spPr>
                        <a:xfrm>
                          <a:off x="0" y="0"/>
                          <a:ext cx="5791200" cy="3541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宋体" w:hAnsi="宋体"/>
                                <w:sz w:val="28"/>
                                <w:szCs w:val="28"/>
                              </w:rPr>
                            </w:pPr>
                            <w:r>
                              <w:rPr>
                                <w:rFonts w:hint="eastAsia" w:ascii="仿宋_GB2312" w:hAnsi="宋体" w:eastAsia="仿宋_GB2312"/>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pPr>
                              <w:widowControl/>
                              <w:tabs>
                                <w:tab w:val="left" w:pos="6300"/>
                              </w:tabs>
                              <w:snapToGrid w:val="0"/>
                              <w:spacing w:line="360" w:lineRule="auto"/>
                              <w:jc w:val="left"/>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首次报价一览表</w:t>
                            </w:r>
                          </w:p>
                          <w:p>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pPr>
                              <w:rPr>
                                <w:rFonts w:ascii="仿宋" w:hAnsi="仿宋" w:eastAsia="仿宋" w:cs="仿宋"/>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txbxContent>
                      </wps:txbx>
                      <wps:bodyPr upright="1"/>
                    </wps:wsp>
                  </a:graphicData>
                </a:graphic>
              </wp:inline>
            </w:drawing>
          </mc:Choice>
          <mc:Fallback>
            <w:pict>
              <v:rect id="文本框 3" o:spid="_x0000_s1026" o:spt="1" style="height:278.85pt;width:456pt;" fillcolor="#FFFFFF" filled="t" stroked="t" coordsize="21600,21600" o:gfxdata="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GK4i1AAAAAUBAAAPAAAAAAAAAAEAIAAAACIAAABkcnMv&#10;ZG93bnJldi54bWxQSwECFAAUAAAACACHTuJABeLR1QcCAAAwBAAADgAAAAAAAAABACAAAAAjAQAA&#10;ZHJzL2Uyb0RvYy54bWxQSwUGAAAAAAYABgBZAQAAnAUAAAAA&#10;">
                <v:fill on="t" focussize="0,0"/>
                <v:stroke color="#000000" joinstyle="miter"/>
                <v:imagedata o:title=""/>
                <o:lock v:ext="edit" aspectratio="f"/>
                <v:textbox>
                  <w:txbxContent>
                    <w:p>
                      <w:pPr>
                        <w:widowControl/>
                        <w:tabs>
                          <w:tab w:val="left" w:pos="6300"/>
                        </w:tabs>
                        <w:snapToGrid w:val="0"/>
                        <w:spacing w:line="360" w:lineRule="auto"/>
                        <w:jc w:val="left"/>
                        <w:rPr>
                          <w:rFonts w:ascii="宋体" w:hAnsi="宋体"/>
                          <w:sz w:val="28"/>
                          <w:szCs w:val="28"/>
                        </w:rPr>
                      </w:pPr>
                      <w:r>
                        <w:rPr>
                          <w:rFonts w:hint="eastAsia" w:ascii="仿宋_GB2312" w:hAnsi="宋体" w:eastAsia="仿宋_GB2312"/>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pPr>
                        <w:widowControl/>
                        <w:tabs>
                          <w:tab w:val="left" w:pos="6300"/>
                        </w:tabs>
                        <w:snapToGrid w:val="0"/>
                        <w:spacing w:line="360" w:lineRule="auto"/>
                        <w:jc w:val="left"/>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首次报价一览表</w:t>
                      </w:r>
                    </w:p>
                    <w:p>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pPr>
                        <w:rPr>
                          <w:rFonts w:ascii="仿宋" w:hAnsi="仿宋" w:eastAsia="仿宋" w:cs="仿宋"/>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txbxContent>
                </v:textbox>
                <w10:wrap type="none"/>
                <w10:anchorlock/>
              </v:rect>
            </w:pict>
          </mc:Fallback>
        </mc:AlternateContent>
      </w:r>
    </w:p>
    <w:p>
      <w:pPr>
        <w:spacing w:line="360" w:lineRule="auto"/>
        <w:ind w:firstLine="482" w:firstLineChars="200"/>
        <w:rPr>
          <w:rFonts w:ascii="仿宋_GB2312" w:hAnsi="仿宋" w:eastAsia="仿宋_GB2312" w:cs="仿宋"/>
          <w:b/>
          <w:sz w:val="24"/>
        </w:rPr>
      </w:pPr>
    </w:p>
    <w:p>
      <w:pPr>
        <w:pStyle w:val="21"/>
        <w:adjustRightInd w:val="0"/>
        <w:snapToGrid w:val="0"/>
        <w:spacing w:before="0" w:beforeAutospacing="0" w:after="0" w:afterAutospacing="0" w:line="360" w:lineRule="auto"/>
        <w:ind w:left="479" w:leftChars="228" w:firstLine="65" w:firstLineChars="27"/>
        <w:jc w:val="both"/>
        <w:rPr>
          <w:b/>
          <w:bCs/>
          <w:color w:val="auto"/>
          <w:kern w:val="2"/>
        </w:rPr>
      </w:pPr>
      <w:bookmarkStart w:id="316" w:name="_Toc7421"/>
    </w:p>
    <w:p>
      <w:pPr>
        <w:pStyle w:val="21"/>
        <w:adjustRightInd w:val="0"/>
        <w:snapToGrid w:val="0"/>
        <w:spacing w:before="0" w:beforeAutospacing="0" w:after="0" w:afterAutospacing="0" w:line="360" w:lineRule="auto"/>
        <w:ind w:left="479" w:leftChars="228" w:firstLine="65" w:firstLineChars="27"/>
        <w:jc w:val="both"/>
        <w:rPr>
          <w:b/>
          <w:bCs/>
          <w:color w:val="auto"/>
          <w:kern w:val="2"/>
        </w:rPr>
      </w:pPr>
    </w:p>
    <w:p>
      <w:pPr>
        <w:pStyle w:val="21"/>
        <w:adjustRightInd w:val="0"/>
        <w:snapToGrid w:val="0"/>
        <w:spacing w:before="0" w:beforeAutospacing="0" w:after="0" w:afterAutospacing="0" w:line="360" w:lineRule="auto"/>
        <w:ind w:left="479" w:leftChars="228" w:firstLine="65" w:firstLineChars="27"/>
        <w:jc w:val="both"/>
        <w:rPr>
          <w:b/>
          <w:bCs/>
          <w:color w:val="auto"/>
          <w:kern w:val="2"/>
        </w:rPr>
      </w:pPr>
    </w:p>
    <w:p>
      <w:pPr>
        <w:pStyle w:val="21"/>
        <w:adjustRightInd w:val="0"/>
        <w:snapToGrid w:val="0"/>
        <w:spacing w:before="0" w:beforeAutospacing="0" w:after="0" w:afterAutospacing="0" w:line="360" w:lineRule="auto"/>
        <w:ind w:left="479" w:leftChars="228" w:firstLine="65" w:firstLineChars="27"/>
        <w:jc w:val="both"/>
        <w:rPr>
          <w:b/>
          <w:bCs/>
          <w:color w:val="auto"/>
          <w:kern w:val="2"/>
        </w:rPr>
      </w:pPr>
      <w:r>
        <w:rPr>
          <w:rFonts w:hint="eastAsia"/>
          <w:b/>
          <w:bCs/>
          <w:color w:val="auto"/>
          <w:kern w:val="2"/>
        </w:rPr>
        <w:t>格式E：资格证明文件证明材料原件文件封袋正面标识式样</w:t>
      </w:r>
      <w:bookmarkEnd w:id="316"/>
    </w:p>
    <w:p>
      <w:pPr>
        <w:spacing w:line="360" w:lineRule="auto"/>
        <w:ind w:firstLine="482" w:firstLineChars="200"/>
        <w:rPr>
          <w:rFonts w:ascii="仿宋_GB2312" w:hAnsi="仿宋" w:eastAsia="仿宋_GB2312" w:cs="仿宋"/>
          <w:b/>
          <w:sz w:val="24"/>
        </w:rPr>
      </w:pPr>
      <w:r>
        <w:rPr>
          <w:rFonts w:hint="eastAsia" w:ascii="仿宋_GB2312" w:hAnsi="仿宋" w:eastAsia="仿宋_GB2312" w:cs="仿宋"/>
          <w:b/>
          <w:sz w:val="24"/>
        </w:rPr>
        <mc:AlternateContent>
          <mc:Choice Requires="wps">
            <w:drawing>
              <wp:inline distT="0" distB="0" distL="0" distR="0">
                <wp:extent cx="5791200" cy="3524885"/>
                <wp:effectExtent l="4445" t="4445" r="14605" b="13970"/>
                <wp:docPr id="1029" name="文本框 5"/>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资格证明文件证明材料原件</w:t>
                            </w: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5"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&#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Zbx11AAAAAUBAAAPAAAAAAAAAAEAIAAAACIAAABk&#10;cnMvZG93bnJldi54bWxQSwECFAAUAAAACACHTuJAlZGQQQoCAAAwBAAADgAAAAAAAAABACAAAAAj&#10;AQAAZHJzL2Uyb0RvYy54bWxQSwUGAAAAAAYABgBZAQAAnwUAAAAA&#10;">
                <v:fill on="t" focussize="0,0"/>
                <v:stroke color="#000000" joinstyle="miter"/>
                <v:imagedata o:title=""/>
                <o:lock v:ext="edit" aspectratio="f"/>
                <v:textbox>
                  <w:txbxContent>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资格证明文件证明材料原件</w:t>
                      </w: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ascii="仿宋_GB2312" w:hAnsi="宋体" w:eastAsia="仿宋_GB2312"/>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21"/>
        <w:adjustRightInd w:val="0"/>
        <w:snapToGrid w:val="0"/>
        <w:spacing w:before="0" w:beforeAutospacing="0" w:after="0" w:afterAutospacing="0" w:line="360" w:lineRule="auto"/>
        <w:ind w:left="479" w:leftChars="228" w:firstLine="65" w:firstLineChars="27"/>
        <w:jc w:val="both"/>
        <w:rPr>
          <w:b/>
          <w:bCs/>
          <w:color w:val="auto"/>
          <w:kern w:val="2"/>
        </w:rPr>
      </w:pPr>
      <w:bookmarkStart w:id="317" w:name="_Toc1342"/>
      <w:r>
        <w:rPr>
          <w:rFonts w:hint="eastAsia"/>
          <w:b/>
          <w:bCs/>
          <w:color w:val="auto"/>
          <w:kern w:val="2"/>
        </w:rPr>
        <w:t>格式F：评审证明材料文件封袋正面标识式样</w:t>
      </w:r>
      <w:bookmarkEnd w:id="317"/>
    </w:p>
    <w:p>
      <w:pPr>
        <w:spacing w:line="360" w:lineRule="auto"/>
        <w:ind w:firstLine="482" w:firstLineChars="200"/>
        <w:rPr>
          <w:rFonts w:ascii="仿宋_GB2312" w:hAnsi="仿宋" w:eastAsia="仿宋_GB2312" w:cs="仿宋"/>
          <w:b/>
          <w:sz w:val="24"/>
        </w:rPr>
        <w:sectPr>
          <w:pgSz w:w="11906" w:h="16838"/>
          <w:pgMar w:top="1440" w:right="1080" w:bottom="1440" w:left="1080" w:header="851" w:footer="992" w:gutter="0"/>
          <w:cols w:space="425" w:num="1"/>
          <w:docGrid w:type="lines" w:linePitch="312" w:charSpace="0"/>
        </w:sectPr>
      </w:pPr>
      <w:r>
        <w:rPr>
          <w:rFonts w:hint="eastAsia" w:ascii="仿宋_GB2312" w:hAnsi="仿宋" w:eastAsia="仿宋_GB2312" w:cs="仿宋"/>
          <w:b/>
          <w:sz w:val="24"/>
        </w:rPr>
        <mc:AlternateContent>
          <mc:Choice Requires="wps">
            <w:drawing>
              <wp:inline distT="0" distB="0" distL="0" distR="0">
                <wp:extent cx="5791200" cy="3532505"/>
                <wp:effectExtent l="4445" t="4445" r="14605" b="6350"/>
                <wp:docPr id="1030" name="文本框 6"/>
                <wp:cNvGraphicFramePr/>
                <a:graphic xmlns:a="http://schemas.openxmlformats.org/drawingml/2006/main">
                  <a:graphicData uri="http://schemas.microsoft.com/office/word/2010/wordprocessingShape">
                    <wps:wsp>
                      <wps:cNvSpPr/>
                      <wps:spPr>
                        <a:xfrm>
                          <a:off x="0" y="0"/>
                          <a:ext cx="5791200" cy="3532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pPr>
                              <w:widowControl/>
                              <w:tabs>
                                <w:tab w:val="left" w:pos="6300"/>
                              </w:tabs>
                              <w:snapToGrid w:val="0"/>
                              <w:spacing w:line="360" w:lineRule="auto"/>
                              <w:jc w:val="left"/>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评审证明材料</w:t>
                            </w:r>
                          </w:p>
                          <w:p>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pPr>
                              <w:widowControl/>
                              <w:tabs>
                                <w:tab w:val="left" w:pos="6300"/>
                              </w:tabs>
                              <w:snapToGrid w:val="0"/>
                              <w:spacing w:line="360" w:lineRule="auto"/>
                              <w:jc w:val="left"/>
                              <w:rPr>
                                <w:rFonts w:ascii="宋体" w:hAnsi="宋体"/>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pPr>
                              <w:rPr>
                                <w:sz w:val="28"/>
                                <w:szCs w:val="28"/>
                              </w:rPr>
                            </w:pPr>
                            <w:r>
                              <w:rPr>
                                <w:rFonts w:hint="eastAsia"/>
                                <w:sz w:val="28"/>
                                <w:szCs w:val="28"/>
                              </w:rPr>
                              <w:t xml:space="preserve">                                </w:t>
                            </w:r>
                          </w:p>
                        </w:txbxContent>
                      </wps:txbx>
                      <wps:bodyPr upright="1"/>
                    </wps:wsp>
                  </a:graphicData>
                </a:graphic>
              </wp:inline>
            </w:drawing>
          </mc:Choice>
          <mc:Fallback>
            <w:pict>
              <v:rect id="文本框 6" o:spid="_x0000_s1026" o:spt="1" style="height:278.15pt;width:456pt;" fillcolor="#FFFFFF" filled="t" stroked="t" coordsize="21600,21600" o:gfxdata="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LqGu1AAAAAUBAAAPAAAAAAAAAAEAIAAAACIAAABkcnMv&#10;ZG93bnJldi54bWxQSwECFAAUAAAACACHTuJAtW+RIQcCAAAwBAAADgAAAAAAAAABACAAAAAjAQAA&#10;ZHJzL2Uyb0RvYy54bWxQSwUGAAAAAAYABgBZAQAAnAUAAAAA&#10;">
                <v:fill on="t" focussize="0,0"/>
                <v:stroke color="#000000" joinstyle="miter"/>
                <v:imagedata o:title=""/>
                <o:lock v:ext="edit" aspectratio="f"/>
                <v:textbox>
                  <w:txbxContent>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 xml:space="preserve">项目编号：                                        </w:t>
                      </w: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项目名称：</w:t>
                      </w:r>
                    </w:p>
                    <w:p>
                      <w:pPr>
                        <w:widowControl/>
                        <w:tabs>
                          <w:tab w:val="left" w:pos="6300"/>
                        </w:tabs>
                        <w:snapToGrid w:val="0"/>
                        <w:spacing w:line="360" w:lineRule="auto"/>
                        <w:jc w:val="left"/>
                      </w:pPr>
                    </w:p>
                    <w:p>
                      <w:pPr>
                        <w:rPr>
                          <w:rFonts w:ascii="仿宋" w:hAnsi="仿宋" w:eastAsia="仿宋" w:cs="仿宋"/>
                          <w:color w:val="FF0000"/>
                          <w:sz w:val="28"/>
                          <w:szCs w:val="28"/>
                        </w:rPr>
                      </w:pPr>
                      <w:r>
                        <w:rPr>
                          <w:rFonts w:hint="eastAsia" w:ascii="仿宋" w:hAnsi="仿宋" w:eastAsia="仿宋" w:cs="仿宋"/>
                          <w:sz w:val="28"/>
                          <w:szCs w:val="28"/>
                        </w:rPr>
                        <w:t xml:space="preserve">                          </w:t>
                      </w:r>
                    </w:p>
                    <w:p>
                      <w:pPr>
                        <w:jc w:val="center"/>
                        <w:rPr>
                          <w:rFonts w:ascii="黑体" w:hAnsi="黑体" w:eastAsia="黑体" w:cs="黑体"/>
                          <w:b/>
                          <w:sz w:val="40"/>
                          <w:szCs w:val="40"/>
                        </w:rPr>
                      </w:pPr>
                      <w:r>
                        <w:rPr>
                          <w:rFonts w:hint="eastAsia" w:ascii="黑体" w:hAnsi="黑体" w:eastAsia="黑体" w:cs="黑体"/>
                          <w:b/>
                          <w:sz w:val="40"/>
                          <w:szCs w:val="40"/>
                        </w:rPr>
                        <w:t>评审证明材料</w:t>
                      </w:r>
                    </w:p>
                    <w:p>
                      <w:pPr>
                        <w:widowControl/>
                        <w:tabs>
                          <w:tab w:val="left" w:pos="6300"/>
                        </w:tabs>
                        <w:snapToGrid w:val="0"/>
                        <w:spacing w:line="360" w:lineRule="auto"/>
                        <w:jc w:val="center"/>
                        <w:rPr>
                          <w:rFonts w:ascii="宋体" w:hAnsi="宋体"/>
                          <w:sz w:val="28"/>
                          <w:szCs w:val="28"/>
                        </w:rPr>
                      </w:pPr>
                      <w:r>
                        <w:rPr>
                          <w:rFonts w:hint="eastAsia" w:ascii="宋体" w:hAnsi="宋体"/>
                          <w:sz w:val="28"/>
                          <w:szCs w:val="28"/>
                        </w:rPr>
                        <w:t>（非磋商会议不得启封）</w:t>
                      </w:r>
                    </w:p>
                    <w:p>
                      <w:pPr>
                        <w:widowControl/>
                        <w:tabs>
                          <w:tab w:val="left" w:pos="6300"/>
                        </w:tabs>
                        <w:snapToGrid w:val="0"/>
                        <w:spacing w:line="360" w:lineRule="auto"/>
                        <w:jc w:val="left"/>
                        <w:rPr>
                          <w:rFonts w:ascii="宋体" w:hAnsi="宋体"/>
                          <w:sz w:val="28"/>
                          <w:szCs w:val="28"/>
                        </w:rPr>
                      </w:pPr>
                    </w:p>
                    <w:p>
                      <w:pPr>
                        <w:widowControl/>
                        <w:tabs>
                          <w:tab w:val="left" w:pos="6300"/>
                        </w:tabs>
                        <w:snapToGrid w:val="0"/>
                        <w:spacing w:line="360" w:lineRule="auto"/>
                        <w:jc w:val="left"/>
                        <w:rPr>
                          <w:rFonts w:ascii="宋体" w:hAnsi="宋体"/>
                          <w:sz w:val="28"/>
                          <w:szCs w:val="28"/>
                        </w:rPr>
                      </w:pPr>
                      <w:r>
                        <w:rPr>
                          <w:rFonts w:hint="eastAsia" w:ascii="宋体" w:hAnsi="宋体"/>
                          <w:sz w:val="28"/>
                          <w:szCs w:val="28"/>
                        </w:rPr>
                        <w:t>供应商名称：       （公章）</w:t>
                      </w:r>
                    </w:p>
                    <w:p>
                      <w:pPr>
                        <w:rPr>
                          <w:sz w:val="28"/>
                          <w:szCs w:val="28"/>
                        </w:rPr>
                      </w:pPr>
                      <w:r>
                        <w:rPr>
                          <w:rFonts w:hint="eastAsia"/>
                          <w:sz w:val="28"/>
                          <w:szCs w:val="28"/>
                        </w:rPr>
                        <w:t xml:space="preserve">                                </w:t>
                      </w:r>
                    </w:p>
                  </w:txbxContent>
                </v:textbox>
                <w10:wrap type="none"/>
                <w10:anchorlock/>
              </v:rect>
            </w:pict>
          </mc:Fallback>
        </mc:AlternateContent>
      </w:r>
    </w:p>
    <w:p>
      <w:pPr>
        <w:pStyle w:val="9"/>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rPr>
        <w:rFonts w:ascii="黑体" w:hAnsi="黑体" w:eastAsia="黑体" w:cs="黑体"/>
      </w:rPr>
    </w:pPr>
    <w:r>
      <mc:AlternateContent>
        <mc:Choice Requires="wps">
          <w:drawing>
            <wp:anchor distT="0" distB="0" distL="114300" distR="114300" simplePos="0" relativeHeight="251660288" behindDoc="0" locked="0" layoutInCell="1" allowOverlap="1">
              <wp:simplePos x="0" y="0"/>
              <wp:positionH relativeFrom="margin">
                <wp:posOffset>2515235</wp:posOffset>
              </wp:positionH>
              <wp:positionV relativeFrom="paragraph">
                <wp:posOffset>0</wp:posOffset>
              </wp:positionV>
              <wp:extent cx="1118235" cy="2965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18235" cy="296545"/>
                      </a:xfrm>
                      <a:prstGeom prst="rect">
                        <a:avLst/>
                      </a:prstGeom>
                      <a:noFill/>
                      <a:ln w="952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89</w:t>
                          </w:r>
                          <w:r>
                            <w:rPr>
                              <w:rFonts w:hint="eastAsia"/>
                              <w:sz w:val="18"/>
                            </w:rPr>
                            <w:fldChar w:fldCharType="end"/>
                          </w:r>
                          <w:r>
                            <w:rPr>
                              <w:rFonts w:hint="eastAsia"/>
                              <w:sz w:val="18"/>
                            </w:rPr>
                            <w:t xml:space="preserve"> 页</w:t>
                          </w:r>
                        </w:p>
                      </w:txbxContent>
                    </wps:txbx>
                    <wps:bodyPr lIns="0" tIns="0" rIns="0" bIns="0"/>
                  </wps:wsp>
                </a:graphicData>
              </a:graphic>
            </wp:anchor>
          </w:drawing>
        </mc:Choice>
        <mc:Fallback>
          <w:pict>
            <v:shape id="_x0000_s1026" o:spid="_x0000_s1026" o:spt="202" type="#_x0000_t202" style="position:absolute;left:0pt;margin-left:198.05pt;margin-top:0pt;height:23.35pt;width:88.05pt;mso-position-horizontal-relative:margin;z-index:251660288;mso-width-relative:page;mso-height-relative:page;" filled="f" stroked="f" coordsize="21600,21600" o:gfxdata="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5NWcNcAAAAHAQAADwAAAAAAAAABACAAAAAiAAAAZHJzL2Rvd25yZXYueG1sUEsB&#10;AhQAFAAAAAgAh07iQLH6e0e9AQAAbwMAAA4AAAAAAAAAAQAgAAAAJgEAAGRycy9lMm9Eb2MueG1s&#10;UEsFBgAAAAAGAAYAWQEAAFU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89</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rPr>
      <w:t>陕西德勤招标有限公司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rPr>
        <w:rFonts w:ascii="黑体" w:hAnsi="黑体" w:eastAsia="黑体" w:cs="黑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95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5045" cy="1828800"/>
                      </a:xfrm>
                      <a:prstGeom prst="rect">
                        <a:avLst/>
                      </a:prstGeom>
                      <a:noFill/>
                      <a:ln w="952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89</w:t>
                          </w:r>
                          <w:r>
                            <w:rPr>
                              <w:rFonts w:hint="eastAsia"/>
                              <w:sz w:val="18"/>
                            </w:rPr>
                            <w:fldChar w:fldCharType="end"/>
                          </w:r>
                          <w:r>
                            <w:rPr>
                              <w:rFonts w:hint="eastAsia"/>
                              <w:sz w:val="18"/>
                            </w:rPr>
                            <w:t xml:space="preserve"> 页</w:t>
                          </w:r>
                        </w:p>
                      </w:txbxContent>
                    </wps:txbx>
                    <wps:bodyPr lIns="0" tIns="0" rIns="0" bIns="0">
                      <a:spAutoFit/>
                    </wps:bodyPr>
                  </wps:wsp>
                </a:graphicData>
              </a:graphic>
            </wp:anchor>
          </w:drawing>
        </mc:Choice>
        <mc:Fallback>
          <w:pict>
            <v:shape id="_x0000_s1026" o:spid="_x0000_s1026" o:spt="202" type="#_x0000_t202" style="position:absolute;left:0pt;margin-top:0pt;height:144pt;width:78.35pt;mso-position-horizontal:center;mso-position-horizontal-relative:margin;z-index:251661312;mso-width-relative:page;mso-height-relative:page;" filled="f" stroked="f" coordsize="21600,21600" o:gfxdata="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t5gyzTAAAABQEAAA8AAAAAAAAAAQAgAAAAIgAAAGRycy9kb3ducmV2&#10;LnhtbFBLAQIUABQAAAAIAIdO4kDOPPJ2yAEAAIkDAAAOAAAAAAAAAAEAIAAAACI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89</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jc w:val="left"/>
      <w:rPr>
        <w:rFonts w:ascii="黑体" w:hAnsi="黑体" w:eastAsia="黑体" w:cs="黑体"/>
      </w:rPr>
    </w:pPr>
    <w:r>
      <w:rPr>
        <w:rFonts w:hint="eastAsia" w:ascii="黑体" w:hAnsi="黑体" w:eastAsia="黑体" w:cs="黑体"/>
      </w:rPr>
      <w:t>陕西省驾驶员培训监管服务平台维护项目竞争性磋商文件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AyMjBkZmY2MzliZGExMTQ0MGFlZjFkYzM1ZmMifQ=="/>
  </w:docVars>
  <w:rsids>
    <w:rsidRoot w:val="30093AD5"/>
    <w:rsid w:val="00057EA7"/>
    <w:rsid w:val="00241015"/>
    <w:rsid w:val="00291F91"/>
    <w:rsid w:val="0030567A"/>
    <w:rsid w:val="003811C5"/>
    <w:rsid w:val="003E5269"/>
    <w:rsid w:val="004563D9"/>
    <w:rsid w:val="004F7060"/>
    <w:rsid w:val="0059775E"/>
    <w:rsid w:val="0060727A"/>
    <w:rsid w:val="00633117"/>
    <w:rsid w:val="00666702"/>
    <w:rsid w:val="006B2EA8"/>
    <w:rsid w:val="00767E06"/>
    <w:rsid w:val="008C5D3B"/>
    <w:rsid w:val="00AB5BD3"/>
    <w:rsid w:val="00B57421"/>
    <w:rsid w:val="00B9443D"/>
    <w:rsid w:val="00C44D14"/>
    <w:rsid w:val="00CA5890"/>
    <w:rsid w:val="00E2501F"/>
    <w:rsid w:val="00F161B4"/>
    <w:rsid w:val="00FF3930"/>
    <w:rsid w:val="01392227"/>
    <w:rsid w:val="01E36F83"/>
    <w:rsid w:val="024C78F9"/>
    <w:rsid w:val="028445EC"/>
    <w:rsid w:val="03534455"/>
    <w:rsid w:val="0375430C"/>
    <w:rsid w:val="03CE3EC1"/>
    <w:rsid w:val="03EE0A1C"/>
    <w:rsid w:val="04FE3099"/>
    <w:rsid w:val="064B1F79"/>
    <w:rsid w:val="06861187"/>
    <w:rsid w:val="068D5C4C"/>
    <w:rsid w:val="071977CA"/>
    <w:rsid w:val="07743DDC"/>
    <w:rsid w:val="07BD6910"/>
    <w:rsid w:val="08285411"/>
    <w:rsid w:val="0836075C"/>
    <w:rsid w:val="08BB5F07"/>
    <w:rsid w:val="09660AAA"/>
    <w:rsid w:val="09AB18D7"/>
    <w:rsid w:val="09CE4698"/>
    <w:rsid w:val="0A3B3B14"/>
    <w:rsid w:val="0C3342E6"/>
    <w:rsid w:val="0C8C4370"/>
    <w:rsid w:val="0CA4781F"/>
    <w:rsid w:val="0D5B0563"/>
    <w:rsid w:val="0DCA06C4"/>
    <w:rsid w:val="0DEA2616"/>
    <w:rsid w:val="0E2D6EE3"/>
    <w:rsid w:val="0E5B539D"/>
    <w:rsid w:val="0EA35FE3"/>
    <w:rsid w:val="0F272618"/>
    <w:rsid w:val="0F8C6A7D"/>
    <w:rsid w:val="0F9D3A55"/>
    <w:rsid w:val="0FA15454"/>
    <w:rsid w:val="0FE87B2E"/>
    <w:rsid w:val="100F64D3"/>
    <w:rsid w:val="114466C8"/>
    <w:rsid w:val="119E5C63"/>
    <w:rsid w:val="11A445D7"/>
    <w:rsid w:val="11E76F04"/>
    <w:rsid w:val="127021BC"/>
    <w:rsid w:val="12FE6DF1"/>
    <w:rsid w:val="13705C7A"/>
    <w:rsid w:val="1408553C"/>
    <w:rsid w:val="140F22EF"/>
    <w:rsid w:val="14B1213B"/>
    <w:rsid w:val="14E34033"/>
    <w:rsid w:val="156E6238"/>
    <w:rsid w:val="16CF452D"/>
    <w:rsid w:val="181B1F72"/>
    <w:rsid w:val="18C654B9"/>
    <w:rsid w:val="19B72495"/>
    <w:rsid w:val="1A0A54AD"/>
    <w:rsid w:val="1B942062"/>
    <w:rsid w:val="1BA4249C"/>
    <w:rsid w:val="1CB81654"/>
    <w:rsid w:val="1E881677"/>
    <w:rsid w:val="1FFD299A"/>
    <w:rsid w:val="20375807"/>
    <w:rsid w:val="205459BC"/>
    <w:rsid w:val="21793E62"/>
    <w:rsid w:val="217D3465"/>
    <w:rsid w:val="21C144D2"/>
    <w:rsid w:val="227916F9"/>
    <w:rsid w:val="228826BC"/>
    <w:rsid w:val="23AF3EE9"/>
    <w:rsid w:val="241218F0"/>
    <w:rsid w:val="24D26BA3"/>
    <w:rsid w:val="250F3C1D"/>
    <w:rsid w:val="260823CB"/>
    <w:rsid w:val="265D28C0"/>
    <w:rsid w:val="267D04DC"/>
    <w:rsid w:val="26C45CE5"/>
    <w:rsid w:val="28606BC5"/>
    <w:rsid w:val="28820782"/>
    <w:rsid w:val="288F427A"/>
    <w:rsid w:val="28BE6FEB"/>
    <w:rsid w:val="28D42BF9"/>
    <w:rsid w:val="28F316C1"/>
    <w:rsid w:val="28FA4E70"/>
    <w:rsid w:val="291C346A"/>
    <w:rsid w:val="291E73BB"/>
    <w:rsid w:val="2924189E"/>
    <w:rsid w:val="29260D2C"/>
    <w:rsid w:val="29CE5A60"/>
    <w:rsid w:val="2ADE10A4"/>
    <w:rsid w:val="2B5B79A3"/>
    <w:rsid w:val="2D213381"/>
    <w:rsid w:val="2E3C7C90"/>
    <w:rsid w:val="2EA02638"/>
    <w:rsid w:val="2EFE2E49"/>
    <w:rsid w:val="2F9412F7"/>
    <w:rsid w:val="30093AD5"/>
    <w:rsid w:val="3011734D"/>
    <w:rsid w:val="30A70323"/>
    <w:rsid w:val="30C91D49"/>
    <w:rsid w:val="30EB21C3"/>
    <w:rsid w:val="31134C98"/>
    <w:rsid w:val="31AD282D"/>
    <w:rsid w:val="320A1909"/>
    <w:rsid w:val="323B7BCC"/>
    <w:rsid w:val="344477C7"/>
    <w:rsid w:val="34624D8C"/>
    <w:rsid w:val="34854DFA"/>
    <w:rsid w:val="34F474AA"/>
    <w:rsid w:val="353E6D29"/>
    <w:rsid w:val="359E1D04"/>
    <w:rsid w:val="37207864"/>
    <w:rsid w:val="37F63E0A"/>
    <w:rsid w:val="38F83D16"/>
    <w:rsid w:val="3A106937"/>
    <w:rsid w:val="3A1952FA"/>
    <w:rsid w:val="3A19684F"/>
    <w:rsid w:val="3A4E260F"/>
    <w:rsid w:val="3A5656CD"/>
    <w:rsid w:val="3A607983"/>
    <w:rsid w:val="3A97726F"/>
    <w:rsid w:val="3C161516"/>
    <w:rsid w:val="3C78435B"/>
    <w:rsid w:val="3CD04C3B"/>
    <w:rsid w:val="3D2776C0"/>
    <w:rsid w:val="3E4D3884"/>
    <w:rsid w:val="3F250382"/>
    <w:rsid w:val="41102C51"/>
    <w:rsid w:val="41BB0BF2"/>
    <w:rsid w:val="42C00539"/>
    <w:rsid w:val="447D6872"/>
    <w:rsid w:val="45014C2B"/>
    <w:rsid w:val="456654AD"/>
    <w:rsid w:val="45DB1AD6"/>
    <w:rsid w:val="45E12F90"/>
    <w:rsid w:val="473E7E4D"/>
    <w:rsid w:val="47AC1E96"/>
    <w:rsid w:val="49A83EA5"/>
    <w:rsid w:val="4C963723"/>
    <w:rsid w:val="4DC24777"/>
    <w:rsid w:val="4DC85289"/>
    <w:rsid w:val="4DFF0278"/>
    <w:rsid w:val="4EDC589A"/>
    <w:rsid w:val="4F015476"/>
    <w:rsid w:val="4FAD0170"/>
    <w:rsid w:val="4FB915A4"/>
    <w:rsid w:val="50056E75"/>
    <w:rsid w:val="5037643E"/>
    <w:rsid w:val="51981FA8"/>
    <w:rsid w:val="51FE5B6E"/>
    <w:rsid w:val="52E27482"/>
    <w:rsid w:val="53355980"/>
    <w:rsid w:val="533E0AE0"/>
    <w:rsid w:val="53BD0B79"/>
    <w:rsid w:val="54371809"/>
    <w:rsid w:val="54435B95"/>
    <w:rsid w:val="544F298E"/>
    <w:rsid w:val="546B4EB8"/>
    <w:rsid w:val="55B57FCA"/>
    <w:rsid w:val="56AE003B"/>
    <w:rsid w:val="58585849"/>
    <w:rsid w:val="586A76A9"/>
    <w:rsid w:val="5881778F"/>
    <w:rsid w:val="58AE00FF"/>
    <w:rsid w:val="58D63144"/>
    <w:rsid w:val="58F00A48"/>
    <w:rsid w:val="5A2636E6"/>
    <w:rsid w:val="5A554CDC"/>
    <w:rsid w:val="5A791FD7"/>
    <w:rsid w:val="5B0B0EFA"/>
    <w:rsid w:val="5C1D4723"/>
    <w:rsid w:val="5CC63359"/>
    <w:rsid w:val="5CD107DB"/>
    <w:rsid w:val="5F7F7431"/>
    <w:rsid w:val="617A528A"/>
    <w:rsid w:val="617C2A61"/>
    <w:rsid w:val="63D454B4"/>
    <w:rsid w:val="64BC69DE"/>
    <w:rsid w:val="64F47AB9"/>
    <w:rsid w:val="65461FD1"/>
    <w:rsid w:val="667173B8"/>
    <w:rsid w:val="671244F9"/>
    <w:rsid w:val="67F82970"/>
    <w:rsid w:val="688370ED"/>
    <w:rsid w:val="69713C31"/>
    <w:rsid w:val="6A855EEE"/>
    <w:rsid w:val="6AB8445C"/>
    <w:rsid w:val="6ADE2CC8"/>
    <w:rsid w:val="6AE94E76"/>
    <w:rsid w:val="6D2D6E53"/>
    <w:rsid w:val="6D582D10"/>
    <w:rsid w:val="6E750FD0"/>
    <w:rsid w:val="6EB32AC2"/>
    <w:rsid w:val="6EFB6535"/>
    <w:rsid w:val="6FA1557F"/>
    <w:rsid w:val="6FBB308A"/>
    <w:rsid w:val="6FF4023B"/>
    <w:rsid w:val="6FFC691F"/>
    <w:rsid w:val="70737E30"/>
    <w:rsid w:val="70905CC7"/>
    <w:rsid w:val="70E02425"/>
    <w:rsid w:val="70F20B74"/>
    <w:rsid w:val="71CD3369"/>
    <w:rsid w:val="72A84721"/>
    <w:rsid w:val="72D946CD"/>
    <w:rsid w:val="737259F5"/>
    <w:rsid w:val="73C13DBC"/>
    <w:rsid w:val="73CE5F00"/>
    <w:rsid w:val="747807AC"/>
    <w:rsid w:val="75D30C43"/>
    <w:rsid w:val="76554A32"/>
    <w:rsid w:val="76B851FC"/>
    <w:rsid w:val="76E84D65"/>
    <w:rsid w:val="795D3FA6"/>
    <w:rsid w:val="79DD7FF0"/>
    <w:rsid w:val="7A7A343F"/>
    <w:rsid w:val="7AFD7441"/>
    <w:rsid w:val="7CD945F1"/>
    <w:rsid w:val="7DB0367D"/>
    <w:rsid w:val="7E8471DF"/>
    <w:rsid w:val="7F2F2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kern w:val="44"/>
      <w:sz w:val="30"/>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after="260" w:line="412" w:lineRule="auto"/>
      <w:outlineLvl w:val="2"/>
    </w:pPr>
    <w:rPr>
      <w:b/>
      <w:sz w:val="32"/>
    </w:rPr>
  </w:style>
  <w:style w:type="paragraph" w:styleId="2">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99"/>
    <w:pPr>
      <w:ind w:firstLine="200" w:firstLineChars="200"/>
    </w:pPr>
  </w:style>
  <w:style w:type="paragraph" w:styleId="7">
    <w:name w:val="annotation text"/>
    <w:basedOn w:val="1"/>
    <w:qFormat/>
    <w:uiPriority w:val="0"/>
    <w:pPr>
      <w:jc w:val="left"/>
    </w:pPr>
  </w:style>
  <w:style w:type="paragraph" w:styleId="8">
    <w:name w:val="Body Text 3"/>
    <w:basedOn w:val="1"/>
    <w:qFormat/>
    <w:uiPriority w:val="0"/>
    <w:pPr>
      <w:spacing w:after="120"/>
    </w:pPr>
    <w:rPr>
      <w:rFonts w:ascii="Times New Roman" w:hAnsi="Times New Roman"/>
      <w:sz w:val="16"/>
      <w:szCs w:val="16"/>
    </w:rPr>
  </w:style>
  <w:style w:type="paragraph" w:styleId="9">
    <w:name w:val="Body Text"/>
    <w:basedOn w:val="1"/>
    <w:next w:val="1"/>
    <w:qFormat/>
    <w:uiPriority w:val="99"/>
    <w:rPr>
      <w:rFonts w:cs="Times New Roman"/>
      <w:kern w:val="0"/>
    </w:rPr>
  </w:style>
  <w:style w:type="paragraph" w:styleId="10">
    <w:name w:val="List 2"/>
    <w:basedOn w:val="1"/>
    <w:qFormat/>
    <w:uiPriority w:val="0"/>
    <w:pPr>
      <w:ind w:left="100" w:leftChars="200" w:hanging="200" w:hangingChars="200"/>
    </w:pPr>
  </w:style>
  <w:style w:type="paragraph" w:styleId="11">
    <w:name w:val="toc 3"/>
    <w:basedOn w:val="1"/>
    <w:next w:val="1"/>
    <w:semiHidden/>
    <w:qFormat/>
    <w:uiPriority w:val="0"/>
    <w:pPr>
      <w:ind w:left="420"/>
      <w:jc w:val="left"/>
    </w:pPr>
    <w:rPr>
      <w:rFonts w:ascii="Times New Roman" w:hAnsi="Times New Roman" w:cs="Times New Roman"/>
      <w:i/>
      <w:iCs/>
      <w:sz w:val="20"/>
      <w:szCs w:val="20"/>
    </w:rPr>
  </w:style>
  <w:style w:type="paragraph" w:styleId="12">
    <w:name w:val="Plain Text"/>
    <w:basedOn w:val="1"/>
    <w:qFormat/>
    <w:uiPriority w:val="0"/>
    <w:rPr>
      <w:rFonts w:ascii="宋体" w:hAnsi="Courier New"/>
      <w:szCs w:val="21"/>
    </w:rPr>
  </w:style>
  <w:style w:type="paragraph" w:styleId="13">
    <w:name w:val="Date"/>
    <w:basedOn w:val="1"/>
    <w:next w:val="1"/>
    <w:qFormat/>
    <w:uiPriority w:val="0"/>
    <w:pPr>
      <w:autoSpaceDE w:val="0"/>
      <w:autoSpaceDN w:val="0"/>
      <w:adjustRightInd w:val="0"/>
      <w:textAlignment w:val="baseline"/>
    </w:pPr>
    <w:rPr>
      <w:rFonts w:ascii="宋体"/>
      <w:sz w:val="28"/>
    </w:rPr>
  </w:style>
  <w:style w:type="paragraph" w:styleId="14">
    <w:name w:val="Balloon Text"/>
    <w:basedOn w:val="1"/>
    <w:link w:val="39"/>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index heading"/>
    <w:basedOn w:val="1"/>
    <w:next w:val="19"/>
    <w:qFormat/>
    <w:uiPriority w:val="0"/>
    <w:rPr>
      <w:rFonts w:ascii="Times New Roman" w:hAnsi="Times New Roman"/>
      <w:szCs w:val="20"/>
    </w:rPr>
  </w:style>
  <w:style w:type="paragraph" w:styleId="19">
    <w:name w:val="index 1"/>
    <w:basedOn w:val="1"/>
    <w:next w:val="1"/>
    <w:qFormat/>
    <w:uiPriority w:val="0"/>
    <w:pPr>
      <w:tabs>
        <w:tab w:val="left" w:pos="7740"/>
      </w:tabs>
      <w:jc w:val="center"/>
    </w:pPr>
    <w:rPr>
      <w:rFonts w:ascii="仿宋" w:hAnsi="仿宋" w:eastAsia="仿宋"/>
      <w:b/>
      <w:sz w:val="28"/>
      <w:szCs w:val="28"/>
    </w:rPr>
  </w:style>
  <w:style w:type="paragraph" w:styleId="20">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Hyperlink"/>
    <w:qFormat/>
    <w:uiPriority w:val="99"/>
    <w:rPr>
      <w:color w:val="333333"/>
      <w:u w:val="none"/>
    </w:rPr>
  </w:style>
  <w:style w:type="character" w:styleId="26">
    <w:name w:val="annotation reference"/>
    <w:basedOn w:val="24"/>
    <w:uiPriority w:val="0"/>
    <w:rPr>
      <w:sz w:val="21"/>
      <w:szCs w:val="21"/>
    </w:rPr>
  </w:style>
  <w:style w:type="paragraph" w:customStyle="1" w:styleId="2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8">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29">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30">
    <w:name w:val="_Style 2"/>
    <w:basedOn w:val="1"/>
    <w:qFormat/>
    <w:uiPriority w:val="34"/>
    <w:pPr>
      <w:ind w:firstLine="420" w:firstLineChars="200"/>
    </w:pPr>
    <w:rPr>
      <w:szCs w:val="20"/>
    </w:rPr>
  </w:style>
  <w:style w:type="paragraph" w:styleId="31">
    <w:name w:val="List Paragraph"/>
    <w:basedOn w:val="1"/>
    <w:qFormat/>
    <w:uiPriority w:val="34"/>
    <w:pPr>
      <w:ind w:firstLine="420" w:firstLineChars="200"/>
    </w:pPr>
  </w:style>
  <w:style w:type="paragraph" w:customStyle="1" w:styleId="32">
    <w:name w:val="纯文本1"/>
    <w:basedOn w:val="1"/>
    <w:qFormat/>
    <w:uiPriority w:val="0"/>
    <w:rPr>
      <w:rFonts w:ascii="宋体" w:hAnsi="Courier New" w:cs="Times New Roman"/>
      <w:szCs w:val="22"/>
    </w:rPr>
  </w:style>
  <w:style w:type="paragraph" w:customStyle="1" w:styleId="33">
    <w:name w:val="正文缩进1"/>
    <w:basedOn w:val="1"/>
    <w:qFormat/>
    <w:uiPriority w:val="0"/>
    <w:pPr>
      <w:autoSpaceDE w:val="0"/>
      <w:autoSpaceDN w:val="0"/>
      <w:adjustRightInd w:val="0"/>
      <w:ind w:firstLine="420"/>
      <w:jc w:val="left"/>
    </w:pPr>
    <w:rPr>
      <w:rFonts w:ascii="宋体"/>
      <w:kern w:val="0"/>
      <w:sz w:val="24"/>
    </w:rPr>
  </w:style>
  <w:style w:type="paragraph" w:customStyle="1" w:styleId="34">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3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_Style 12"/>
    <w:basedOn w:val="1"/>
    <w:next w:val="31"/>
    <w:qFormat/>
    <w:uiPriority w:val="34"/>
    <w:pPr>
      <w:spacing w:line="360" w:lineRule="auto"/>
      <w:ind w:firstLine="420" w:firstLineChars="200"/>
    </w:pPr>
    <w:rPr>
      <w:rFonts w:ascii="Arial" w:hAnsi="Arial"/>
      <w:sz w:val="24"/>
      <w:szCs w:val="22"/>
    </w:rPr>
  </w:style>
  <w:style w:type="character" w:customStyle="1" w:styleId="37">
    <w:name w:val="标题 1 Char"/>
    <w:qFormat/>
    <w:locked/>
    <w:uiPriority w:val="99"/>
    <w:rPr>
      <w:rFonts w:ascii="Calibri" w:hAnsi="Calibri" w:cs="Calibri"/>
      <w:b/>
      <w:bCs/>
      <w:kern w:val="44"/>
      <w:sz w:val="44"/>
      <w:szCs w:val="44"/>
    </w:rPr>
  </w:style>
  <w:style w:type="paragraph" w:customStyle="1" w:styleId="38">
    <w:name w:val="正文首行缩进（绿盟科技）"/>
    <w:basedOn w:val="1"/>
    <w:qFormat/>
    <w:uiPriority w:val="0"/>
    <w:pPr>
      <w:widowControl/>
      <w:spacing w:after="50" w:line="300" w:lineRule="auto"/>
      <w:jc w:val="left"/>
    </w:pPr>
    <w:rPr>
      <w:kern w:val="0"/>
      <w:szCs w:val="21"/>
    </w:rPr>
  </w:style>
  <w:style w:type="character" w:customStyle="1" w:styleId="39">
    <w:name w:val="批注框文本 Char"/>
    <w:basedOn w:val="24"/>
    <w:link w:val="14"/>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41864</Words>
  <Characters>44696</Characters>
  <Lines>357</Lines>
  <Paragraphs>100</Paragraphs>
  <TotalTime>122</TotalTime>
  <ScaleCrop>false</ScaleCrop>
  <LinksUpToDate>false</LinksUpToDate>
  <CharactersWithSpaces>46699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2022-04-22T07:18:00Z</dcterms:created>
  <dc:creator>lenovo</dc:creator>
  <cp:lastModifiedBy>lenovo</cp:lastModifiedBy>
  <cp:lastPrinted>2022-08-30T00:27:38Z</cp:lastPrinted>
  <dcterms:modified xsi:type="dcterms:W3CDTF">2022-08-30T02:05:31Z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0E79FEAF80294BA599E8B4C7384AA43B</vt:lpwstr>
  </property>
  <property fmtid="{D5CDD505-2E9C-101B-9397-08002B2CF9AE}" pid="4" name="commondata">
    <vt:lpwstr>eyJoZGlkIjoiZTYyNjAyMjBkZmY2MzliZGExMTQ0MGFlZjFkYzM1ZmMifQ==</vt:lpwstr>
  </property>
</Properties>
</file>