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3240" w:firstLineChars="900"/>
        <w:jc w:val="both"/>
        <w:outlineLvl w:val="9"/>
        <w:rPr>
          <w:rFonts w:hint="eastAsia" w:ascii="宋体" w:hAnsi="宋体" w:cs="宋体"/>
          <w:sz w:val="36"/>
          <w:szCs w:val="36"/>
          <w:lang w:val="en-US" w:eastAsia="zh-CN"/>
        </w:rPr>
      </w:pPr>
      <w:r>
        <w:rPr>
          <w:rFonts w:hint="eastAsia" w:ascii="宋体" w:hAnsi="宋体" w:cs="宋体"/>
          <w:sz w:val="36"/>
          <w:szCs w:val="36"/>
          <w:lang w:val="en-US" w:eastAsia="zh-CN"/>
        </w:rPr>
        <w:t>第一包</w:t>
      </w:r>
    </w:p>
    <w:tbl>
      <w:tblPr>
        <w:tblStyle w:val="10"/>
        <w:tblpPr w:leftFromText="180" w:rightFromText="180" w:vertAnchor="text" w:horzAnchor="page" w:tblpX="1277" w:tblpY="479"/>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735"/>
        <w:gridCol w:w="5820"/>
        <w:gridCol w:w="405"/>
        <w:gridCol w:w="79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noWrap w:val="0"/>
            <w:vAlign w:val="center"/>
          </w:tcPr>
          <w:p>
            <w:pPr>
              <w:jc w:val="center"/>
              <w:rPr>
                <w:rFonts w:hint="eastAsia" w:eastAsia="仿宋_GB2312"/>
                <w:sz w:val="24"/>
                <w:szCs w:val="24"/>
              </w:rPr>
            </w:pPr>
            <w:r>
              <w:rPr>
                <w:rFonts w:hint="eastAsia" w:eastAsia="仿宋_GB2312"/>
                <w:sz w:val="24"/>
                <w:szCs w:val="24"/>
              </w:rPr>
              <w:t>序号</w:t>
            </w:r>
          </w:p>
        </w:tc>
        <w:tc>
          <w:tcPr>
            <w:tcW w:w="735" w:type="dxa"/>
            <w:noWrap w:val="0"/>
            <w:vAlign w:val="center"/>
          </w:tcPr>
          <w:p>
            <w:pPr>
              <w:jc w:val="center"/>
              <w:rPr>
                <w:rFonts w:hint="eastAsia" w:eastAsia="仿宋_GB2312"/>
                <w:sz w:val="24"/>
                <w:szCs w:val="24"/>
              </w:rPr>
            </w:pPr>
            <w:r>
              <w:rPr>
                <w:rFonts w:hint="eastAsia" w:eastAsia="仿宋_GB2312"/>
                <w:sz w:val="24"/>
                <w:szCs w:val="24"/>
              </w:rPr>
              <w:t>设备名称</w:t>
            </w:r>
          </w:p>
        </w:tc>
        <w:tc>
          <w:tcPr>
            <w:tcW w:w="5820" w:type="dxa"/>
            <w:noWrap w:val="0"/>
            <w:vAlign w:val="center"/>
          </w:tcPr>
          <w:p>
            <w:pPr>
              <w:jc w:val="center"/>
              <w:rPr>
                <w:rFonts w:hint="eastAsia" w:eastAsia="仿宋_GB2312"/>
                <w:sz w:val="24"/>
                <w:szCs w:val="24"/>
              </w:rPr>
            </w:pPr>
            <w:r>
              <w:rPr>
                <w:rFonts w:hint="eastAsia" w:eastAsia="仿宋_GB2312"/>
                <w:sz w:val="24"/>
                <w:szCs w:val="24"/>
              </w:rPr>
              <w:t>技术指标</w:t>
            </w:r>
          </w:p>
        </w:tc>
        <w:tc>
          <w:tcPr>
            <w:tcW w:w="405" w:type="dxa"/>
            <w:noWrap w:val="0"/>
            <w:vAlign w:val="center"/>
          </w:tcPr>
          <w:p>
            <w:pPr>
              <w:jc w:val="center"/>
              <w:rPr>
                <w:rFonts w:hint="eastAsia" w:eastAsia="仿宋_GB2312"/>
                <w:sz w:val="24"/>
                <w:szCs w:val="24"/>
              </w:rPr>
            </w:pPr>
            <w:r>
              <w:rPr>
                <w:rFonts w:hint="eastAsia" w:eastAsia="仿宋_GB2312"/>
                <w:sz w:val="24"/>
                <w:szCs w:val="24"/>
              </w:rPr>
              <w:t>数量</w:t>
            </w:r>
          </w:p>
        </w:tc>
        <w:tc>
          <w:tcPr>
            <w:tcW w:w="795" w:type="dxa"/>
            <w:noWrap w:val="0"/>
            <w:vAlign w:val="center"/>
          </w:tcPr>
          <w:p>
            <w:pPr>
              <w:jc w:val="center"/>
              <w:rPr>
                <w:rFonts w:hint="default" w:eastAsia="仿宋_GB2312"/>
                <w:sz w:val="24"/>
                <w:szCs w:val="24"/>
                <w:lang w:val="en-US" w:eastAsia="zh-CN"/>
              </w:rPr>
            </w:pPr>
            <w:r>
              <w:rPr>
                <w:rFonts w:hint="eastAsia" w:eastAsia="仿宋_GB2312"/>
                <w:sz w:val="24"/>
                <w:szCs w:val="24"/>
                <w:lang w:val="en-US" w:eastAsia="zh-CN"/>
              </w:rPr>
              <w:t>支撑课程</w:t>
            </w:r>
          </w:p>
        </w:tc>
        <w:tc>
          <w:tcPr>
            <w:tcW w:w="765" w:type="dxa"/>
            <w:noWrap w:val="0"/>
            <w:vAlign w:val="center"/>
          </w:tcPr>
          <w:p>
            <w:pPr>
              <w:jc w:val="center"/>
              <w:rPr>
                <w:rFonts w:hint="default" w:eastAsia="仿宋_GB2312"/>
                <w:sz w:val="24"/>
                <w:szCs w:val="24"/>
                <w:lang w:val="en-US" w:eastAsia="zh-CN"/>
              </w:rPr>
            </w:pPr>
            <w:r>
              <w:rPr>
                <w:rFonts w:hint="eastAsia" w:eastAsia="仿宋_GB2312"/>
                <w:sz w:val="24"/>
                <w:szCs w:val="24"/>
                <w:lang w:val="en-US" w:eastAsia="zh-CN"/>
              </w:rPr>
              <w:t>存放场地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58" w:type="dxa"/>
            <w:noWrap w:val="0"/>
            <w:vAlign w:val="center"/>
          </w:tcPr>
          <w:p>
            <w:pPr>
              <w:snapToGrid w:val="0"/>
              <w:spacing w:line="360" w:lineRule="exact"/>
              <w:rPr>
                <w:rFonts w:hint="eastAsia" w:ascii="楷体_GB2312" w:eastAsia="楷体_GB2312"/>
                <w:sz w:val="24"/>
                <w:szCs w:val="24"/>
                <w:lang w:val="en-US" w:eastAsia="zh-CN"/>
              </w:rPr>
            </w:pPr>
            <w:r>
              <w:rPr>
                <w:rFonts w:hint="eastAsia" w:ascii="楷体_GB2312" w:eastAsia="楷体_GB2312"/>
                <w:sz w:val="24"/>
                <w:szCs w:val="24"/>
                <w:lang w:val="en-US" w:eastAsia="zh-CN"/>
              </w:rPr>
              <w:t>1</w:t>
            </w:r>
          </w:p>
        </w:tc>
        <w:tc>
          <w:tcPr>
            <w:tcW w:w="735" w:type="dxa"/>
            <w:noWrap w:val="0"/>
            <w:vAlign w:val="center"/>
          </w:tcPr>
          <w:p>
            <w:pPr>
              <w:snapToGrid w:val="0"/>
              <w:spacing w:line="360" w:lineRule="exact"/>
              <w:rPr>
                <w:rFonts w:hint="default" w:ascii="楷体_GB2312" w:eastAsia="楷体_GB2312"/>
                <w:sz w:val="24"/>
                <w:szCs w:val="24"/>
                <w:lang w:val="en-US" w:eastAsia="zh-CN"/>
              </w:rPr>
            </w:pPr>
            <w:r>
              <w:rPr>
                <w:rFonts w:hint="eastAsia" w:ascii="楷体_GB2312" w:eastAsia="楷体_GB2312"/>
                <w:sz w:val="24"/>
                <w:szCs w:val="24"/>
                <w:lang w:val="en-US" w:eastAsia="zh-CN"/>
              </w:rPr>
              <w:t>智能阅卷系统建设项目</w:t>
            </w:r>
          </w:p>
        </w:tc>
        <w:tc>
          <w:tcPr>
            <w:tcW w:w="5820" w:type="dxa"/>
            <w:noWrap w:val="0"/>
            <w:vAlign w:val="center"/>
          </w:tcPr>
          <w:p>
            <w:pPr>
              <w:spacing w:line="240" w:lineRule="auto"/>
              <w:jc w:val="both"/>
              <w:rPr>
                <w:sz w:val="24"/>
                <w:szCs w:val="24"/>
              </w:rPr>
            </w:pPr>
            <w:r>
              <w:rPr>
                <w:rFonts w:hint="eastAsia"/>
                <w:sz w:val="24"/>
                <w:szCs w:val="24"/>
                <w:lang w:val="en-US" w:eastAsia="zh-CN"/>
              </w:rPr>
              <w:t>基础模块：</w:t>
            </w:r>
            <w:r>
              <w:rPr>
                <w:rFonts w:hint="eastAsia"/>
                <w:sz w:val="24"/>
                <w:szCs w:val="24"/>
              </w:rPr>
              <w:t>1.软件系统架构为B/S和C/S两种模式，系统采用统一的WEB管理平台，管理员、教师等通过浏览器即可管理阅卷系统，无需安装任何插件，且系统须兼容如IE 11 及以上、360、火狐、google 浏览器等。</w:t>
            </w:r>
          </w:p>
          <w:p>
            <w:pPr>
              <w:spacing w:line="240" w:lineRule="auto"/>
              <w:jc w:val="both"/>
              <w:rPr>
                <w:sz w:val="24"/>
                <w:szCs w:val="24"/>
              </w:rPr>
            </w:pPr>
            <w:r>
              <w:rPr>
                <w:rFonts w:hint="eastAsia"/>
                <w:sz w:val="24"/>
                <w:szCs w:val="24"/>
              </w:rPr>
              <w:t>2.系统采用高可用、可伸缩的架构，同时在线并发人数不少于1500人。</w:t>
            </w:r>
          </w:p>
          <w:p>
            <w:pPr>
              <w:spacing w:line="240" w:lineRule="auto"/>
              <w:jc w:val="both"/>
              <w:rPr>
                <w:sz w:val="24"/>
                <w:szCs w:val="24"/>
              </w:rPr>
            </w:pPr>
            <w:r>
              <w:rPr>
                <w:rFonts w:hint="eastAsia"/>
                <w:sz w:val="24"/>
                <w:szCs w:val="24"/>
                <w:lang w:eastAsia="zh-CN"/>
              </w:rPr>
              <w:t>★</w:t>
            </w:r>
            <w:r>
              <w:rPr>
                <w:rFonts w:hint="eastAsia"/>
                <w:sz w:val="24"/>
                <w:szCs w:val="24"/>
              </w:rPr>
              <w:t>3.系统应在统一门户的同一平台下满足全校性质高利害考试的不同使用场景需求，提供统一平台登录入口，统一登录后，应支持答题卡扫描阅卷的纸笔测试功能需求；还应满足师生后期拓展全流程无纸化的在线测试功能；用户可以通过两种考试应用入口进入各自应用，而不用二次登录。响应文件中提供软件界面功能截图。</w:t>
            </w:r>
          </w:p>
          <w:p>
            <w:pPr>
              <w:spacing w:line="240" w:lineRule="auto"/>
              <w:jc w:val="both"/>
              <w:rPr>
                <w:sz w:val="24"/>
                <w:szCs w:val="24"/>
              </w:rPr>
            </w:pPr>
            <w:r>
              <w:rPr>
                <w:rFonts w:hint="eastAsia"/>
                <w:sz w:val="24"/>
                <w:szCs w:val="24"/>
              </w:rPr>
              <w:t>4.系统应支持多终端操作，应具备WEB端和移动端（同时具有iOS及Android）应用操作功能；</w:t>
            </w:r>
          </w:p>
          <w:p>
            <w:pPr>
              <w:spacing w:line="240" w:lineRule="auto"/>
              <w:jc w:val="both"/>
              <w:rPr>
                <w:sz w:val="24"/>
                <w:szCs w:val="24"/>
              </w:rPr>
            </w:pPr>
            <w:r>
              <w:rPr>
                <w:rFonts w:hint="eastAsia"/>
                <w:sz w:val="24"/>
                <w:szCs w:val="24"/>
              </w:rPr>
              <w:t>5.系统应支持使用Dubbo、HTTPS、RMI、WebService、Thrift、Memcached、Redis等方式来获取数据中心的标准数据，同时提供Restful方式的数据访问，支持xml、Json等数据格式。对于第三方应用程序提供基于OAuth2.0的授权认证数据访问；</w:t>
            </w:r>
          </w:p>
          <w:p>
            <w:pPr>
              <w:spacing w:line="240" w:lineRule="auto"/>
              <w:jc w:val="both"/>
              <w:rPr>
                <w:sz w:val="24"/>
                <w:szCs w:val="24"/>
              </w:rPr>
            </w:pPr>
            <w:r>
              <w:rPr>
                <w:rFonts w:hint="eastAsia"/>
                <w:sz w:val="24"/>
                <w:szCs w:val="24"/>
              </w:rPr>
              <w:t>6.系统应同时支持全校多学科，全题型的考试和训练需求；</w:t>
            </w:r>
          </w:p>
          <w:p>
            <w:pPr>
              <w:spacing w:line="240" w:lineRule="auto"/>
              <w:jc w:val="both"/>
              <w:rPr>
                <w:sz w:val="24"/>
                <w:szCs w:val="24"/>
              </w:rPr>
            </w:pPr>
            <w:r>
              <w:rPr>
                <w:rFonts w:hint="eastAsia"/>
                <w:sz w:val="24"/>
                <w:szCs w:val="24"/>
              </w:rPr>
              <w:t>7.系统应采用J2EE平台，可以跨平台部署，应支持CentOS6+等；</w:t>
            </w:r>
          </w:p>
          <w:p>
            <w:pPr>
              <w:spacing w:line="240" w:lineRule="auto"/>
              <w:jc w:val="both"/>
              <w:rPr>
                <w:sz w:val="24"/>
                <w:szCs w:val="24"/>
              </w:rPr>
            </w:pPr>
            <w:r>
              <w:rPr>
                <w:rFonts w:hint="eastAsia"/>
                <w:sz w:val="24"/>
                <w:szCs w:val="24"/>
                <w:lang w:val="en-US" w:eastAsia="zh-CN"/>
              </w:rPr>
              <w:t>信息管理：</w:t>
            </w:r>
            <w:r>
              <w:rPr>
                <w:rFonts w:hint="eastAsia"/>
                <w:sz w:val="24"/>
                <w:szCs w:val="24"/>
              </w:rPr>
              <w:t>1.用户管理：统一存储所有应用系统的用户信息，应用系统对用户的相关操作全部通过用户中心完成，系统提供灵活的组织机构管理、用户管理、权限管理维护功能，即统一存储、阶梯式分级授权；响应文件中提供软件界面功能截图。</w:t>
            </w:r>
          </w:p>
          <w:p>
            <w:pPr>
              <w:spacing w:line="240" w:lineRule="auto"/>
              <w:jc w:val="both"/>
              <w:rPr>
                <w:sz w:val="24"/>
                <w:szCs w:val="24"/>
              </w:rPr>
            </w:pPr>
            <w:r>
              <w:rPr>
                <w:rFonts w:hint="eastAsia"/>
                <w:sz w:val="24"/>
                <w:szCs w:val="24"/>
              </w:rPr>
              <w:t>2.教师账号管理：在教师账户管理中，可以进行创建教师账户、批量创建账户、批量修改、初始化密码、禁用账户等操作。并且可以通过姓名和工号，对教师名单进行模糊搜索，修改教师账号身份权限。</w:t>
            </w:r>
          </w:p>
          <w:p>
            <w:pPr>
              <w:spacing w:line="240" w:lineRule="auto"/>
              <w:jc w:val="both"/>
              <w:rPr>
                <w:sz w:val="24"/>
                <w:szCs w:val="24"/>
              </w:rPr>
            </w:pPr>
            <w:r>
              <w:rPr>
                <w:rFonts w:hint="eastAsia"/>
                <w:sz w:val="24"/>
                <w:szCs w:val="24"/>
              </w:rPr>
              <w:t>3.课程信息管理：课程信息管理，管理着所有的班级信息，可以对班级信息进行增加、删除、修改、查询等。</w:t>
            </w:r>
          </w:p>
          <w:p>
            <w:pPr>
              <w:spacing w:line="240" w:lineRule="auto"/>
              <w:jc w:val="both"/>
              <w:rPr>
                <w:sz w:val="24"/>
                <w:szCs w:val="24"/>
              </w:rPr>
            </w:pPr>
            <w:r>
              <w:rPr>
                <w:rFonts w:hint="eastAsia"/>
                <w:sz w:val="24"/>
                <w:szCs w:val="24"/>
              </w:rPr>
              <w:t>4.教学班管理：与教师账号信息管理和课程信息管理相似，教学班管理可以提供对于班级的增加、删除、修改、查询。并且还可以沿用教学班，不需要因为新学期的开始重新导入班级数据，一键完成操作。</w:t>
            </w:r>
          </w:p>
          <w:p>
            <w:pPr>
              <w:spacing w:line="240" w:lineRule="auto"/>
              <w:jc w:val="both"/>
              <w:rPr>
                <w:sz w:val="24"/>
                <w:szCs w:val="24"/>
              </w:rPr>
            </w:pPr>
            <w:r>
              <w:rPr>
                <w:rFonts w:hint="eastAsia"/>
                <w:sz w:val="24"/>
                <w:szCs w:val="24"/>
              </w:rPr>
              <w:t>5.系统应支持与学校教务系统中所包含的教师、学生、院系、专业、课程、班级等数据进行同步。</w:t>
            </w:r>
          </w:p>
          <w:p>
            <w:pPr>
              <w:spacing w:line="240" w:lineRule="auto"/>
              <w:jc w:val="both"/>
              <w:rPr>
                <w:sz w:val="24"/>
                <w:szCs w:val="24"/>
              </w:rPr>
            </w:pPr>
            <w:r>
              <w:rPr>
                <w:rFonts w:hint="eastAsia"/>
                <w:sz w:val="24"/>
                <w:szCs w:val="24"/>
                <w:lang w:eastAsia="zh-CN"/>
              </w:rPr>
              <w:t>★</w:t>
            </w:r>
            <w:r>
              <w:rPr>
                <w:rFonts w:hint="eastAsia"/>
                <w:sz w:val="24"/>
                <w:szCs w:val="24"/>
              </w:rPr>
              <w:t>6.系统应支持对校内用户账号开通数量不受限制的需求，并且应支持不同权限身份有不同用户层级功能，应至少包含教师、组长、学生、学院管理员、学校管理员五种身份；响应文件中提供软件界面功能截图。</w:t>
            </w:r>
          </w:p>
          <w:p>
            <w:pPr>
              <w:spacing w:line="240" w:lineRule="auto"/>
              <w:jc w:val="both"/>
              <w:rPr>
                <w:sz w:val="24"/>
                <w:szCs w:val="24"/>
              </w:rPr>
            </w:pPr>
            <w:r>
              <w:rPr>
                <w:rFonts w:hint="eastAsia"/>
                <w:sz w:val="24"/>
                <w:szCs w:val="24"/>
              </w:rPr>
              <w:t>6.1教师权限功能应包括：管理教学班功能、出题组卷功能、创建班级考试功能、在线阅卷功能、统计分析功能等；</w:t>
            </w:r>
          </w:p>
          <w:p>
            <w:pPr>
              <w:spacing w:line="240" w:lineRule="auto"/>
              <w:jc w:val="both"/>
              <w:rPr>
                <w:sz w:val="24"/>
                <w:szCs w:val="24"/>
              </w:rPr>
            </w:pPr>
            <w:r>
              <w:rPr>
                <w:rFonts w:hint="eastAsia"/>
                <w:sz w:val="24"/>
                <w:szCs w:val="24"/>
              </w:rPr>
              <w:t>6.2 组长权限功能应包括：试题资源审核功能、试题资源管理功能、创建校级考试功能、分配阅卷功能、监督调配阅卷功能、阅卷问题处理功能等；</w:t>
            </w:r>
          </w:p>
          <w:p>
            <w:pPr>
              <w:spacing w:line="240" w:lineRule="auto"/>
              <w:jc w:val="both"/>
              <w:rPr>
                <w:rFonts w:hint="eastAsia"/>
                <w:sz w:val="24"/>
                <w:szCs w:val="24"/>
              </w:rPr>
            </w:pPr>
            <w:r>
              <w:rPr>
                <w:rFonts w:hint="eastAsia"/>
                <w:sz w:val="24"/>
                <w:szCs w:val="24"/>
              </w:rPr>
              <w:t>6.3 学生权限功能应包括：在线查看成绩功能等；</w:t>
            </w:r>
          </w:p>
          <w:p>
            <w:pPr>
              <w:spacing w:line="240" w:lineRule="auto"/>
              <w:jc w:val="both"/>
              <w:rPr>
                <w:sz w:val="24"/>
                <w:szCs w:val="24"/>
              </w:rPr>
            </w:pPr>
            <w:r>
              <w:rPr>
                <w:rFonts w:hint="eastAsia"/>
                <w:sz w:val="24"/>
                <w:szCs w:val="24"/>
                <w:lang w:val="en-US" w:eastAsia="zh-CN"/>
              </w:rPr>
              <w:t>校本资源：</w:t>
            </w:r>
            <w:r>
              <w:rPr>
                <w:rFonts w:hint="eastAsia"/>
                <w:sz w:val="24"/>
                <w:szCs w:val="24"/>
              </w:rPr>
              <w:t>1.系统应支持试题库和试卷库两种主要题库模块；试题库中包括：教师个人试题库、校本试题库、系统自带试题库；试卷库中包括：教师个人试卷库、校本试卷库、系统自带试卷库；应支持根据需要创建课程题库和试卷库；</w:t>
            </w:r>
          </w:p>
          <w:p>
            <w:pPr>
              <w:spacing w:line="240" w:lineRule="auto"/>
              <w:jc w:val="both"/>
              <w:rPr>
                <w:sz w:val="24"/>
                <w:szCs w:val="24"/>
              </w:rPr>
            </w:pPr>
            <w:r>
              <w:rPr>
                <w:rFonts w:hint="eastAsia"/>
                <w:sz w:val="24"/>
                <w:szCs w:val="24"/>
              </w:rPr>
              <w:t>2.系统应支持教学管理者自定义创建和管理题库，并针对自定义创建的题库自由设置题库权限和试题审核流程；</w:t>
            </w:r>
          </w:p>
          <w:p>
            <w:pPr>
              <w:numPr>
                <w:ilvl w:val="0"/>
                <w:numId w:val="0"/>
              </w:numPr>
              <w:spacing w:line="240" w:lineRule="auto"/>
              <w:jc w:val="both"/>
              <w:rPr>
                <w:sz w:val="24"/>
                <w:szCs w:val="24"/>
                <w:highlight w:val="yellow"/>
              </w:rPr>
            </w:pPr>
            <w:r>
              <w:rPr>
                <w:rFonts w:hint="eastAsia"/>
                <w:sz w:val="24"/>
                <w:szCs w:val="24"/>
                <w:lang w:val="en-US" w:eastAsia="zh-CN"/>
              </w:rPr>
              <w:t>3.</w:t>
            </w:r>
            <w:r>
              <w:rPr>
                <w:rFonts w:hint="eastAsia"/>
                <w:sz w:val="24"/>
                <w:szCs w:val="24"/>
                <w:lang w:eastAsia="zh-CN"/>
              </w:rPr>
              <w:t>★</w:t>
            </w:r>
            <w:r>
              <w:rPr>
                <w:rFonts w:hint="eastAsia"/>
                <w:sz w:val="24"/>
                <w:szCs w:val="24"/>
              </w:rPr>
              <w:t>系统应支持教学管理者管理和编辑知识点、章节、难度、教材、掌握要求标签，并支持自定义创建标签，标签层级应支持不少于</w:t>
            </w:r>
            <w:r>
              <w:rPr>
                <w:sz w:val="24"/>
                <w:szCs w:val="24"/>
              </w:rPr>
              <w:t>5</w:t>
            </w:r>
            <w:r>
              <w:rPr>
                <w:rFonts w:hint="eastAsia"/>
                <w:sz w:val="24"/>
                <w:szCs w:val="24"/>
              </w:rPr>
              <w:t>级；应支持每个题库自定义设置不同角色并自由设置指定的功能权限，权限支持：题库查询、题库管理、题目提交、题目审核、试卷查询、试卷管理、组卷、试卷提交、试卷审核权限的自由分配。</w:t>
            </w:r>
            <w:r>
              <w:rPr>
                <w:rFonts w:hint="eastAsia" w:ascii="Times New Roman" w:hAnsi="Times New Roman" w:eastAsia="宋体" w:cs="Times New Roman"/>
                <w:b/>
                <w:bCs/>
                <w:sz w:val="24"/>
                <w:szCs w:val="24"/>
                <w:highlight w:val="none"/>
                <w:lang w:val="en-US" w:eastAsia="zh-CN"/>
              </w:rPr>
              <w:t>（提供现场或远程演示）</w:t>
            </w:r>
          </w:p>
          <w:p>
            <w:pPr>
              <w:spacing w:line="240" w:lineRule="auto"/>
              <w:jc w:val="both"/>
              <w:rPr>
                <w:sz w:val="24"/>
                <w:szCs w:val="24"/>
              </w:rPr>
            </w:pPr>
            <w:r>
              <w:rPr>
                <w:rFonts w:hint="eastAsia"/>
                <w:sz w:val="24"/>
                <w:szCs w:val="24"/>
              </w:rPr>
              <w:t>4.应支持在试题库中添加和管理知识体系，教学管理者可以根据课程内容添加、删除、编辑知识点标签；</w:t>
            </w:r>
          </w:p>
          <w:p>
            <w:pPr>
              <w:spacing w:line="240" w:lineRule="auto"/>
              <w:jc w:val="both"/>
              <w:rPr>
                <w:sz w:val="24"/>
                <w:szCs w:val="24"/>
              </w:rPr>
            </w:pPr>
            <w:r>
              <w:rPr>
                <w:rFonts w:hint="eastAsia"/>
                <w:sz w:val="24"/>
                <w:szCs w:val="24"/>
              </w:rPr>
              <w:t>5.应支持在试题库中教师录入个人试题资源。录入试题资源时需支持根据题型进行分类匹配，支持难易度分类，知识点分类等；</w:t>
            </w:r>
          </w:p>
          <w:p>
            <w:pPr>
              <w:spacing w:line="240" w:lineRule="auto"/>
              <w:jc w:val="both"/>
              <w:rPr>
                <w:sz w:val="24"/>
                <w:szCs w:val="24"/>
              </w:rPr>
            </w:pPr>
            <w:r>
              <w:rPr>
                <w:rFonts w:hint="eastAsia"/>
                <w:sz w:val="24"/>
                <w:szCs w:val="24"/>
              </w:rPr>
              <w:t>6.应支持50种以上主流题型制题功能，应包括不同学科所需要的主流题型。例如外语类学科应包括：听力综合、听力填空、改错、作文、单选题、多选题、材料题、选题填空、阅读理解、翻译题等；其它类学科应包括：单选题、多选题、填空题、论述题、简答题、公式题、图片题等题型；</w:t>
            </w:r>
          </w:p>
          <w:p>
            <w:pPr>
              <w:numPr>
                <w:ilvl w:val="0"/>
                <w:numId w:val="0"/>
              </w:numPr>
              <w:spacing w:line="240" w:lineRule="auto"/>
              <w:jc w:val="both"/>
              <w:rPr>
                <w:sz w:val="24"/>
                <w:szCs w:val="24"/>
              </w:rPr>
            </w:pPr>
            <w:r>
              <w:rPr>
                <w:rFonts w:hint="eastAsia"/>
                <w:sz w:val="24"/>
                <w:szCs w:val="24"/>
                <w:lang w:val="en-US" w:eastAsia="zh-CN"/>
              </w:rPr>
              <w:t>7.</w:t>
            </w:r>
            <w:r>
              <w:rPr>
                <w:rFonts w:hint="eastAsia"/>
                <w:sz w:val="24"/>
                <w:szCs w:val="24"/>
                <w:lang w:eastAsia="zh-CN"/>
              </w:rPr>
              <w:t>★</w:t>
            </w:r>
            <w:r>
              <w:rPr>
                <w:rFonts w:hint="eastAsia"/>
                <w:sz w:val="24"/>
                <w:szCs w:val="24"/>
              </w:rPr>
              <w:t>应支持语音合成功能，在英语听力试题目自主录题中，教师无需准备音频资源，可输入英文文本立即自动转为英语音频（可选语速、角色及试听），生成的音频文件实现听力音频制作包括题目和题目说明的简单操作；</w:t>
            </w:r>
            <w:r>
              <w:rPr>
                <w:rFonts w:hint="eastAsia" w:ascii="Times New Roman" w:hAnsi="Times New Roman" w:eastAsia="宋体" w:cs="Times New Roman"/>
                <w:b/>
                <w:bCs/>
                <w:sz w:val="24"/>
                <w:szCs w:val="24"/>
                <w:highlight w:val="none"/>
                <w:lang w:val="en-US" w:eastAsia="zh-CN"/>
              </w:rPr>
              <w:t>（提供现场或远程演示）</w:t>
            </w:r>
          </w:p>
          <w:p>
            <w:pPr>
              <w:spacing w:line="240" w:lineRule="auto"/>
              <w:jc w:val="both"/>
              <w:rPr>
                <w:rFonts w:hint="eastAsia"/>
                <w:sz w:val="24"/>
                <w:szCs w:val="24"/>
              </w:rPr>
            </w:pPr>
            <w:r>
              <w:rPr>
                <w:rFonts w:hint="eastAsia"/>
                <w:sz w:val="24"/>
                <w:szCs w:val="24"/>
                <w:lang w:val="en-US" w:eastAsia="zh-CN"/>
              </w:rPr>
              <w:t>8</w:t>
            </w:r>
            <w:r>
              <w:rPr>
                <w:rFonts w:hint="eastAsia"/>
                <w:sz w:val="24"/>
                <w:szCs w:val="24"/>
              </w:rPr>
              <w:t>.应支持录题时添加解析、参考答案；</w:t>
            </w:r>
          </w:p>
          <w:p>
            <w:pPr>
              <w:spacing w:line="240" w:lineRule="auto"/>
              <w:jc w:val="both"/>
              <w:rPr>
                <w:rFonts w:hint="eastAsia" w:eastAsia="宋体"/>
                <w:sz w:val="24"/>
                <w:szCs w:val="24"/>
                <w:lang w:val="en-US" w:eastAsia="zh-CN"/>
              </w:rPr>
            </w:pPr>
            <w:r>
              <w:rPr>
                <w:rFonts w:hint="eastAsia"/>
                <w:sz w:val="24"/>
                <w:szCs w:val="24"/>
                <w:lang w:val="en-US" w:eastAsia="zh-CN"/>
              </w:rPr>
              <w:t>9</w:t>
            </w:r>
            <w:r>
              <w:rPr>
                <w:rFonts w:hint="eastAsia"/>
                <w:sz w:val="24"/>
                <w:szCs w:val="24"/>
              </w:rPr>
              <w:t>.应支持教师通过题型、课程、难度、知识点等维度进行试题筛选与搜</w:t>
            </w:r>
            <w:r>
              <w:rPr>
                <w:rFonts w:hint="eastAsia"/>
                <w:sz w:val="24"/>
                <w:szCs w:val="24"/>
                <w:lang w:val="en-US" w:eastAsia="zh-CN"/>
              </w:rPr>
              <w:t>索；</w:t>
            </w:r>
          </w:p>
          <w:p>
            <w:pPr>
              <w:spacing w:line="240" w:lineRule="auto"/>
              <w:jc w:val="both"/>
              <w:rPr>
                <w:rFonts w:hint="eastAsia"/>
                <w:sz w:val="24"/>
                <w:szCs w:val="24"/>
              </w:rPr>
            </w:pPr>
            <w:r>
              <w:rPr>
                <w:rFonts w:hint="eastAsia"/>
                <w:sz w:val="24"/>
                <w:szCs w:val="24"/>
                <w:lang w:val="en-US" w:eastAsia="zh-CN"/>
              </w:rPr>
              <w:t>印刷管理模块：</w:t>
            </w:r>
            <w:r>
              <w:rPr>
                <w:rFonts w:hint="eastAsia"/>
                <w:sz w:val="24"/>
                <w:szCs w:val="24"/>
                <w:lang w:eastAsia="zh-CN"/>
              </w:rPr>
              <w:t>★</w:t>
            </w:r>
            <w:r>
              <w:rPr>
                <w:rFonts w:hint="eastAsia"/>
                <w:sz w:val="24"/>
                <w:szCs w:val="24"/>
              </w:rPr>
              <w:t>印刷管理系统应支持和现有题库系统进行联通，可在现有题库系统中选择试卷，直接跳转到印刷管理系统；（响应文件中提供软件界面功能截图）</w:t>
            </w:r>
          </w:p>
          <w:p>
            <w:pPr>
              <w:numPr>
                <w:ilvl w:val="0"/>
                <w:numId w:val="1"/>
              </w:numPr>
              <w:spacing w:line="240" w:lineRule="auto"/>
              <w:jc w:val="both"/>
              <w:rPr>
                <w:rFonts w:hint="eastAsia"/>
                <w:sz w:val="24"/>
                <w:szCs w:val="24"/>
              </w:rPr>
            </w:pPr>
            <w:r>
              <w:rPr>
                <w:rFonts w:hint="eastAsia"/>
                <w:sz w:val="24"/>
                <w:szCs w:val="24"/>
              </w:rPr>
              <w:t>在使用智能组卷时应支持设置课程、重复率、校验重复率卷库、重复校验周期、难度比例、组卷数量；应支持设置整卷不同知识点、章节题目预设占比完成智能组卷；并可在试卷制作后查看题型、难度、知识点、章节题目数量和分值占比；</w:t>
            </w:r>
            <w:r>
              <w:rPr>
                <w:rFonts w:hint="eastAsia"/>
                <w:sz w:val="24"/>
                <w:szCs w:val="24"/>
                <w:highlight w:val="none"/>
              </w:rPr>
              <w:t>（提供现场演示）</w:t>
            </w:r>
          </w:p>
          <w:p>
            <w:pPr>
              <w:numPr>
                <w:ilvl w:val="0"/>
                <w:numId w:val="2"/>
              </w:numPr>
              <w:spacing w:line="240" w:lineRule="auto"/>
              <w:jc w:val="both"/>
              <w:rPr>
                <w:rFonts w:hint="eastAsia"/>
                <w:sz w:val="24"/>
                <w:szCs w:val="24"/>
              </w:rPr>
            </w:pPr>
            <w:r>
              <w:rPr>
                <w:rFonts w:hint="eastAsia"/>
                <w:sz w:val="24"/>
                <w:szCs w:val="24"/>
              </w:rPr>
              <w:t>系统设置模块</w:t>
            </w:r>
          </w:p>
          <w:p>
            <w:pPr>
              <w:spacing w:line="240" w:lineRule="auto"/>
              <w:jc w:val="both"/>
              <w:rPr>
                <w:rFonts w:hint="eastAsia"/>
                <w:sz w:val="24"/>
                <w:szCs w:val="24"/>
              </w:rPr>
            </w:pPr>
            <w:r>
              <w:rPr>
                <w:rFonts w:hint="eastAsia"/>
                <w:sz w:val="24"/>
                <w:szCs w:val="24"/>
                <w:lang w:eastAsia="zh-CN"/>
              </w:rPr>
              <w:t>★</w:t>
            </w:r>
            <w:r>
              <w:rPr>
                <w:rFonts w:hint="eastAsia"/>
                <w:sz w:val="24"/>
                <w:szCs w:val="24"/>
              </w:rPr>
              <w:t>1.1系统应支持校管理员通过设置审核过程决定是否允许预览试卷及答题卡，来保证试卷和答题卡在审核过程中的保密性；（响应文件中提供软件界面功能截图）</w:t>
            </w:r>
          </w:p>
          <w:p>
            <w:pPr>
              <w:spacing w:line="240" w:lineRule="auto"/>
              <w:jc w:val="both"/>
              <w:rPr>
                <w:rFonts w:hint="eastAsia"/>
                <w:sz w:val="24"/>
                <w:szCs w:val="24"/>
              </w:rPr>
            </w:pPr>
            <w:r>
              <w:rPr>
                <w:rFonts w:hint="eastAsia"/>
                <w:sz w:val="24"/>
                <w:szCs w:val="24"/>
              </w:rPr>
              <w:t>1.2系统应支持校管理员对印厂进行管理，包括添加和维护印厂；</w:t>
            </w:r>
          </w:p>
          <w:p>
            <w:pPr>
              <w:spacing w:line="240" w:lineRule="auto"/>
              <w:jc w:val="both"/>
              <w:rPr>
                <w:rFonts w:hint="eastAsia"/>
                <w:sz w:val="24"/>
                <w:szCs w:val="24"/>
              </w:rPr>
            </w:pPr>
            <w:r>
              <w:rPr>
                <w:rFonts w:hint="eastAsia"/>
                <w:sz w:val="24"/>
                <w:szCs w:val="24"/>
                <w:lang w:eastAsia="zh-CN"/>
              </w:rPr>
              <w:t>★</w:t>
            </w:r>
            <w:r>
              <w:rPr>
                <w:rFonts w:hint="eastAsia"/>
                <w:sz w:val="24"/>
                <w:szCs w:val="24"/>
              </w:rPr>
              <w:t>1.3系统应支持在添加印厂时可以设置印厂名称、印刷管理员、审核员、印厂是否支持装订、是否支持分装，应支持设置印厂支持的纸张类型。点击保存后，添加印厂完成，若不想启用印厂，应支持将印厂是否启用状态改为禁用；（响应文件中提供软件界面功能截图）</w:t>
            </w:r>
          </w:p>
          <w:p>
            <w:pPr>
              <w:spacing w:line="240" w:lineRule="auto"/>
              <w:jc w:val="both"/>
              <w:rPr>
                <w:rFonts w:hint="eastAsia"/>
                <w:sz w:val="24"/>
                <w:szCs w:val="24"/>
              </w:rPr>
            </w:pPr>
            <w:r>
              <w:rPr>
                <w:rFonts w:hint="eastAsia"/>
                <w:sz w:val="24"/>
                <w:szCs w:val="24"/>
              </w:rPr>
              <w:t>1.4应支持编辑印厂信息，包括印厂名称、印刷管理员、审核员、印厂是否支持装订、是否支持分装、纸张支持类型等；</w:t>
            </w:r>
          </w:p>
          <w:p>
            <w:pPr>
              <w:spacing w:line="240" w:lineRule="auto"/>
              <w:jc w:val="both"/>
              <w:rPr>
                <w:rFonts w:hint="eastAsia"/>
                <w:sz w:val="24"/>
                <w:szCs w:val="24"/>
              </w:rPr>
            </w:pPr>
            <w:r>
              <w:rPr>
                <w:rFonts w:hint="eastAsia"/>
                <w:sz w:val="24"/>
                <w:szCs w:val="24"/>
              </w:rPr>
              <w:t>2.</w:t>
            </w:r>
            <w:r>
              <w:rPr>
                <w:rFonts w:hint="eastAsia"/>
                <w:sz w:val="24"/>
                <w:szCs w:val="24"/>
              </w:rPr>
              <w:tab/>
            </w:r>
            <w:r>
              <w:rPr>
                <w:rFonts w:hint="eastAsia"/>
                <w:sz w:val="24"/>
                <w:szCs w:val="24"/>
              </w:rPr>
              <w:t>任务管理模块</w:t>
            </w:r>
          </w:p>
          <w:p>
            <w:pPr>
              <w:spacing w:line="240" w:lineRule="auto"/>
              <w:jc w:val="both"/>
              <w:rPr>
                <w:rFonts w:hint="eastAsia"/>
                <w:sz w:val="24"/>
                <w:szCs w:val="24"/>
              </w:rPr>
            </w:pPr>
            <w:r>
              <w:rPr>
                <w:rFonts w:hint="eastAsia"/>
                <w:sz w:val="24"/>
                <w:szCs w:val="24"/>
                <w:lang w:eastAsia="zh-CN"/>
              </w:rPr>
              <w:t>★</w:t>
            </w:r>
            <w:r>
              <w:rPr>
                <w:rFonts w:hint="eastAsia"/>
                <w:sz w:val="24"/>
                <w:szCs w:val="24"/>
              </w:rPr>
              <w:t>2.1系统应支持校管理员、院管理员、普通教师使用任务管理模块，应支持用户在任务管理模块创建任务、修改任务、查看任务状态；（响应文件中提供软件界面功能截图）</w:t>
            </w:r>
          </w:p>
          <w:p>
            <w:pPr>
              <w:spacing w:line="240" w:lineRule="auto"/>
              <w:jc w:val="both"/>
              <w:rPr>
                <w:rFonts w:hint="eastAsia"/>
                <w:sz w:val="24"/>
                <w:szCs w:val="24"/>
              </w:rPr>
            </w:pPr>
            <w:r>
              <w:rPr>
                <w:rFonts w:hint="eastAsia"/>
                <w:sz w:val="24"/>
                <w:szCs w:val="24"/>
                <w:lang w:eastAsia="zh-CN"/>
              </w:rPr>
              <w:t>★</w:t>
            </w:r>
            <w:r>
              <w:rPr>
                <w:rFonts w:hint="eastAsia"/>
                <w:sz w:val="24"/>
                <w:szCs w:val="24"/>
              </w:rPr>
              <w:t>2.2系统应支持在创建印刷任务时，可选择纸笔考试系统中的考试，系统会自动关联该考试已经上传的试卷和答题卡、自动关联考试包含的考生人数作为试卷和答题卡的印刷份数；也应支持用户不选择考试，自行上传pdf格式的试卷和答题卡；（响应文件中提供软件界面功能截图）</w:t>
            </w:r>
          </w:p>
          <w:p>
            <w:pPr>
              <w:pStyle w:val="12"/>
              <w:rPr>
                <w:rFonts w:hint="eastAsia"/>
                <w:sz w:val="24"/>
                <w:szCs w:val="24"/>
                <w:lang w:val="en-US" w:eastAsia="zh-CN"/>
              </w:rPr>
            </w:pPr>
            <w:r>
              <w:rPr>
                <w:rFonts w:hint="eastAsia"/>
                <w:sz w:val="24"/>
                <w:szCs w:val="24"/>
                <w:lang w:val="en-US" w:eastAsia="zh-CN"/>
              </w:rPr>
              <w:t>答题卡制作模块：</w:t>
            </w:r>
          </w:p>
          <w:p>
            <w:pPr>
              <w:pStyle w:val="12"/>
              <w:rPr>
                <w:sz w:val="24"/>
                <w:szCs w:val="24"/>
              </w:rPr>
            </w:pPr>
            <w:r>
              <w:rPr>
                <w:rFonts w:hint="eastAsia"/>
                <w:sz w:val="24"/>
                <w:szCs w:val="24"/>
                <w:lang w:eastAsia="zh-CN"/>
              </w:rPr>
              <w:t>★</w:t>
            </w:r>
            <w:r>
              <w:rPr>
                <w:rFonts w:hint="eastAsia"/>
                <w:sz w:val="24"/>
                <w:szCs w:val="24"/>
              </w:rPr>
              <w:t>1.应支持教师在线网页端制作答题卡，根据试卷题型完成答题卡的快捷在线制卡，答题卡排版支持单选题、多选题、填空题、解答题、判断题、英语作文或翻译等题型设置，支持单选题、多选题的混排，支持设置AB卷填涂区域和AB卷混扫，支持答题卡版式按照1 栏、2 栏和 3栏等自由排版布局，支持主观题自由调整答题区域大小；响应文件中提供软件界面功能截图；</w:t>
            </w:r>
          </w:p>
          <w:p>
            <w:pPr>
              <w:pStyle w:val="12"/>
              <w:rPr>
                <w:sz w:val="24"/>
                <w:szCs w:val="24"/>
              </w:rPr>
            </w:pPr>
            <w:r>
              <w:rPr>
                <w:rFonts w:hint="eastAsia"/>
                <w:sz w:val="24"/>
                <w:szCs w:val="24"/>
              </w:rPr>
              <w:t>2.应支持在网页端直接修改编辑答题卡的名称、考试信息填写区域、注意事项栏位；</w:t>
            </w:r>
          </w:p>
          <w:p>
            <w:pPr>
              <w:spacing w:line="240" w:lineRule="auto"/>
              <w:jc w:val="both"/>
              <w:rPr>
                <w:rFonts w:hint="eastAsia"/>
                <w:sz w:val="24"/>
                <w:szCs w:val="24"/>
                <w:lang w:val="en-US" w:eastAsia="zh-CN"/>
              </w:rPr>
            </w:pPr>
            <w:r>
              <w:rPr>
                <w:rFonts w:hint="eastAsia"/>
                <w:sz w:val="24"/>
                <w:szCs w:val="24"/>
                <w:lang w:val="en-US" w:eastAsia="zh-CN"/>
              </w:rPr>
              <w:t>智能扫描模块：</w:t>
            </w:r>
          </w:p>
          <w:p>
            <w:pPr>
              <w:spacing w:line="240" w:lineRule="auto"/>
              <w:jc w:val="both"/>
              <w:rPr>
                <w:sz w:val="24"/>
                <w:szCs w:val="24"/>
              </w:rPr>
            </w:pPr>
            <w:r>
              <w:rPr>
                <w:rFonts w:hint="eastAsia"/>
                <w:sz w:val="24"/>
                <w:szCs w:val="24"/>
              </w:rPr>
              <w:t>1.应支持校管理员、院管理员使用扫卷客户端时自动检测配套扫描仪设备，并进行设备连接检测；</w:t>
            </w:r>
          </w:p>
          <w:p>
            <w:pPr>
              <w:spacing w:line="240" w:lineRule="auto"/>
              <w:jc w:val="both"/>
              <w:rPr>
                <w:sz w:val="24"/>
                <w:szCs w:val="24"/>
              </w:rPr>
            </w:pPr>
            <w:r>
              <w:rPr>
                <w:rFonts w:hint="eastAsia"/>
                <w:sz w:val="24"/>
                <w:szCs w:val="24"/>
                <w:lang w:eastAsia="zh-CN"/>
              </w:rPr>
              <w:t>★</w:t>
            </w:r>
            <w:r>
              <w:rPr>
                <w:rFonts w:hint="eastAsia"/>
                <w:sz w:val="24"/>
                <w:szCs w:val="24"/>
              </w:rPr>
              <w:t>2</w:t>
            </w:r>
            <w:r>
              <w:rPr>
                <w:rFonts w:hint="eastAsia"/>
                <w:sz w:val="24"/>
                <w:szCs w:val="24"/>
                <w:lang w:val="en-US" w:eastAsia="zh-CN"/>
              </w:rPr>
              <w:t>.应支持答题卡扫描时自动检验识别考生条形码、7-15位学号填涂、客观题填涂、缺考标记等，支持扫描和错误校验同步进行。响应文件中提供软件界面功能截图；</w:t>
            </w:r>
          </w:p>
          <w:p>
            <w:pPr>
              <w:spacing w:line="240" w:lineRule="auto"/>
              <w:jc w:val="both"/>
              <w:rPr>
                <w:rFonts w:hint="eastAsia"/>
                <w:sz w:val="24"/>
                <w:szCs w:val="24"/>
                <w:lang w:val="en-US" w:eastAsia="zh-CN"/>
              </w:rPr>
            </w:pPr>
            <w:r>
              <w:rPr>
                <w:rFonts w:hint="eastAsia"/>
                <w:sz w:val="24"/>
                <w:szCs w:val="24"/>
                <w:lang w:val="en-US" w:eastAsia="zh-CN"/>
              </w:rPr>
              <w:t>在线阅卷模块：</w:t>
            </w:r>
          </w:p>
          <w:p>
            <w:pPr>
              <w:spacing w:line="240" w:lineRule="auto"/>
              <w:jc w:val="both"/>
              <w:rPr>
                <w:sz w:val="24"/>
                <w:szCs w:val="24"/>
              </w:rPr>
            </w:pPr>
            <w:r>
              <w:rPr>
                <w:rFonts w:hint="eastAsia"/>
                <w:sz w:val="24"/>
                <w:szCs w:val="24"/>
                <w:lang w:eastAsia="zh-CN"/>
              </w:rPr>
              <w:t>★</w:t>
            </w:r>
            <w:r>
              <w:rPr>
                <w:rFonts w:hint="eastAsia"/>
                <w:sz w:val="24"/>
                <w:szCs w:val="24"/>
              </w:rPr>
              <w:t>1.应支持在阅卷之前组长设置阅卷任务工作安排，组长清晰看到本次试卷的题目数量、客观题数量及分数、主观题数量及分数、总分等，设置教师阅卷时是否显示阅卷任务量、允许查看全卷、显示学生信息、显示学生客观题分数；应支持组长分配阅卷任务给其他阅卷教师，支持按班级阅卷模式；应支持主观题单双评设置的功能、智能评阅的细化设置和设置多个答案，应支持对填空题是否定义为主观题进行设置，当选择为客观题时必须和答案完全一致才能得分；若选为主观题，应支持系统智能评分并选择机器评分或者优先教师评分的功能；应支持英语类主观题应支持系统智能评分，需提供一个已通过智能自动评阅功能完成批阅的试卷结果，并支持导出人机对比报告；（提供现场演示）</w:t>
            </w:r>
          </w:p>
          <w:p>
            <w:pPr>
              <w:spacing w:line="240" w:lineRule="auto"/>
              <w:jc w:val="both"/>
              <w:rPr>
                <w:sz w:val="24"/>
                <w:szCs w:val="24"/>
              </w:rPr>
            </w:pPr>
            <w:r>
              <w:rPr>
                <w:rFonts w:hint="eastAsia"/>
                <w:sz w:val="24"/>
                <w:szCs w:val="24"/>
                <w:lang w:eastAsia="zh-CN"/>
              </w:rPr>
              <w:t>★</w:t>
            </w:r>
            <w:r>
              <w:rPr>
                <w:rFonts w:hint="eastAsia"/>
                <w:sz w:val="24"/>
                <w:szCs w:val="24"/>
              </w:rPr>
              <w:t>2.应支持组长对主观题进行单评、双评等评阅模式设置，并可进行误差控制方式设置，应支持设置超出阀值后确定仲裁教师的功能，应支持阅卷教师按照教学班、自然班进行批阅也可按照组长所分配的任务进行流水化模式阅卷；并支持对分配阅卷老师的阅卷数量，灵活分配阅卷任务；响应文件中提供软件界面功能截图；</w:t>
            </w:r>
          </w:p>
          <w:p>
            <w:pPr>
              <w:spacing w:line="240" w:lineRule="auto"/>
              <w:jc w:val="both"/>
              <w:rPr>
                <w:rFonts w:hint="eastAsia"/>
                <w:sz w:val="24"/>
                <w:szCs w:val="24"/>
                <w:lang w:val="en-US" w:eastAsia="zh-CN"/>
              </w:rPr>
            </w:pPr>
            <w:r>
              <w:rPr>
                <w:rFonts w:hint="eastAsia"/>
                <w:sz w:val="24"/>
                <w:szCs w:val="24"/>
                <w:lang w:val="en-US" w:eastAsia="zh-CN"/>
              </w:rPr>
              <w:t>智能评阅模块：</w:t>
            </w:r>
          </w:p>
          <w:p>
            <w:pPr>
              <w:spacing w:line="240" w:lineRule="auto"/>
              <w:jc w:val="both"/>
              <w:rPr>
                <w:sz w:val="24"/>
                <w:szCs w:val="24"/>
              </w:rPr>
            </w:pPr>
            <w:r>
              <w:rPr>
                <w:rFonts w:hint="eastAsia"/>
                <w:sz w:val="24"/>
                <w:szCs w:val="24"/>
              </w:rPr>
              <w:t>1.在评阅阶段，需支持教师针对笔试英语作文题、翻译题根据需求选择是否开启智能自动评阅功能，并对需要智能自动评阅的题目设置参考答案；</w:t>
            </w:r>
          </w:p>
          <w:p>
            <w:pPr>
              <w:spacing w:line="240" w:lineRule="auto"/>
              <w:jc w:val="both"/>
              <w:rPr>
                <w:rFonts w:hint="eastAsia"/>
                <w:sz w:val="24"/>
                <w:szCs w:val="24"/>
              </w:rPr>
            </w:pPr>
            <w:r>
              <w:rPr>
                <w:rFonts w:hint="eastAsia"/>
                <w:sz w:val="24"/>
                <w:szCs w:val="24"/>
                <w:lang w:eastAsia="zh-CN"/>
              </w:rPr>
              <w:t>★</w:t>
            </w:r>
            <w:r>
              <w:rPr>
                <w:sz w:val="24"/>
                <w:szCs w:val="24"/>
              </w:rPr>
              <w:t>2</w:t>
            </w:r>
            <w:r>
              <w:rPr>
                <w:rFonts w:hint="eastAsia"/>
                <w:sz w:val="24"/>
                <w:szCs w:val="24"/>
              </w:rPr>
              <w:t>.支持英语学科填空题自动评阅功能，功能需支持题目答案设置“A或B 类型”标准答案（即学生作答时两个答案均可判定为正确答案）；响应文件中提供软件界面功能截图。</w:t>
            </w:r>
          </w:p>
          <w:p>
            <w:pPr>
              <w:numPr>
                <w:ilvl w:val="0"/>
                <w:numId w:val="0"/>
              </w:numPr>
              <w:spacing w:line="240" w:lineRule="auto"/>
              <w:jc w:val="both"/>
              <w:rPr>
                <w:rFonts w:hint="eastAsia"/>
                <w:sz w:val="24"/>
                <w:szCs w:val="24"/>
              </w:rPr>
            </w:pPr>
            <w:r>
              <w:rPr>
                <w:rFonts w:hint="eastAsia"/>
                <w:sz w:val="24"/>
                <w:szCs w:val="24"/>
                <w:lang w:val="en-US" w:eastAsia="zh-CN"/>
              </w:rPr>
              <w:t>3.</w:t>
            </w:r>
            <w:r>
              <w:rPr>
                <w:rFonts w:hint="eastAsia"/>
                <w:sz w:val="24"/>
                <w:szCs w:val="24"/>
              </w:rPr>
              <w:t>支持填空题智能评阅优先级设置功能，可一键选择优先选用机器自动评阅结果或优先教师人工评阅结果、教师未评阅则选用机器评阅结果（机器评阅支持人工复检）；</w:t>
            </w:r>
          </w:p>
          <w:p>
            <w:pPr>
              <w:numPr>
                <w:ilvl w:val="0"/>
                <w:numId w:val="0"/>
              </w:numPr>
              <w:spacing w:line="240" w:lineRule="auto"/>
              <w:jc w:val="both"/>
              <w:rPr>
                <w:rFonts w:hint="default" w:ascii="Times New Roman" w:hAnsi="Times New Roman" w:eastAsia="宋体" w:cs="Times New Roman"/>
                <w:sz w:val="24"/>
                <w:szCs w:val="24"/>
                <w:highlight w:val="yellow"/>
                <w:lang w:val="en-US"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4.应支持生成试卷分析报告，包括题目、小题为内容的统计分析；提供单科班级成绩分析报告（包含考生人数、平均分、最高分、及格率、优秀率、标准差、难度、区分度等指标），分数段布曲线、试题分类统计等；应支持一键下载归档材料压缩包，包括成绩单、成绩报告、试卷分析、试题和参考答案及已阅答卷扫描件等；</w:t>
            </w:r>
            <w:r>
              <w:rPr>
                <w:rFonts w:hint="eastAsia" w:ascii="Times New Roman" w:hAnsi="Times New Roman" w:eastAsia="宋体" w:cs="Times New Roman"/>
                <w:b/>
                <w:bCs/>
                <w:sz w:val="24"/>
                <w:szCs w:val="24"/>
                <w:highlight w:val="none"/>
                <w:lang w:val="en-US" w:eastAsia="zh-CN"/>
              </w:rPr>
              <w:t>（提供现场或远程演示）</w:t>
            </w:r>
          </w:p>
          <w:p>
            <w:pPr>
              <w:numPr>
                <w:ilvl w:val="0"/>
                <w:numId w:val="0"/>
              </w:numPr>
              <w:spacing w:line="240" w:lineRule="auto"/>
              <w:jc w:val="both"/>
              <w:rPr>
                <w:rFonts w:hint="default"/>
                <w:sz w:val="24"/>
                <w:szCs w:val="24"/>
                <w:lang w:val="en-US"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支持英语学科填空题自动评阅功能，功能需支持题目答案设置“A或B 类型”标准答案（即学生作答时两个答案均可判定为正确答案）；响应文件中提供软件界面功能截图。</w:t>
            </w:r>
          </w:p>
        </w:tc>
        <w:tc>
          <w:tcPr>
            <w:tcW w:w="405" w:type="dxa"/>
            <w:noWrap w:val="0"/>
            <w:vAlign w:val="center"/>
          </w:tcPr>
          <w:p>
            <w:pPr>
              <w:snapToGrid w:val="0"/>
              <w:spacing w:line="360" w:lineRule="exact"/>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1套</w:t>
            </w:r>
          </w:p>
        </w:tc>
        <w:tc>
          <w:tcPr>
            <w:tcW w:w="795" w:type="dxa"/>
            <w:noWrap w:val="0"/>
            <w:vAlign w:val="top"/>
          </w:tcPr>
          <w:p>
            <w:pPr>
              <w:snapToGrid w:val="0"/>
              <w:spacing w:line="360" w:lineRule="exact"/>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外语学院所有课程（基础英语、专业外语等）</w:t>
            </w:r>
          </w:p>
        </w:tc>
        <w:tc>
          <w:tcPr>
            <w:tcW w:w="765" w:type="dxa"/>
            <w:noWrap w:val="0"/>
            <w:vAlign w:val="top"/>
          </w:tcPr>
          <w:p>
            <w:pPr>
              <w:snapToGrid w:val="0"/>
              <w:spacing w:line="36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云端</w:t>
            </w:r>
          </w:p>
          <w:p>
            <w:pPr>
              <w:snapToGrid w:val="0"/>
              <w:spacing w:line="36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58" w:type="dxa"/>
            <w:noWrap w:val="0"/>
            <w:vAlign w:val="center"/>
          </w:tcPr>
          <w:p>
            <w:pPr>
              <w:snapToGrid w:val="0"/>
              <w:spacing w:line="360" w:lineRule="exact"/>
              <w:rPr>
                <w:rFonts w:hint="eastAsia" w:ascii="楷体_GB2312" w:eastAsia="楷体_GB2312"/>
                <w:sz w:val="24"/>
                <w:szCs w:val="24"/>
                <w:lang w:val="en-US" w:eastAsia="zh-CN"/>
              </w:rPr>
            </w:pPr>
            <w:r>
              <w:rPr>
                <w:rFonts w:hint="eastAsia" w:ascii="楷体_GB2312" w:eastAsia="楷体_GB2312"/>
                <w:sz w:val="24"/>
                <w:szCs w:val="24"/>
                <w:lang w:val="en-US" w:eastAsia="zh-CN"/>
              </w:rPr>
              <w:t>2</w:t>
            </w:r>
          </w:p>
        </w:tc>
        <w:tc>
          <w:tcPr>
            <w:tcW w:w="735" w:type="dxa"/>
            <w:noWrap w:val="0"/>
            <w:vAlign w:val="center"/>
          </w:tcPr>
          <w:p>
            <w:pPr>
              <w:snapToGrid w:val="0"/>
              <w:spacing w:line="360" w:lineRule="exact"/>
              <w:rPr>
                <w:rFonts w:hint="eastAsia" w:ascii="楷体_GB2312" w:eastAsia="楷体_GB2312"/>
                <w:sz w:val="24"/>
                <w:szCs w:val="24"/>
                <w:lang w:val="en-US" w:eastAsia="zh-CN"/>
              </w:rPr>
            </w:pPr>
            <w:r>
              <w:rPr>
                <w:rFonts w:hint="eastAsia" w:ascii="楷体_GB2312" w:eastAsia="楷体_GB2312"/>
                <w:sz w:val="24"/>
                <w:szCs w:val="24"/>
                <w:lang w:val="en-US" w:eastAsia="zh-CN"/>
              </w:rPr>
              <w:t>高速扫描仪</w:t>
            </w:r>
          </w:p>
        </w:tc>
        <w:tc>
          <w:tcPr>
            <w:tcW w:w="5820" w:type="dxa"/>
            <w:noWrap w:val="0"/>
            <w:vAlign w:val="center"/>
          </w:tcPr>
          <w:p>
            <w:pPr>
              <w:spacing w:line="240" w:lineRule="auto"/>
              <w:jc w:val="both"/>
              <w:rPr>
                <w:rFonts w:ascii="宋体" w:hAnsi="宋体" w:cs="宋体"/>
                <w:sz w:val="24"/>
                <w:szCs w:val="24"/>
              </w:rPr>
            </w:pPr>
            <w:r>
              <w:rPr>
                <w:rFonts w:hint="eastAsia" w:ascii="宋体" w:hAnsi="宋体" w:cs="宋体"/>
                <w:sz w:val="24"/>
                <w:szCs w:val="24"/>
              </w:rPr>
              <w:t>1.扫描类型：直通道或U型通道；支持自动进纸扫描</w:t>
            </w:r>
          </w:p>
          <w:p>
            <w:pPr>
              <w:spacing w:line="240" w:lineRule="auto"/>
              <w:jc w:val="both"/>
              <w:rPr>
                <w:rFonts w:ascii="宋体" w:hAnsi="宋体" w:cs="宋体"/>
                <w:sz w:val="24"/>
                <w:szCs w:val="24"/>
              </w:rPr>
            </w:pPr>
            <w:r>
              <w:rPr>
                <w:rFonts w:hint="eastAsia" w:ascii="宋体" w:hAnsi="宋体" w:cs="宋体"/>
                <w:sz w:val="24"/>
                <w:szCs w:val="24"/>
              </w:rPr>
              <w:t>2.光源：LED</w:t>
            </w:r>
          </w:p>
          <w:p>
            <w:pPr>
              <w:spacing w:line="240" w:lineRule="auto"/>
              <w:jc w:val="both"/>
              <w:rPr>
                <w:rFonts w:ascii="宋体" w:hAnsi="宋体" w:cs="宋体"/>
                <w:sz w:val="24"/>
                <w:szCs w:val="24"/>
              </w:rPr>
            </w:pPr>
            <w:r>
              <w:rPr>
                <w:rFonts w:hint="eastAsia" w:ascii="宋体" w:hAnsi="宋体" w:cs="宋体"/>
                <w:sz w:val="24"/>
                <w:szCs w:val="24"/>
              </w:rPr>
              <w:t>3.接口：支持USB2.0</w:t>
            </w:r>
          </w:p>
          <w:p>
            <w:pPr>
              <w:spacing w:line="240" w:lineRule="auto"/>
              <w:jc w:val="both"/>
              <w:rPr>
                <w:rFonts w:ascii="宋体" w:hAnsi="宋体" w:cs="宋体"/>
                <w:sz w:val="24"/>
                <w:szCs w:val="24"/>
              </w:rPr>
            </w:pPr>
            <w:r>
              <w:rPr>
                <w:rFonts w:hint="eastAsia" w:ascii="宋体" w:hAnsi="宋体" w:cs="宋体"/>
                <w:sz w:val="24"/>
                <w:szCs w:val="24"/>
              </w:rPr>
              <w:t>4.扫描速度：150 dpi 和 200 dpi 黑白、灰度和彩色模式下都可达到每分钟80 页/160 个影像</w:t>
            </w:r>
          </w:p>
          <w:p>
            <w:pPr>
              <w:spacing w:line="240" w:lineRule="auto"/>
              <w:jc w:val="both"/>
              <w:rPr>
                <w:rFonts w:ascii="宋体" w:hAnsi="宋体" w:cs="宋体"/>
                <w:sz w:val="24"/>
                <w:szCs w:val="24"/>
              </w:rPr>
            </w:pPr>
            <w:r>
              <w:rPr>
                <w:rFonts w:hint="eastAsia" w:ascii="宋体" w:hAnsi="宋体" w:cs="宋体"/>
                <w:sz w:val="24"/>
                <w:szCs w:val="24"/>
              </w:rPr>
              <w:t>5.ADF容量：≥100张80g/m2 (20磅)纸张</w:t>
            </w:r>
          </w:p>
          <w:p>
            <w:pPr>
              <w:spacing w:line="240" w:lineRule="auto"/>
              <w:jc w:val="both"/>
              <w:rPr>
                <w:rFonts w:ascii="宋体" w:hAnsi="宋体" w:cs="宋体"/>
                <w:sz w:val="24"/>
                <w:szCs w:val="24"/>
              </w:rPr>
            </w:pPr>
            <w:r>
              <w:rPr>
                <w:rFonts w:hint="eastAsia" w:ascii="宋体" w:hAnsi="宋体" w:cs="宋体"/>
                <w:sz w:val="24"/>
                <w:szCs w:val="24"/>
              </w:rPr>
              <w:t>6.输出文件格式：支持彩色/黑白/灰度情况的单面和双面出图；输出文件格式为PDF、BMP、JPEG、TIFF、PNG等常用图像格式</w:t>
            </w:r>
          </w:p>
          <w:p>
            <w:pPr>
              <w:spacing w:line="240" w:lineRule="auto"/>
              <w:jc w:val="both"/>
              <w:rPr>
                <w:rFonts w:ascii="楷体_GB2312" w:eastAsia="楷体_GB2312"/>
                <w:sz w:val="24"/>
                <w:szCs w:val="24"/>
              </w:rPr>
            </w:pPr>
            <w:r>
              <w:rPr>
                <w:rFonts w:hint="eastAsia" w:ascii="宋体" w:hAnsi="宋体" w:cs="宋体"/>
                <w:sz w:val="24"/>
                <w:szCs w:val="24"/>
              </w:rPr>
              <w:t>7.光学分辨率：支持100DPI、150DPI、200DPI、300DPI、400DPI、600DPI的图像输出</w:t>
            </w:r>
          </w:p>
        </w:tc>
        <w:tc>
          <w:tcPr>
            <w:tcW w:w="405" w:type="dxa"/>
            <w:noWrap w:val="0"/>
            <w:vAlign w:val="center"/>
          </w:tcPr>
          <w:p>
            <w:pPr>
              <w:snapToGrid w:val="0"/>
              <w:spacing w:line="360" w:lineRule="exact"/>
              <w:rPr>
                <w:rFonts w:hint="default" w:ascii="楷体_GB2312" w:eastAsia="楷体_GB2312"/>
                <w:sz w:val="24"/>
                <w:szCs w:val="24"/>
                <w:lang w:val="en-US" w:eastAsia="zh-CN"/>
              </w:rPr>
            </w:pPr>
            <w:r>
              <w:rPr>
                <w:rFonts w:hint="eastAsia" w:ascii="楷体_GB2312" w:eastAsia="楷体_GB2312"/>
                <w:sz w:val="24"/>
                <w:szCs w:val="24"/>
                <w:lang w:val="en-US" w:eastAsia="zh-CN"/>
              </w:rPr>
              <w:t>3台</w:t>
            </w:r>
          </w:p>
        </w:tc>
        <w:tc>
          <w:tcPr>
            <w:tcW w:w="795" w:type="dxa"/>
            <w:noWrap w:val="0"/>
            <w:vAlign w:val="top"/>
          </w:tcPr>
          <w:p>
            <w:pPr>
              <w:snapToGrid w:val="0"/>
              <w:spacing w:line="360" w:lineRule="exact"/>
              <w:rPr>
                <w:rFonts w:ascii="楷体_GB2312" w:eastAsia="楷体_GB2312"/>
                <w:sz w:val="24"/>
                <w:szCs w:val="24"/>
              </w:rPr>
            </w:pPr>
          </w:p>
        </w:tc>
        <w:tc>
          <w:tcPr>
            <w:tcW w:w="765" w:type="dxa"/>
            <w:noWrap w:val="0"/>
            <w:vAlign w:val="top"/>
          </w:tcPr>
          <w:p>
            <w:pPr>
              <w:snapToGrid w:val="0"/>
              <w:spacing w:line="360" w:lineRule="exact"/>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58" w:type="dxa"/>
            <w:noWrap w:val="0"/>
            <w:vAlign w:val="center"/>
          </w:tcPr>
          <w:p>
            <w:pPr>
              <w:snapToGrid w:val="0"/>
              <w:spacing w:line="360" w:lineRule="exact"/>
              <w:rPr>
                <w:rFonts w:hint="eastAsia" w:ascii="楷体_GB2312" w:eastAsia="楷体_GB2312"/>
                <w:sz w:val="24"/>
                <w:szCs w:val="24"/>
                <w:lang w:val="en-US" w:eastAsia="zh-CN"/>
              </w:rPr>
            </w:pPr>
          </w:p>
        </w:tc>
        <w:tc>
          <w:tcPr>
            <w:tcW w:w="8520" w:type="dxa"/>
            <w:gridSpan w:val="5"/>
            <w:noWrap w:val="0"/>
            <w:vAlign w:val="center"/>
          </w:tcPr>
          <w:p>
            <w:pPr>
              <w:snapToGrid w:val="0"/>
              <w:spacing w:line="360" w:lineRule="exact"/>
              <w:rPr>
                <w:rFonts w:hint="eastAsia"/>
                <w:sz w:val="24"/>
                <w:szCs w:val="24"/>
                <w:lang w:val="en-US" w:eastAsia="zh-CN"/>
              </w:rPr>
            </w:pPr>
            <w:r>
              <w:rPr>
                <w:rFonts w:hint="eastAsia"/>
                <w:sz w:val="24"/>
                <w:szCs w:val="24"/>
                <w:lang w:val="en-US" w:eastAsia="zh-CN"/>
              </w:rPr>
              <w:t xml:space="preserve">要求云端部署、自带外语题库、工期15工作日历日完成上线并投入使用  </w:t>
            </w:r>
          </w:p>
          <w:p>
            <w:pPr>
              <w:snapToGrid w:val="0"/>
              <w:spacing w:line="360" w:lineRule="exact"/>
              <w:rPr>
                <w:rFonts w:hint="eastAsia"/>
                <w:sz w:val="24"/>
                <w:szCs w:val="24"/>
              </w:rPr>
            </w:pPr>
            <w:r>
              <w:rPr>
                <w:rFonts w:hint="eastAsia"/>
                <w:sz w:val="24"/>
                <w:szCs w:val="24"/>
                <w:lang w:val="en-US" w:eastAsia="zh-CN"/>
              </w:rPr>
              <w:t>疫情期间需要线上进行学院有关老师全员培训并达到熟练掌握</w:t>
            </w:r>
            <w:r>
              <w:rPr>
                <w:rFonts w:hint="eastAsia"/>
                <w:sz w:val="24"/>
                <w:szCs w:val="24"/>
              </w:rPr>
              <w:t xml:space="preserve">   </w:t>
            </w:r>
          </w:p>
          <w:p>
            <w:pPr>
              <w:pStyle w:val="4"/>
              <w:rPr>
                <w:sz w:val="24"/>
                <w:szCs w:val="24"/>
              </w:rPr>
            </w:pPr>
            <w:r>
              <w:rPr>
                <w:rFonts w:hint="eastAsia"/>
                <w:sz w:val="24"/>
                <w:szCs w:val="24"/>
                <w:lang w:val="en-US" w:eastAsia="zh-CN"/>
              </w:rPr>
              <w:t>三年内免费服务（人工、升级）</w:t>
            </w:r>
          </w:p>
        </w:tc>
      </w:tr>
    </w:tbl>
    <w:p>
      <w:pPr>
        <w:rPr>
          <w:rFonts w:hint="eastAsia"/>
          <w:lang w:val="en-US" w:eastAsia="zh-CN"/>
        </w:rPr>
      </w:pPr>
    </w:p>
    <w:p>
      <w:pPr>
        <w:pStyle w:val="9"/>
        <w:sectPr>
          <w:footerReference r:id="rId3" w:type="default"/>
          <w:pgSz w:w="11906" w:h="16838"/>
          <w:pgMar w:top="1440" w:right="1803" w:bottom="1440" w:left="1803" w:header="851" w:footer="992" w:gutter="0"/>
          <w:cols w:space="720" w:num="1"/>
          <w:docGrid w:type="lines" w:linePitch="319" w:charSpace="0"/>
        </w:sectPr>
      </w:pPr>
    </w:p>
    <w:p>
      <w:pPr>
        <w:jc w:val="center"/>
        <w:rPr>
          <w:rFonts w:hint="eastAsia"/>
          <w:b/>
          <w:bCs/>
          <w:sz w:val="32"/>
          <w:szCs w:val="36"/>
          <w:lang w:val="en-US" w:eastAsia="zh-CN"/>
        </w:rPr>
      </w:pPr>
      <w:r>
        <w:rPr>
          <w:rFonts w:hint="eastAsia"/>
          <w:b/>
          <w:bCs/>
          <w:sz w:val="32"/>
          <w:szCs w:val="36"/>
          <w:lang w:val="en-US" w:eastAsia="zh-CN"/>
        </w:rPr>
        <w:t>第二包</w:t>
      </w:r>
    </w:p>
    <w:p>
      <w:pPr>
        <w:pStyle w:val="4"/>
        <w:rPr>
          <w:rFonts w:hint="eastAsia"/>
          <w:lang w:val="en-US" w:eastAsia="zh-CN"/>
        </w:rPr>
      </w:pPr>
    </w:p>
    <w:tbl>
      <w:tblPr>
        <w:tblStyle w:val="10"/>
        <w:tblpPr w:leftFromText="180" w:rightFromText="180" w:vertAnchor="text" w:tblpXSpec="center" w:tblpY="1"/>
        <w:tblOverlap w:val="never"/>
        <w:tblW w:w="866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7"/>
        <w:gridCol w:w="735"/>
        <w:gridCol w:w="4984"/>
        <w:gridCol w:w="570"/>
        <w:gridCol w:w="1185"/>
        <w:gridCol w:w="7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46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序号</w:t>
            </w:r>
          </w:p>
        </w:tc>
        <w:tc>
          <w:tcPr>
            <w:tcW w:w="73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设备名称</w:t>
            </w:r>
          </w:p>
        </w:tc>
        <w:tc>
          <w:tcPr>
            <w:tcW w:w="498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技术指标</w:t>
            </w:r>
          </w:p>
        </w:tc>
        <w:tc>
          <w:tcPr>
            <w:tcW w:w="57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数量</w:t>
            </w:r>
          </w:p>
        </w:tc>
        <w:tc>
          <w:tcPr>
            <w:tcW w:w="118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支撑课程</w:t>
            </w:r>
          </w:p>
        </w:tc>
        <w:tc>
          <w:tcPr>
            <w:tcW w:w="72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存放场地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67" w:type="dxa"/>
            <w:tcBorders>
              <w:top w:val="single" w:color="auto" w:sz="4" w:space="0"/>
              <w:left w:val="single" w:color="auto" w:sz="4" w:space="0"/>
              <w:bottom w:val="single" w:color="auto" w:sz="4" w:space="0"/>
              <w:right w:val="single" w:color="auto" w:sz="4" w:space="0"/>
            </w:tcBorders>
            <w:noWrap w:val="0"/>
            <w:vAlign w:val="top"/>
          </w:tcPr>
          <w:p>
            <w:pPr>
              <w:pStyle w:val="7"/>
              <w:rPr>
                <w:rFonts w:hint="eastAsia" w:ascii="宋体" w:hAnsi="宋体" w:eastAsia="宋体" w:cs="宋体"/>
                <w:sz w:val="24"/>
                <w:szCs w:val="24"/>
              </w:rPr>
            </w:pPr>
            <w:r>
              <w:rPr>
                <w:rFonts w:hint="eastAsia" w:ascii="宋体" w:hAnsi="宋体" w:eastAsia="宋体" w:cs="宋体"/>
                <w:sz w:val="24"/>
                <w:szCs w:val="24"/>
              </w:rPr>
              <w:t>1</w:t>
            </w:r>
          </w:p>
        </w:tc>
        <w:tc>
          <w:tcPr>
            <w:tcW w:w="735" w:type="dxa"/>
            <w:tcBorders>
              <w:top w:val="single" w:color="auto" w:sz="4" w:space="0"/>
              <w:left w:val="single" w:color="auto" w:sz="4" w:space="0"/>
              <w:bottom w:val="single" w:color="auto" w:sz="4" w:space="0"/>
              <w:right w:val="single" w:color="auto" w:sz="4" w:space="0"/>
            </w:tcBorders>
            <w:noWrap w:val="0"/>
            <w:vAlign w:val="top"/>
          </w:tcPr>
          <w:p>
            <w:pPr>
              <w:pStyle w:val="7"/>
              <w:rPr>
                <w:rFonts w:hint="eastAsia" w:ascii="宋体" w:hAnsi="宋体" w:eastAsia="宋体" w:cs="宋体"/>
                <w:sz w:val="24"/>
                <w:szCs w:val="24"/>
              </w:rPr>
            </w:pPr>
            <w:r>
              <w:rPr>
                <w:rFonts w:hint="eastAsia" w:ascii="宋体" w:hAnsi="宋体" w:eastAsia="宋体" w:cs="宋体"/>
                <w:sz w:val="24"/>
                <w:szCs w:val="24"/>
              </w:rPr>
              <w:t>财务大数据可视化分析平台(&gt;=100个站点)</w:t>
            </w:r>
          </w:p>
        </w:tc>
        <w:tc>
          <w:tcPr>
            <w:tcW w:w="4984" w:type="dxa"/>
            <w:tcBorders>
              <w:top w:val="single" w:color="auto" w:sz="4" w:space="0"/>
              <w:left w:val="single" w:color="auto" w:sz="4" w:space="0"/>
              <w:bottom w:val="single" w:color="auto" w:sz="4" w:space="0"/>
              <w:right w:val="single" w:color="auto" w:sz="4" w:space="0"/>
            </w:tcBorders>
            <w:noWrap w:val="0"/>
            <w:vAlign w:val="top"/>
          </w:tcPr>
          <w:p>
            <w:pPr>
              <w:pStyle w:val="7"/>
              <w:numPr>
                <w:ilvl w:val="0"/>
                <w:numId w:val="3"/>
              </w:numPr>
              <w:rPr>
                <w:rFonts w:hint="eastAsia" w:ascii="宋体" w:hAnsi="宋体" w:eastAsia="宋体" w:cs="宋体"/>
                <w:sz w:val="24"/>
                <w:szCs w:val="24"/>
              </w:rPr>
            </w:pPr>
            <w:r>
              <w:rPr>
                <w:rFonts w:hint="eastAsia" w:ascii="宋体" w:hAnsi="宋体" w:eastAsia="宋体" w:cs="宋体"/>
                <w:sz w:val="24"/>
                <w:szCs w:val="24"/>
              </w:rPr>
              <w:t>★该系统为B/S架构，可以提供数据可视化和商业智能全栈套件，能够连接企业的数据资产，自由探索和发现其中的业务规律和价值，为老师科研项目做支撑。</w:t>
            </w:r>
            <w:r>
              <w:rPr>
                <w:rFonts w:hint="eastAsia" w:ascii="宋体" w:hAnsi="宋体" w:eastAsia="宋体" w:cs="宋体"/>
                <w:b/>
                <w:bCs/>
                <w:sz w:val="24"/>
                <w:szCs w:val="24"/>
              </w:rPr>
              <w:t>（需要演示，视频、PPT或者其它方式）</w:t>
            </w:r>
          </w:p>
          <w:p>
            <w:pPr>
              <w:pStyle w:val="7"/>
              <w:numPr>
                <w:ilvl w:val="0"/>
                <w:numId w:val="3"/>
              </w:numPr>
              <w:rPr>
                <w:rFonts w:hint="eastAsia" w:ascii="宋体" w:hAnsi="宋体" w:eastAsia="宋体" w:cs="宋体"/>
                <w:sz w:val="24"/>
                <w:szCs w:val="24"/>
              </w:rPr>
            </w:pPr>
            <w:r>
              <w:rPr>
                <w:rFonts w:hint="eastAsia" w:ascii="宋体" w:hAnsi="宋体" w:eastAsia="宋体" w:cs="宋体"/>
                <w:sz w:val="24"/>
                <w:szCs w:val="24"/>
              </w:rPr>
              <w:t>主要功能包括数据建模、数据分析、数据卡片、仪表板等子模块，支持数据分析内容的发布和授权。</w:t>
            </w:r>
          </w:p>
          <w:p>
            <w:pPr>
              <w:pStyle w:val="7"/>
              <w:rPr>
                <w:rFonts w:hint="eastAsia" w:ascii="宋体" w:hAnsi="宋体" w:eastAsia="宋体" w:cs="宋体"/>
                <w:sz w:val="24"/>
                <w:szCs w:val="24"/>
              </w:rPr>
            </w:pPr>
            <w:r>
              <w:rPr>
                <w:rFonts w:hint="eastAsia" w:ascii="宋体" w:hAnsi="宋体" w:eastAsia="宋体" w:cs="宋体"/>
                <w:sz w:val="24"/>
                <w:szCs w:val="24"/>
              </w:rPr>
              <w:t>3、数据建模用于抽取原始数据，并构建数据模型，建立数据表之间的关联关系，为数据分析和数据卡片进行准备。</w:t>
            </w:r>
          </w:p>
          <w:p>
            <w:pPr>
              <w:pStyle w:val="7"/>
              <w:ind w:firstLine="240" w:firstLineChars="100"/>
              <w:rPr>
                <w:rFonts w:hint="eastAsia" w:ascii="宋体" w:hAnsi="宋体" w:eastAsia="宋体" w:cs="宋体"/>
                <w:sz w:val="24"/>
                <w:szCs w:val="24"/>
              </w:rPr>
            </w:pPr>
            <w:r>
              <w:rPr>
                <w:rFonts w:hint="eastAsia" w:ascii="宋体" w:hAnsi="宋体" w:eastAsia="宋体" w:cs="宋体"/>
                <w:color w:val="000000"/>
                <w:kern w:val="0"/>
                <w:sz w:val="24"/>
                <w:szCs w:val="24"/>
              </w:rPr>
              <w:t>1）</w:t>
            </w:r>
            <w:r>
              <w:rPr>
                <w:rFonts w:hint="eastAsia" w:ascii="宋体" w:hAnsi="宋体" w:eastAsia="宋体" w:cs="宋体"/>
                <w:sz w:val="24"/>
                <w:szCs w:val="24"/>
              </w:rPr>
              <w:t>数据库需支持&gt;=16种类型，需包括：SQL Server、ORACLE、MySQL、Postgre SQL、DB2等；</w:t>
            </w:r>
          </w:p>
          <w:p>
            <w:pPr>
              <w:pStyle w:val="7"/>
              <w:ind w:firstLine="240" w:firstLineChars="100"/>
              <w:rPr>
                <w:rFonts w:hint="eastAsia" w:ascii="宋体" w:hAnsi="宋体" w:eastAsia="宋体" w:cs="宋体"/>
                <w:sz w:val="24"/>
                <w:szCs w:val="24"/>
              </w:rPr>
            </w:pPr>
            <w:r>
              <w:rPr>
                <w:rFonts w:hint="eastAsia" w:ascii="宋体" w:hAnsi="宋体" w:eastAsia="宋体" w:cs="宋体"/>
                <w:color w:val="000000"/>
                <w:kern w:val="0"/>
                <w:sz w:val="24"/>
                <w:szCs w:val="24"/>
              </w:rPr>
              <w:t>2）</w:t>
            </w:r>
            <w:r>
              <w:rPr>
                <w:rFonts w:hint="eastAsia" w:ascii="宋体" w:hAnsi="宋体" w:eastAsia="宋体" w:cs="宋体"/>
                <w:sz w:val="24"/>
                <w:szCs w:val="24"/>
              </w:rPr>
              <w:t>平面数据文件类型要求支持Excel、TXT、CSV三种；</w:t>
            </w:r>
          </w:p>
          <w:p>
            <w:pPr>
              <w:pStyle w:val="7"/>
              <w:ind w:firstLine="240" w:firstLineChars="100"/>
              <w:rPr>
                <w:rFonts w:hint="eastAsia" w:ascii="宋体" w:hAnsi="宋体" w:eastAsia="宋体" w:cs="宋体"/>
                <w:sz w:val="24"/>
                <w:szCs w:val="24"/>
              </w:rPr>
            </w:pPr>
            <w:r>
              <w:rPr>
                <w:rFonts w:hint="eastAsia" w:ascii="宋体" w:hAnsi="宋体" w:eastAsia="宋体" w:cs="宋体"/>
                <w:color w:val="000000"/>
                <w:kern w:val="0"/>
                <w:sz w:val="24"/>
                <w:szCs w:val="24"/>
              </w:rPr>
              <w:t>3）★</w:t>
            </w:r>
            <w:r>
              <w:rPr>
                <w:rFonts w:hint="eastAsia" w:ascii="宋体" w:hAnsi="宋体" w:eastAsia="宋体" w:cs="宋体"/>
                <w:sz w:val="24"/>
                <w:szCs w:val="24"/>
              </w:rPr>
              <w:t>建立数据表进行数据建模时，需提供表、自定义SQL、自定义KSQL、存储过程四种获取数据的方式；</w:t>
            </w:r>
            <w:r>
              <w:rPr>
                <w:rFonts w:hint="eastAsia" w:ascii="宋体" w:hAnsi="宋体" w:eastAsia="宋体" w:cs="宋体"/>
                <w:b/>
                <w:bCs/>
                <w:sz w:val="24"/>
                <w:szCs w:val="24"/>
              </w:rPr>
              <w:t>（需要演示，视频、PPT或者其它方式）</w:t>
            </w:r>
          </w:p>
          <w:p>
            <w:pPr>
              <w:pStyle w:val="7"/>
              <w:ind w:firstLine="240" w:firstLineChars="100"/>
              <w:rPr>
                <w:rFonts w:hint="eastAsia" w:ascii="宋体" w:hAnsi="宋体" w:eastAsia="宋体" w:cs="宋体"/>
                <w:sz w:val="24"/>
                <w:szCs w:val="24"/>
              </w:rPr>
            </w:pPr>
            <w:r>
              <w:rPr>
                <w:rFonts w:hint="eastAsia" w:ascii="宋体" w:hAnsi="宋体" w:eastAsia="宋体" w:cs="宋体"/>
                <w:sz w:val="24"/>
                <w:szCs w:val="24"/>
              </w:rPr>
              <w:t>4）数据建模中，两表之间的关联只允许有一对关系，关系分为&lt;一对一&gt;、&lt;一对多&gt;和&lt;多对一&gt;三种，可根据实际业务场景确定采用哪种关系。</w:t>
            </w:r>
          </w:p>
          <w:p>
            <w:pPr>
              <w:pStyle w:val="7"/>
              <w:rPr>
                <w:rFonts w:hint="eastAsia" w:ascii="宋体" w:hAnsi="宋体" w:eastAsia="宋体" w:cs="宋体"/>
                <w:sz w:val="24"/>
                <w:szCs w:val="24"/>
              </w:rPr>
            </w:pPr>
            <w:r>
              <w:rPr>
                <w:rFonts w:hint="eastAsia" w:ascii="宋体" w:hAnsi="宋体" w:eastAsia="宋体" w:cs="宋体"/>
                <w:sz w:val="24"/>
                <w:szCs w:val="24"/>
              </w:rPr>
              <w:t>4、数据分析用户可通过简单拖拽制作多维度透视的图表，可更高效地对业务数据进行分析探索，快速创建自己所关注的数据分析内容。</w:t>
            </w:r>
          </w:p>
          <w:p>
            <w:pPr>
              <w:pStyle w:val="7"/>
              <w:rPr>
                <w:rFonts w:hint="eastAsia" w:ascii="宋体" w:hAnsi="宋体" w:eastAsia="宋体" w:cs="宋体"/>
                <w:sz w:val="24"/>
                <w:szCs w:val="24"/>
              </w:rPr>
            </w:pPr>
            <w:r>
              <w:rPr>
                <w:rFonts w:hint="eastAsia" w:ascii="宋体" w:hAnsi="宋体" w:eastAsia="宋体" w:cs="宋体"/>
                <w:sz w:val="24"/>
                <w:szCs w:val="24"/>
              </w:rPr>
              <w:t>1）★图表类型区域需支持&gt;=10种图表，需包括：表格、柱形图、堆积柱形图、折线图、多系列折线图、面积图、饼图、热力图、树图、散点/气泡图。切换图表类型后，行、列、数值区域等功能区中的字段也会智能地调整；</w:t>
            </w:r>
            <w:r>
              <w:rPr>
                <w:rFonts w:hint="eastAsia" w:ascii="宋体" w:hAnsi="宋体" w:eastAsia="宋体" w:cs="宋体"/>
                <w:b/>
                <w:bCs/>
                <w:sz w:val="24"/>
                <w:szCs w:val="24"/>
              </w:rPr>
              <w:t>（需要演示，视频、PPT或者其它方式）</w:t>
            </w:r>
          </w:p>
          <w:p>
            <w:pPr>
              <w:pStyle w:val="7"/>
              <w:ind w:firstLine="240" w:firstLineChars="100"/>
              <w:rPr>
                <w:rFonts w:hint="eastAsia" w:ascii="宋体" w:hAnsi="宋体" w:eastAsia="宋体" w:cs="宋体"/>
                <w:sz w:val="24"/>
                <w:szCs w:val="24"/>
              </w:rPr>
            </w:pPr>
            <w:r>
              <w:rPr>
                <w:rFonts w:hint="eastAsia" w:ascii="宋体" w:hAnsi="宋体" w:eastAsia="宋体" w:cs="宋体"/>
                <w:sz w:val="24"/>
                <w:szCs w:val="24"/>
              </w:rPr>
              <w:t>2）★交叉表可利用IF函数，将数值其显示方式设置为“颜色”，即可实现表格数据的颜色渐变，如负值为红色，正值为绿色，便于快速发现问题。</w:t>
            </w:r>
            <w:r>
              <w:rPr>
                <w:rFonts w:hint="eastAsia" w:ascii="宋体" w:hAnsi="宋体" w:eastAsia="宋体" w:cs="宋体"/>
                <w:b/>
                <w:bCs/>
                <w:sz w:val="24"/>
                <w:szCs w:val="24"/>
              </w:rPr>
              <w:t>（需要演示，视频、PPT或者其它方式）</w:t>
            </w:r>
          </w:p>
          <w:p>
            <w:pPr>
              <w:pStyle w:val="7"/>
              <w:rPr>
                <w:rFonts w:hint="eastAsia" w:ascii="宋体" w:hAnsi="宋体" w:eastAsia="宋体" w:cs="宋体"/>
                <w:sz w:val="24"/>
                <w:szCs w:val="24"/>
              </w:rPr>
            </w:pPr>
            <w:r>
              <w:rPr>
                <w:rFonts w:hint="eastAsia" w:ascii="宋体" w:hAnsi="宋体" w:eastAsia="宋体" w:cs="宋体"/>
                <w:sz w:val="24"/>
                <w:szCs w:val="24"/>
              </w:rPr>
              <w:t>5、数据卡片是大数据分析的卡片设计工具。可以用于创作各种数据可视化卡片，并把它们排列和布局到自己的个性化桌面端、大屏业务门户上。</w:t>
            </w:r>
          </w:p>
          <w:p>
            <w:pPr>
              <w:pStyle w:val="7"/>
              <w:rPr>
                <w:rFonts w:hint="eastAsia" w:ascii="宋体" w:hAnsi="宋体" w:eastAsia="宋体" w:cs="宋体"/>
                <w:sz w:val="24"/>
                <w:szCs w:val="24"/>
              </w:rPr>
            </w:pPr>
            <w:r>
              <w:rPr>
                <w:rFonts w:hint="eastAsia" w:ascii="宋体" w:hAnsi="宋体" w:eastAsia="宋体" w:cs="宋体"/>
                <w:sz w:val="24"/>
                <w:szCs w:val="24"/>
              </w:rPr>
              <w:t>1）数据卡片页面应包含五部分，以方便进行数据分析，包括：字段区域、图表类型区域、功能区域、卡片预览区域和属性设置区域；</w:t>
            </w:r>
          </w:p>
          <w:p>
            <w:pPr>
              <w:pStyle w:val="7"/>
              <w:rPr>
                <w:rFonts w:hint="eastAsia" w:ascii="宋体" w:hAnsi="宋体" w:eastAsia="宋体" w:cs="宋体"/>
                <w:sz w:val="24"/>
                <w:szCs w:val="24"/>
              </w:rPr>
            </w:pPr>
            <w:r>
              <w:rPr>
                <w:rFonts w:hint="eastAsia" w:ascii="宋体" w:hAnsi="宋体" w:eastAsia="宋体" w:cs="宋体"/>
                <w:sz w:val="24"/>
                <w:szCs w:val="24"/>
              </w:rPr>
              <w:t>2）数据卡片可支持&gt;=20种图表类型，分别为：多系列柱形图、堆积柱形图、百分比堆积柱形图、多系列条形图、堆积条形图、百分比堆积条形图、折线图、面积图、百分比面积图、饼图、业务指标、地图、雷达图、柱形进度图、条形进度图、环形进度图、仪表图、列表、组合图、环形图；</w:t>
            </w:r>
          </w:p>
          <w:p>
            <w:pPr>
              <w:pStyle w:val="7"/>
              <w:rPr>
                <w:rFonts w:hint="eastAsia" w:ascii="宋体" w:hAnsi="宋体" w:eastAsia="宋体" w:cs="宋体"/>
                <w:sz w:val="24"/>
                <w:szCs w:val="24"/>
              </w:rPr>
            </w:pPr>
            <w:r>
              <w:rPr>
                <w:rFonts w:hint="eastAsia" w:ascii="宋体" w:hAnsi="宋体" w:eastAsia="宋体" w:cs="宋体"/>
                <w:sz w:val="24"/>
                <w:szCs w:val="24"/>
              </w:rPr>
              <w:t>3）数据表格类型的斗方卡片可提供数据的自动滚动显示，为突出重要数据，可设置冻结前几行，可设置按指定字段进行降序、升序排列显示；</w:t>
            </w:r>
          </w:p>
          <w:p>
            <w:pPr>
              <w:pStyle w:val="7"/>
              <w:rPr>
                <w:rFonts w:hint="eastAsia" w:ascii="宋体" w:hAnsi="宋体" w:eastAsia="宋体" w:cs="宋体"/>
                <w:sz w:val="24"/>
                <w:szCs w:val="24"/>
              </w:rPr>
            </w:pPr>
            <w:r>
              <w:rPr>
                <w:rFonts w:hint="eastAsia" w:ascii="宋体" w:hAnsi="宋体" w:eastAsia="宋体" w:cs="宋体"/>
                <w:sz w:val="24"/>
                <w:szCs w:val="24"/>
              </w:rPr>
              <w:t>4）★仪表图类型提供&gt;=4种风格：圆形线型、圆形刻度型、半圆形线型、半圆形刻度型。</w:t>
            </w:r>
            <w:r>
              <w:rPr>
                <w:rFonts w:hint="eastAsia" w:ascii="宋体" w:hAnsi="宋体" w:eastAsia="宋体" w:cs="宋体"/>
                <w:b/>
                <w:bCs/>
                <w:sz w:val="24"/>
                <w:szCs w:val="24"/>
              </w:rPr>
              <w:t>（需要演示，视频、PPT或者其它方式）</w:t>
            </w:r>
          </w:p>
          <w:p>
            <w:pPr>
              <w:pStyle w:val="7"/>
              <w:rPr>
                <w:rFonts w:hint="eastAsia" w:ascii="宋体" w:hAnsi="宋体" w:eastAsia="宋体" w:cs="宋体"/>
                <w:sz w:val="24"/>
                <w:szCs w:val="24"/>
              </w:rPr>
            </w:pPr>
            <w:r>
              <w:rPr>
                <w:rFonts w:hint="eastAsia" w:hAnsi="宋体" w:eastAsia="宋体" w:cs="宋体"/>
                <w:sz w:val="24"/>
                <w:szCs w:val="24"/>
                <w:lang w:val="en-US" w:eastAsia="zh-CN"/>
              </w:rPr>
              <w:t>5</w:t>
            </w:r>
            <w:r>
              <w:rPr>
                <w:rFonts w:hint="eastAsia" w:ascii="宋体" w:hAnsi="宋体" w:eastAsia="宋体" w:cs="宋体"/>
                <w:sz w:val="24"/>
                <w:szCs w:val="24"/>
              </w:rPr>
              <w:t>、仪表板支持对数据卡片、网页、文字及组合卡片等组件进行综合布局，让用户可以在同一屏幕上集中展现、比较和监视一组特定的数据内容。</w:t>
            </w:r>
          </w:p>
          <w:p>
            <w:pPr>
              <w:pStyle w:val="7"/>
              <w:ind w:firstLine="240" w:firstLineChars="100"/>
              <w:rPr>
                <w:rFonts w:hint="eastAsia" w:ascii="宋体" w:hAnsi="宋体" w:eastAsia="宋体" w:cs="宋体"/>
                <w:sz w:val="24"/>
                <w:szCs w:val="24"/>
              </w:rPr>
            </w:pPr>
            <w:r>
              <w:rPr>
                <w:rFonts w:hint="eastAsia" w:ascii="宋体" w:hAnsi="宋体" w:eastAsia="宋体" w:cs="宋体"/>
                <w:sz w:val="24"/>
                <w:szCs w:val="24"/>
              </w:rPr>
              <w:t>1）仪表板应支持大屏展现，支持将仪表板发布到应用菜单和分析中心，并授权给指定用户或角色；</w:t>
            </w:r>
          </w:p>
          <w:p>
            <w:pPr>
              <w:pStyle w:val="7"/>
              <w:ind w:firstLine="240" w:firstLineChars="100"/>
              <w:rPr>
                <w:rFonts w:hint="eastAsia" w:ascii="宋体" w:hAnsi="宋体" w:eastAsia="宋体" w:cs="宋体"/>
                <w:sz w:val="24"/>
                <w:szCs w:val="24"/>
              </w:rPr>
            </w:pPr>
            <w:r>
              <w:rPr>
                <w:rFonts w:hint="eastAsia" w:ascii="宋体" w:hAnsi="宋体" w:eastAsia="宋体" w:cs="宋体"/>
                <w:sz w:val="24"/>
                <w:szCs w:val="24"/>
              </w:rPr>
              <w:t>2）仪表板上可自定义图表组件的数据定时更新的频率，可设置图表组件的位置、大小；</w:t>
            </w:r>
          </w:p>
          <w:p>
            <w:pPr>
              <w:pStyle w:val="7"/>
              <w:ind w:firstLine="240" w:firstLineChars="100"/>
              <w:rPr>
                <w:rFonts w:hint="eastAsia" w:ascii="宋体" w:hAnsi="宋体" w:eastAsia="宋体" w:cs="宋体"/>
                <w:sz w:val="24"/>
                <w:szCs w:val="24"/>
              </w:rPr>
            </w:pPr>
            <w:r>
              <w:rPr>
                <w:rFonts w:hint="eastAsia" w:ascii="宋体" w:hAnsi="宋体" w:eastAsia="宋体" w:cs="宋体"/>
                <w:sz w:val="24"/>
                <w:szCs w:val="24"/>
              </w:rPr>
              <w:t>3）为保证良好的用户体验，仪表板应提供筛选、钻取、联动等交互操作。</w:t>
            </w:r>
          </w:p>
        </w:tc>
        <w:tc>
          <w:tcPr>
            <w:tcW w:w="570" w:type="dxa"/>
            <w:tcBorders>
              <w:top w:val="single" w:color="auto" w:sz="4" w:space="0"/>
              <w:left w:val="single" w:color="auto" w:sz="4" w:space="0"/>
              <w:bottom w:val="single" w:color="auto" w:sz="4" w:space="0"/>
              <w:right w:val="single" w:color="auto" w:sz="4" w:space="0"/>
            </w:tcBorders>
            <w:noWrap w:val="0"/>
            <w:vAlign w:val="top"/>
          </w:tcPr>
          <w:p>
            <w:pPr>
              <w:pStyle w:val="7"/>
              <w:rPr>
                <w:rFonts w:hint="eastAsia" w:ascii="宋体" w:hAnsi="宋体" w:eastAsia="宋体" w:cs="宋体"/>
                <w:sz w:val="24"/>
                <w:szCs w:val="24"/>
              </w:rPr>
            </w:pPr>
            <w:r>
              <w:rPr>
                <w:rFonts w:hint="eastAsia" w:ascii="宋体" w:hAnsi="宋体" w:eastAsia="宋体" w:cs="宋体"/>
                <w:sz w:val="24"/>
                <w:szCs w:val="24"/>
              </w:rPr>
              <w:t>1套</w:t>
            </w:r>
          </w:p>
        </w:tc>
        <w:tc>
          <w:tcPr>
            <w:tcW w:w="1185" w:type="dxa"/>
            <w:tcBorders>
              <w:top w:val="single" w:color="auto" w:sz="4" w:space="0"/>
              <w:left w:val="single" w:color="auto" w:sz="4" w:space="0"/>
              <w:bottom w:val="single" w:color="auto" w:sz="4" w:space="0"/>
              <w:right w:val="single" w:color="auto" w:sz="4" w:space="0"/>
            </w:tcBorders>
            <w:noWrap w:val="0"/>
            <w:vAlign w:val="top"/>
          </w:tcPr>
          <w:p>
            <w:pPr>
              <w:pStyle w:val="7"/>
              <w:spacing w:before="120" w:after="120"/>
              <w:rPr>
                <w:rFonts w:hint="eastAsia" w:ascii="宋体" w:hAnsi="宋体" w:eastAsia="宋体" w:cs="宋体"/>
                <w:sz w:val="24"/>
                <w:szCs w:val="24"/>
              </w:rPr>
            </w:pPr>
            <w:r>
              <w:rPr>
                <w:rFonts w:hint="eastAsia" w:ascii="宋体" w:hAnsi="宋体" w:eastAsia="宋体" w:cs="宋体"/>
                <w:sz w:val="24"/>
                <w:szCs w:val="24"/>
              </w:rPr>
              <w:t>《大数据财务》，《大数据财务分析课程设计》，《大数据分析技术》，《营销数据分析及大数据营销》</w:t>
            </w: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7"/>
              <w:spacing w:before="120" w:after="120"/>
              <w:rPr>
                <w:rFonts w:hint="eastAsia" w:ascii="宋体" w:hAnsi="宋体" w:eastAsia="宋体" w:cs="宋体"/>
                <w:sz w:val="24"/>
                <w:szCs w:val="24"/>
              </w:rPr>
            </w:pPr>
            <w:r>
              <w:rPr>
                <w:rFonts w:hint="eastAsia" w:ascii="宋体" w:hAnsi="宋体" w:eastAsia="宋体" w:cs="宋体"/>
                <w:sz w:val="24"/>
                <w:szCs w:val="24"/>
              </w:rPr>
              <w:t>2S-411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467" w:type="dxa"/>
            <w:tcBorders>
              <w:top w:val="single" w:color="auto" w:sz="4" w:space="0"/>
              <w:left w:val="single" w:color="auto" w:sz="4" w:space="0"/>
              <w:bottom w:val="single" w:color="auto" w:sz="4" w:space="0"/>
              <w:right w:val="single" w:color="auto" w:sz="4" w:space="0"/>
            </w:tcBorders>
            <w:noWrap w:val="0"/>
            <w:vAlign w:val="top"/>
          </w:tcPr>
          <w:p>
            <w:pPr>
              <w:pStyle w:val="7"/>
              <w:rPr>
                <w:rFonts w:hint="eastAsia" w:ascii="宋体" w:hAnsi="宋体" w:eastAsia="宋体" w:cs="宋体"/>
                <w:sz w:val="24"/>
                <w:szCs w:val="24"/>
              </w:rPr>
            </w:pPr>
            <w:r>
              <w:rPr>
                <w:rFonts w:hint="eastAsia" w:ascii="宋体" w:hAnsi="宋体" w:eastAsia="宋体" w:cs="宋体"/>
                <w:sz w:val="24"/>
                <w:szCs w:val="24"/>
              </w:rPr>
              <w:t>2</w:t>
            </w:r>
          </w:p>
        </w:tc>
        <w:tc>
          <w:tcPr>
            <w:tcW w:w="735" w:type="dxa"/>
            <w:tcBorders>
              <w:top w:val="single" w:color="auto" w:sz="4" w:space="0"/>
              <w:left w:val="single" w:color="auto" w:sz="4" w:space="0"/>
              <w:bottom w:val="single" w:color="auto" w:sz="4" w:space="0"/>
              <w:right w:val="single" w:color="auto" w:sz="4" w:space="0"/>
            </w:tcBorders>
            <w:noWrap w:val="0"/>
            <w:vAlign w:val="top"/>
          </w:tcPr>
          <w:p>
            <w:pPr>
              <w:pStyle w:val="7"/>
              <w:rPr>
                <w:rFonts w:hint="eastAsia" w:ascii="宋体" w:hAnsi="宋体" w:eastAsia="宋体" w:cs="宋体"/>
                <w:sz w:val="24"/>
                <w:szCs w:val="24"/>
              </w:rPr>
            </w:pPr>
            <w:r>
              <w:rPr>
                <w:rFonts w:hint="eastAsia" w:ascii="宋体" w:hAnsi="宋体" w:eastAsia="宋体" w:cs="宋体"/>
                <w:sz w:val="24"/>
                <w:szCs w:val="24"/>
              </w:rPr>
              <w:t>财务大数据处理实践平台(&gt;=100个站点)</w:t>
            </w:r>
          </w:p>
        </w:tc>
        <w:tc>
          <w:tcPr>
            <w:tcW w:w="4984" w:type="dxa"/>
            <w:tcBorders>
              <w:top w:val="single" w:color="auto" w:sz="4" w:space="0"/>
              <w:left w:val="single" w:color="auto" w:sz="4" w:space="0"/>
              <w:bottom w:val="single" w:color="auto" w:sz="4" w:space="0"/>
              <w:right w:val="single" w:color="auto" w:sz="4" w:space="0"/>
            </w:tcBorders>
            <w:noWrap w:val="0"/>
            <w:vAlign w:val="top"/>
          </w:tcPr>
          <w:p>
            <w:pPr>
              <w:pStyle w:val="7"/>
              <w:rPr>
                <w:rFonts w:hint="eastAsia" w:ascii="宋体" w:hAnsi="宋体" w:eastAsia="宋体" w:cs="宋体"/>
                <w:sz w:val="24"/>
                <w:szCs w:val="24"/>
              </w:rPr>
            </w:pPr>
            <w:r>
              <w:rPr>
                <w:rFonts w:hint="eastAsia" w:ascii="宋体" w:hAnsi="宋体" w:eastAsia="宋体" w:cs="宋体"/>
                <w:sz w:val="24"/>
                <w:szCs w:val="24"/>
              </w:rPr>
              <w:t>1、平台为B/S架构、通过浏览器即可访问，而且能与财务大数据可视化分析平台无缝连接，学生通过获取案例的方式进行财务大数据应用实验和实训。</w:t>
            </w:r>
          </w:p>
          <w:p>
            <w:pPr>
              <w:pStyle w:val="7"/>
              <w:rPr>
                <w:rFonts w:hint="eastAsia" w:ascii="宋体" w:hAnsi="宋体" w:eastAsia="宋体" w:cs="宋体"/>
                <w:sz w:val="24"/>
                <w:szCs w:val="24"/>
              </w:rPr>
            </w:pPr>
            <w:r>
              <w:rPr>
                <w:rFonts w:hint="eastAsia" w:ascii="宋体" w:hAnsi="宋体" w:eastAsia="宋体" w:cs="宋体"/>
                <w:sz w:val="24"/>
                <w:szCs w:val="24"/>
              </w:rPr>
              <w:t>2、平台提供基于python的大数据采集、处理、挖掘的一体化功能，方便教师和学生开展大数据实践教学。学生既可用平台封装的功能进行大数据的采集、处理、挖掘实验，也可自行编写代码，完成大数据教学相关实验。</w:t>
            </w:r>
          </w:p>
          <w:p>
            <w:pPr>
              <w:pStyle w:val="7"/>
              <w:rPr>
                <w:rFonts w:hint="eastAsia" w:ascii="宋体" w:hAnsi="宋体" w:eastAsia="宋体" w:cs="宋体"/>
                <w:sz w:val="24"/>
                <w:szCs w:val="24"/>
              </w:rPr>
            </w:pPr>
            <w:r>
              <w:rPr>
                <w:rFonts w:hint="eastAsia" w:ascii="宋体" w:hAnsi="宋体" w:eastAsia="宋体" w:cs="宋体"/>
                <w:sz w:val="24"/>
                <w:szCs w:val="24"/>
              </w:rPr>
              <w:t>3、大数据采集配置提供自定义数据源、自定义采集代码、采集参数的功能，可实现网络数据采集功能的扩展。</w:t>
            </w:r>
          </w:p>
          <w:p>
            <w:pPr>
              <w:pStyle w:val="7"/>
              <w:rPr>
                <w:rFonts w:hint="eastAsia" w:ascii="宋体" w:hAnsi="宋体" w:eastAsia="宋体" w:cs="宋体"/>
                <w:sz w:val="24"/>
                <w:szCs w:val="24"/>
              </w:rPr>
            </w:pPr>
            <w:r>
              <w:rPr>
                <w:rFonts w:hint="eastAsia" w:ascii="宋体" w:hAnsi="宋体" w:eastAsia="宋体" w:cs="宋体"/>
                <w:sz w:val="24"/>
                <w:szCs w:val="24"/>
              </w:rPr>
              <w:t>1）要求在自定义采集场景中，可自行添加python采集代码，与定义的参数变量相配合，实现大数据的采集；</w:t>
            </w:r>
          </w:p>
          <w:p>
            <w:pPr>
              <w:pStyle w:val="7"/>
              <w:rPr>
                <w:rFonts w:hint="eastAsia" w:ascii="宋体" w:hAnsi="宋体" w:eastAsia="宋体" w:cs="宋体"/>
                <w:sz w:val="24"/>
                <w:szCs w:val="24"/>
              </w:rPr>
            </w:pPr>
            <w:r>
              <w:rPr>
                <w:rFonts w:hint="eastAsia" w:ascii="宋体" w:hAnsi="宋体" w:eastAsia="宋体" w:cs="宋体"/>
                <w:sz w:val="24"/>
                <w:szCs w:val="24"/>
              </w:rPr>
              <w:t>2）自定义数据源中可根据大数据采集的需求，定义数据源的名称、数据源的地址；</w:t>
            </w:r>
          </w:p>
          <w:p>
            <w:pPr>
              <w:pStyle w:val="7"/>
              <w:rPr>
                <w:rFonts w:hint="eastAsia" w:ascii="宋体" w:hAnsi="宋体" w:eastAsia="宋体" w:cs="宋体"/>
                <w:sz w:val="24"/>
                <w:szCs w:val="24"/>
              </w:rPr>
            </w:pPr>
            <w:r>
              <w:rPr>
                <w:rFonts w:hint="eastAsia" w:ascii="宋体" w:hAnsi="宋体" w:eastAsia="宋体" w:cs="宋体"/>
                <w:sz w:val="24"/>
                <w:szCs w:val="24"/>
              </w:rPr>
              <w:t>3）要求大数据采集管理提供采集源的禁用功能，可根据需要禁用该数据源的采集业务，便于制定个性化的教学需求。</w:t>
            </w:r>
          </w:p>
          <w:p>
            <w:pPr>
              <w:pStyle w:val="7"/>
              <w:rPr>
                <w:rFonts w:hint="eastAsia" w:ascii="宋体" w:hAnsi="宋体" w:eastAsia="宋体" w:cs="宋体"/>
                <w:sz w:val="24"/>
                <w:szCs w:val="24"/>
              </w:rPr>
            </w:pPr>
            <w:r>
              <w:rPr>
                <w:rFonts w:hint="eastAsia" w:ascii="宋体" w:hAnsi="宋体" w:eastAsia="宋体" w:cs="宋体"/>
                <w:sz w:val="24"/>
                <w:szCs w:val="24"/>
              </w:rPr>
              <w:t>4、★大数据采集是在采集算法、相关参数配置好之后，可利用大数据采集模块采集所需的内容。系统内置了企业财务报表采集功能、电商平台评论数据采集功能、电商产品列表数据采集、多企业财务报表采集等算法功能，学生可直接利用这些采集算法完成相关的采集教学。</w:t>
            </w:r>
            <w:r>
              <w:rPr>
                <w:rFonts w:hint="eastAsia" w:ascii="宋体" w:hAnsi="宋体" w:eastAsia="宋体" w:cs="宋体"/>
                <w:b/>
                <w:bCs/>
                <w:sz w:val="24"/>
                <w:szCs w:val="24"/>
              </w:rPr>
              <w:t>（需要演示，视频、PPT或者其它方式）</w:t>
            </w:r>
          </w:p>
          <w:p>
            <w:pPr>
              <w:pStyle w:val="7"/>
              <w:rPr>
                <w:rFonts w:hint="eastAsia" w:ascii="宋体" w:hAnsi="宋体" w:eastAsia="宋体" w:cs="宋体"/>
                <w:sz w:val="24"/>
                <w:szCs w:val="24"/>
              </w:rPr>
            </w:pPr>
            <w:r>
              <w:rPr>
                <w:rFonts w:hint="eastAsia" w:ascii="宋体" w:hAnsi="宋体" w:eastAsia="宋体" w:cs="宋体"/>
                <w:sz w:val="24"/>
                <w:szCs w:val="24"/>
              </w:rPr>
              <w:t>1）要求大数据采集模块既能支持系统内置的可配置式采集算法，也能支持采用纯代码方式自定义采集算法；</w:t>
            </w:r>
          </w:p>
          <w:p>
            <w:pPr>
              <w:pStyle w:val="7"/>
              <w:rPr>
                <w:rFonts w:hint="eastAsia" w:ascii="宋体" w:hAnsi="宋体" w:eastAsia="宋体" w:cs="宋体"/>
                <w:sz w:val="24"/>
                <w:szCs w:val="24"/>
              </w:rPr>
            </w:pPr>
            <w:r>
              <w:rPr>
                <w:rFonts w:hint="eastAsia" w:ascii="宋体" w:hAnsi="宋体" w:eastAsia="宋体" w:cs="宋体"/>
                <w:sz w:val="24"/>
                <w:szCs w:val="24"/>
              </w:rPr>
              <w:t>2）要求内置的采集算法中至少支持企业财务报表的采集、电商平台评论数据的采集、电商产品列表数据的采集、多企业财务报表数据采集；</w:t>
            </w:r>
          </w:p>
          <w:p>
            <w:pPr>
              <w:pStyle w:val="7"/>
              <w:rPr>
                <w:rFonts w:hint="eastAsia" w:ascii="宋体" w:hAnsi="宋体" w:eastAsia="宋体" w:cs="宋体"/>
                <w:sz w:val="24"/>
                <w:szCs w:val="24"/>
              </w:rPr>
            </w:pPr>
            <w:r>
              <w:rPr>
                <w:rFonts w:hint="eastAsia" w:ascii="宋体" w:hAnsi="宋体" w:eastAsia="宋体" w:cs="宋体"/>
                <w:sz w:val="24"/>
                <w:szCs w:val="24"/>
              </w:rPr>
              <w:t>3）★要求在电商产品列表数据的采集功能中，可自行定义采集的产品名称。可自行定义采集的页数和每页记录数，便于设置总的采集条目数。可自行定义采集的条目的先后顺序，可根据销量、折扣、价格或者综合指标的顺序进行商品信息的采集；</w:t>
            </w:r>
            <w:r>
              <w:rPr>
                <w:rFonts w:hint="eastAsia" w:ascii="宋体" w:hAnsi="宋体" w:eastAsia="宋体" w:cs="宋体"/>
                <w:b/>
                <w:bCs/>
                <w:sz w:val="24"/>
                <w:szCs w:val="24"/>
              </w:rPr>
              <w:t>（需要演示，视频、PPT或者其它方式）</w:t>
            </w:r>
          </w:p>
          <w:p>
            <w:pPr>
              <w:pStyle w:val="7"/>
              <w:rPr>
                <w:rFonts w:hint="eastAsia" w:ascii="宋体" w:hAnsi="宋体" w:eastAsia="宋体" w:cs="宋体"/>
                <w:sz w:val="24"/>
                <w:szCs w:val="24"/>
              </w:rPr>
            </w:pPr>
            <w:r>
              <w:rPr>
                <w:rFonts w:hint="eastAsia" w:ascii="宋体" w:hAnsi="宋体" w:eastAsia="宋体" w:cs="宋体"/>
                <w:sz w:val="24"/>
                <w:szCs w:val="24"/>
              </w:rPr>
              <w:t>4）要求能支持纯代码方式的python爬虫采集功能，由用户在网页端编写好代码，可直接运行，并提供运行结果的数据查看，以及通过输出控制台查看运行过程，便于程序进行调试。</w:t>
            </w:r>
          </w:p>
          <w:p>
            <w:pPr>
              <w:pStyle w:val="7"/>
              <w:rPr>
                <w:rFonts w:hint="eastAsia" w:ascii="宋体" w:hAnsi="宋体" w:eastAsia="宋体" w:cs="宋体"/>
                <w:sz w:val="24"/>
                <w:szCs w:val="24"/>
              </w:rPr>
            </w:pPr>
            <w:r>
              <w:rPr>
                <w:rFonts w:hint="eastAsia" w:ascii="宋体" w:hAnsi="宋体" w:eastAsia="宋体" w:cs="宋体"/>
                <w:sz w:val="24"/>
                <w:szCs w:val="24"/>
              </w:rPr>
              <w:t>5、大数据处理提供数据清洗、数据转换、python数据处理的功能，可将错误的数据清洗成正确的高质量数据，将不规范的数据转换成规范的数据，便于后续进行数据的分析。</w:t>
            </w:r>
          </w:p>
          <w:p>
            <w:pPr>
              <w:pStyle w:val="7"/>
              <w:rPr>
                <w:rFonts w:hint="eastAsia" w:ascii="宋体" w:hAnsi="宋体" w:eastAsia="宋体" w:cs="宋体"/>
                <w:sz w:val="24"/>
                <w:szCs w:val="24"/>
              </w:rPr>
            </w:pPr>
            <w:r>
              <w:rPr>
                <w:rFonts w:hint="eastAsia" w:ascii="宋体" w:hAnsi="宋体" w:eastAsia="宋体" w:cs="宋体"/>
                <w:sz w:val="24"/>
                <w:szCs w:val="24"/>
              </w:rPr>
              <w:t>1）数据处理模块要求既能提供封装好的大数据清洗、数据转换的功能，进行标准化的大数据处理工作；也能提供纯代码方式的python数据处理算法编写，适应个性化、特殊场景的大数据处理功能；</w:t>
            </w:r>
          </w:p>
          <w:p>
            <w:pPr>
              <w:pStyle w:val="7"/>
              <w:rPr>
                <w:rFonts w:hint="eastAsia" w:ascii="宋体" w:hAnsi="宋体" w:eastAsia="宋体" w:cs="宋体"/>
                <w:sz w:val="24"/>
                <w:szCs w:val="24"/>
              </w:rPr>
            </w:pPr>
            <w:r>
              <w:rPr>
                <w:rFonts w:hint="eastAsia" w:ascii="宋体" w:hAnsi="宋体" w:eastAsia="宋体" w:cs="宋体"/>
                <w:sz w:val="24"/>
                <w:szCs w:val="24"/>
              </w:rPr>
              <w:t>2）要求数据清洗功能采用向导模式，方便上手，直接通过封装好的功能进行快速便捷的设置，完成数据清洗的工作；</w:t>
            </w:r>
          </w:p>
          <w:p>
            <w:pPr>
              <w:pStyle w:val="7"/>
              <w:rPr>
                <w:rFonts w:hint="eastAsia" w:ascii="宋体" w:hAnsi="宋体" w:eastAsia="宋体" w:cs="宋体"/>
                <w:sz w:val="24"/>
                <w:szCs w:val="24"/>
              </w:rPr>
            </w:pPr>
            <w:r>
              <w:rPr>
                <w:rFonts w:hint="eastAsia" w:ascii="宋体" w:hAnsi="宋体" w:eastAsia="宋体" w:cs="宋体"/>
                <w:sz w:val="24"/>
                <w:szCs w:val="24"/>
              </w:rPr>
              <w:t>3）在进行数据处理时，可支持全局清洗、局部清洗两种功能，满足既能快速处理所有数据，又能针对某些特定数据特征进行局部处理的需求；</w:t>
            </w:r>
          </w:p>
          <w:p>
            <w:pPr>
              <w:pStyle w:val="7"/>
              <w:rPr>
                <w:rFonts w:hint="eastAsia" w:ascii="宋体" w:hAnsi="宋体" w:eastAsia="宋体" w:cs="宋体"/>
                <w:sz w:val="24"/>
                <w:szCs w:val="24"/>
              </w:rPr>
            </w:pPr>
            <w:r>
              <w:rPr>
                <w:rFonts w:hint="eastAsia" w:ascii="宋体" w:hAnsi="宋体" w:eastAsia="宋体" w:cs="宋体"/>
                <w:sz w:val="24"/>
                <w:szCs w:val="24"/>
              </w:rPr>
              <w:t>4）要求能提供非结构化的数据到结构化数据转换的封装功能，内置机票预订的短信信息提取转换功能、订单短信提取转换功能，转为结构化数据后，便于后续业务处理和分析。</w:t>
            </w:r>
          </w:p>
          <w:p>
            <w:pPr>
              <w:pStyle w:val="7"/>
              <w:rPr>
                <w:rFonts w:hint="eastAsia" w:ascii="宋体" w:hAnsi="宋体" w:eastAsia="宋体" w:cs="宋体"/>
                <w:sz w:val="24"/>
                <w:szCs w:val="24"/>
              </w:rPr>
            </w:pPr>
            <w:r>
              <w:rPr>
                <w:rFonts w:hint="eastAsia" w:ascii="宋体" w:hAnsi="宋体" w:eastAsia="宋体" w:cs="宋体"/>
                <w:sz w:val="24"/>
                <w:szCs w:val="24"/>
              </w:rPr>
              <w:t>6、大数据挖掘提供典型的大数据挖掘算法，用于满足各种案例场景的分析所需。</w:t>
            </w:r>
          </w:p>
          <w:p>
            <w:pPr>
              <w:pStyle w:val="7"/>
              <w:rPr>
                <w:rFonts w:hint="eastAsia" w:ascii="宋体" w:hAnsi="宋体" w:eastAsia="宋体" w:cs="宋体"/>
                <w:sz w:val="24"/>
                <w:szCs w:val="24"/>
              </w:rPr>
            </w:pPr>
            <w:r>
              <w:rPr>
                <w:rFonts w:hint="eastAsia" w:ascii="宋体" w:hAnsi="宋体" w:eastAsia="宋体" w:cs="宋体"/>
                <w:sz w:val="24"/>
                <w:szCs w:val="24"/>
              </w:rPr>
              <w:t>1）大数据挖掘要求至少提供回归、分类、聚类、文本处理等4大类的挖掘分析算法；</w:t>
            </w:r>
          </w:p>
          <w:p>
            <w:pPr>
              <w:pStyle w:val="7"/>
              <w:rPr>
                <w:rFonts w:hint="eastAsia" w:ascii="宋体" w:hAnsi="宋体" w:eastAsia="宋体" w:cs="宋体"/>
                <w:sz w:val="24"/>
                <w:szCs w:val="24"/>
              </w:rPr>
            </w:pPr>
            <w:r>
              <w:rPr>
                <w:rFonts w:hint="eastAsia" w:ascii="宋体" w:hAnsi="宋体" w:eastAsia="宋体" w:cs="宋体"/>
                <w:sz w:val="24"/>
                <w:szCs w:val="24"/>
              </w:rPr>
              <w:t>2）★在k-means算法中，要求能根据数据挖掘需要，设置需要将数据聚成几类的K值，可提供&gt;=10种参数供选择；</w:t>
            </w:r>
            <w:r>
              <w:rPr>
                <w:rFonts w:hint="eastAsia" w:ascii="宋体" w:hAnsi="宋体" w:eastAsia="宋体" w:cs="宋体"/>
                <w:b/>
                <w:bCs/>
                <w:sz w:val="24"/>
                <w:szCs w:val="24"/>
              </w:rPr>
              <w:t>（需要演示，视频、PPT或者其它方式）</w:t>
            </w:r>
          </w:p>
          <w:p>
            <w:pPr>
              <w:pStyle w:val="7"/>
              <w:rPr>
                <w:rFonts w:hint="eastAsia" w:ascii="宋体" w:hAnsi="宋体" w:eastAsia="宋体" w:cs="宋体"/>
                <w:sz w:val="24"/>
                <w:szCs w:val="24"/>
              </w:rPr>
            </w:pPr>
            <w:r>
              <w:rPr>
                <w:rFonts w:hint="eastAsia" w:ascii="宋体" w:hAnsi="宋体" w:eastAsia="宋体" w:cs="宋体"/>
                <w:sz w:val="24"/>
                <w:szCs w:val="24"/>
              </w:rPr>
              <w:t>3）针对每种内置的算法，要求可查阅源代码，方便用户学习该算法的代码编写，了解算法逻辑；</w:t>
            </w:r>
          </w:p>
          <w:p>
            <w:pPr>
              <w:pStyle w:val="7"/>
              <w:rPr>
                <w:rFonts w:hint="eastAsia" w:ascii="宋体" w:hAnsi="宋体" w:eastAsia="宋体" w:cs="宋体"/>
                <w:sz w:val="24"/>
                <w:szCs w:val="24"/>
              </w:rPr>
            </w:pPr>
            <w:r>
              <w:rPr>
                <w:rFonts w:hint="eastAsia" w:ascii="宋体" w:hAnsi="宋体" w:eastAsia="宋体" w:cs="宋体"/>
                <w:sz w:val="24"/>
                <w:szCs w:val="24"/>
              </w:rPr>
              <w:t>4）内置算法中，要求提供模型构建功能，进行数据挖掘分析。</w:t>
            </w:r>
          </w:p>
        </w:tc>
        <w:tc>
          <w:tcPr>
            <w:tcW w:w="570" w:type="dxa"/>
            <w:tcBorders>
              <w:top w:val="single" w:color="auto" w:sz="4" w:space="0"/>
              <w:left w:val="single" w:color="auto" w:sz="4" w:space="0"/>
              <w:bottom w:val="single" w:color="auto" w:sz="4" w:space="0"/>
              <w:right w:val="single" w:color="auto" w:sz="4" w:space="0"/>
            </w:tcBorders>
            <w:noWrap w:val="0"/>
            <w:vAlign w:val="top"/>
          </w:tcPr>
          <w:p>
            <w:pPr>
              <w:pStyle w:val="7"/>
              <w:spacing w:before="120" w:after="120"/>
              <w:rPr>
                <w:rFonts w:hint="eastAsia" w:ascii="宋体" w:hAnsi="宋体" w:eastAsia="宋体" w:cs="宋体"/>
                <w:sz w:val="24"/>
                <w:szCs w:val="24"/>
              </w:rPr>
            </w:pPr>
            <w:r>
              <w:rPr>
                <w:rFonts w:hint="eastAsia" w:ascii="宋体" w:hAnsi="宋体" w:eastAsia="宋体" w:cs="宋体"/>
                <w:sz w:val="24"/>
                <w:szCs w:val="24"/>
              </w:rPr>
              <w:t>1套</w:t>
            </w:r>
          </w:p>
        </w:tc>
        <w:tc>
          <w:tcPr>
            <w:tcW w:w="1185" w:type="dxa"/>
            <w:tcBorders>
              <w:top w:val="single" w:color="auto" w:sz="4" w:space="0"/>
              <w:left w:val="single" w:color="auto" w:sz="4" w:space="0"/>
              <w:bottom w:val="single" w:color="auto" w:sz="4" w:space="0"/>
              <w:right w:val="single" w:color="auto" w:sz="4" w:space="0"/>
            </w:tcBorders>
            <w:noWrap w:val="0"/>
            <w:vAlign w:val="top"/>
          </w:tcPr>
          <w:p>
            <w:pPr>
              <w:pStyle w:val="7"/>
              <w:spacing w:before="120" w:after="120"/>
              <w:rPr>
                <w:rFonts w:hint="eastAsia" w:ascii="宋体" w:hAnsi="宋体" w:eastAsia="宋体" w:cs="宋体"/>
                <w:sz w:val="24"/>
                <w:szCs w:val="24"/>
              </w:rPr>
            </w:pPr>
            <w:r>
              <w:rPr>
                <w:rFonts w:hint="eastAsia" w:ascii="宋体" w:hAnsi="宋体" w:eastAsia="宋体" w:cs="宋体"/>
                <w:sz w:val="24"/>
                <w:szCs w:val="24"/>
              </w:rPr>
              <w:t>《大数据财务》，《大数据财务分析课程设计》，《大数据分析技术》，《营销数据分析及大数据营销》</w:t>
            </w: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7"/>
              <w:rPr>
                <w:rFonts w:hint="eastAsia" w:ascii="宋体" w:hAnsi="宋体" w:eastAsia="宋体" w:cs="宋体"/>
                <w:sz w:val="24"/>
                <w:szCs w:val="24"/>
              </w:rPr>
            </w:pPr>
            <w:r>
              <w:rPr>
                <w:rFonts w:hint="eastAsia" w:ascii="宋体" w:hAnsi="宋体" w:eastAsia="宋体" w:cs="宋体"/>
                <w:sz w:val="24"/>
                <w:szCs w:val="24"/>
              </w:rPr>
              <w:t>2S-411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4" w:hRule="atLeast"/>
        </w:trPr>
        <w:tc>
          <w:tcPr>
            <w:tcW w:w="467" w:type="dxa"/>
            <w:tcBorders>
              <w:top w:val="single" w:color="auto" w:sz="4" w:space="0"/>
              <w:left w:val="single" w:color="auto" w:sz="4" w:space="0"/>
              <w:bottom w:val="single" w:color="auto" w:sz="4" w:space="0"/>
              <w:right w:val="single" w:color="auto" w:sz="4" w:space="0"/>
            </w:tcBorders>
            <w:noWrap w:val="0"/>
            <w:vAlign w:val="top"/>
          </w:tcPr>
          <w:p>
            <w:pPr>
              <w:pStyle w:val="7"/>
              <w:rPr>
                <w:rFonts w:hint="eastAsia" w:ascii="宋体" w:hAnsi="宋体" w:eastAsia="宋体" w:cs="宋体"/>
                <w:sz w:val="24"/>
                <w:szCs w:val="24"/>
              </w:rPr>
            </w:pPr>
            <w:r>
              <w:rPr>
                <w:rFonts w:hint="eastAsia" w:ascii="宋体" w:hAnsi="宋体" w:eastAsia="宋体" w:cs="宋体"/>
                <w:sz w:val="24"/>
                <w:szCs w:val="24"/>
              </w:rPr>
              <w:t>3</w:t>
            </w:r>
          </w:p>
        </w:tc>
        <w:tc>
          <w:tcPr>
            <w:tcW w:w="735" w:type="dxa"/>
            <w:tcBorders>
              <w:top w:val="single" w:color="auto" w:sz="4" w:space="0"/>
              <w:left w:val="single" w:color="auto" w:sz="4" w:space="0"/>
              <w:bottom w:val="single" w:color="auto" w:sz="4" w:space="0"/>
              <w:right w:val="single" w:color="auto" w:sz="4" w:space="0"/>
            </w:tcBorders>
            <w:noWrap w:val="0"/>
            <w:vAlign w:val="top"/>
          </w:tcPr>
          <w:p>
            <w:pPr>
              <w:pStyle w:val="7"/>
              <w:rPr>
                <w:rFonts w:hint="eastAsia" w:ascii="宋体" w:hAnsi="宋体" w:eastAsia="宋体" w:cs="宋体"/>
                <w:sz w:val="24"/>
                <w:szCs w:val="24"/>
              </w:rPr>
            </w:pPr>
            <w:r>
              <w:rPr>
                <w:rFonts w:hint="eastAsia" w:ascii="宋体" w:hAnsi="宋体" w:eastAsia="宋体" w:cs="宋体"/>
                <w:sz w:val="24"/>
                <w:szCs w:val="24"/>
              </w:rPr>
              <w:t>财务大数据课程案例包</w:t>
            </w:r>
          </w:p>
        </w:tc>
        <w:tc>
          <w:tcPr>
            <w:tcW w:w="4984" w:type="dxa"/>
            <w:tcBorders>
              <w:top w:val="single" w:color="auto" w:sz="4" w:space="0"/>
              <w:left w:val="single" w:color="auto" w:sz="4" w:space="0"/>
              <w:bottom w:val="single" w:color="auto" w:sz="4" w:space="0"/>
              <w:right w:val="single" w:color="auto" w:sz="4" w:space="0"/>
            </w:tcBorders>
            <w:noWrap w:val="0"/>
            <w:vAlign w:val="top"/>
          </w:tcPr>
          <w:p>
            <w:pPr>
              <w:pStyle w:val="7"/>
              <w:numPr>
                <w:ilvl w:val="0"/>
                <w:numId w:val="4"/>
              </w:numPr>
              <w:rPr>
                <w:rFonts w:hint="eastAsia" w:ascii="宋体" w:hAnsi="宋体" w:eastAsia="宋体" w:cs="宋体"/>
                <w:sz w:val="24"/>
                <w:szCs w:val="24"/>
              </w:rPr>
            </w:pPr>
            <w:r>
              <w:rPr>
                <w:rFonts w:hint="eastAsia" w:ascii="宋体" w:hAnsi="宋体" w:eastAsia="宋体" w:cs="宋体"/>
                <w:sz w:val="24"/>
                <w:szCs w:val="24"/>
              </w:rPr>
              <w:t>★财务大数据课程资源包含教学大纲（Word版）、教学版电子教材（Word版）、教学课件（PPT版）和对应的教学视频。</w:t>
            </w:r>
            <w:r>
              <w:rPr>
                <w:rFonts w:hint="eastAsia" w:ascii="宋体" w:hAnsi="宋体" w:eastAsia="宋体" w:cs="宋体"/>
                <w:b/>
                <w:bCs/>
                <w:sz w:val="24"/>
                <w:szCs w:val="24"/>
              </w:rPr>
              <w:t>（需要演示，视频、PPT或者其它方式）</w:t>
            </w:r>
          </w:p>
          <w:p>
            <w:pPr>
              <w:pStyle w:val="7"/>
              <w:numPr>
                <w:ilvl w:val="0"/>
                <w:numId w:val="4"/>
              </w:numPr>
              <w:rPr>
                <w:rFonts w:hint="eastAsia" w:ascii="宋体" w:hAnsi="宋体" w:eastAsia="宋体" w:cs="宋体"/>
                <w:sz w:val="24"/>
                <w:szCs w:val="24"/>
              </w:rPr>
            </w:pPr>
            <w:r>
              <w:rPr>
                <w:rFonts w:hint="eastAsia" w:ascii="宋体" w:hAnsi="宋体" w:eastAsia="宋体" w:cs="宋体"/>
                <w:sz w:val="24"/>
                <w:szCs w:val="24"/>
              </w:rPr>
              <w:t>★教学课件（PPT版）和对应的教学视频包含：财务大数据理论与技术（包括大数据基本概念、大数据处理概论、大数据挖掘概论、大数据建模、大数据建模分析工具、大数据决策分析、分析方法入门、SQL入门及应用、python入门及应用等）。</w:t>
            </w:r>
            <w:r>
              <w:rPr>
                <w:rFonts w:hint="eastAsia" w:ascii="宋体" w:hAnsi="宋体" w:eastAsia="宋体" w:cs="宋体"/>
                <w:b/>
                <w:bCs/>
                <w:sz w:val="24"/>
                <w:szCs w:val="24"/>
              </w:rPr>
              <w:t>（需要演示，视频、PPT或者其它方式）</w:t>
            </w:r>
          </w:p>
          <w:p>
            <w:pPr>
              <w:pStyle w:val="7"/>
              <w:numPr>
                <w:ilvl w:val="0"/>
                <w:numId w:val="4"/>
              </w:numPr>
              <w:rPr>
                <w:rFonts w:hint="eastAsia" w:ascii="宋体" w:hAnsi="宋体" w:eastAsia="宋体" w:cs="宋体"/>
                <w:sz w:val="24"/>
                <w:szCs w:val="24"/>
              </w:rPr>
            </w:pPr>
            <w:r>
              <w:rPr>
                <w:rFonts w:hint="eastAsia" w:ascii="宋体" w:hAnsi="宋体" w:eastAsia="宋体" w:cs="宋体"/>
                <w:sz w:val="24"/>
                <w:szCs w:val="24"/>
              </w:rPr>
              <w:t>课程案例包要求选取典型的新零售企业案例，抽取企业业务数据和财务数据并进行脱敏，通过业务数据与财务数据的结合，更全面地了解企业真实的经营情况。</w:t>
            </w:r>
          </w:p>
          <w:p>
            <w:pPr>
              <w:pStyle w:val="7"/>
              <w:numPr>
                <w:ilvl w:val="0"/>
                <w:numId w:val="4"/>
              </w:numPr>
              <w:rPr>
                <w:rFonts w:hint="eastAsia" w:ascii="宋体" w:hAnsi="宋体" w:eastAsia="宋体" w:cs="宋体"/>
                <w:sz w:val="24"/>
                <w:szCs w:val="24"/>
              </w:rPr>
            </w:pPr>
            <w:r>
              <w:rPr>
                <w:rFonts w:hint="eastAsia" w:ascii="宋体" w:hAnsi="宋体" w:eastAsia="宋体" w:cs="宋体"/>
                <w:sz w:val="24"/>
                <w:szCs w:val="24"/>
              </w:rPr>
              <w:t>★所提供的案例能抽取新零售企业五年的数据量，案例数据丰富，涉及新零售企业各经营环节数据，包括采购环节、销售环节、存货环节、生产环节、财务环节等。</w:t>
            </w:r>
            <w:r>
              <w:rPr>
                <w:rFonts w:hint="eastAsia" w:ascii="宋体" w:hAnsi="宋体" w:eastAsia="宋体" w:cs="宋体"/>
                <w:b/>
                <w:bCs/>
                <w:sz w:val="24"/>
                <w:szCs w:val="24"/>
              </w:rPr>
              <w:t>（需要演示，视频、PPT或者其它方式）</w:t>
            </w:r>
          </w:p>
        </w:tc>
        <w:tc>
          <w:tcPr>
            <w:tcW w:w="570" w:type="dxa"/>
            <w:tcBorders>
              <w:top w:val="single" w:color="auto" w:sz="4" w:space="0"/>
              <w:left w:val="single" w:color="auto" w:sz="4" w:space="0"/>
              <w:bottom w:val="single" w:color="auto" w:sz="4" w:space="0"/>
              <w:right w:val="single" w:color="auto" w:sz="4" w:space="0"/>
            </w:tcBorders>
            <w:noWrap w:val="0"/>
            <w:vAlign w:val="top"/>
          </w:tcPr>
          <w:p>
            <w:pPr>
              <w:pStyle w:val="7"/>
              <w:rPr>
                <w:rFonts w:hint="eastAsia" w:ascii="宋体" w:hAnsi="宋体" w:eastAsia="宋体" w:cs="宋体"/>
                <w:sz w:val="24"/>
                <w:szCs w:val="24"/>
              </w:rPr>
            </w:pPr>
            <w:r>
              <w:rPr>
                <w:rFonts w:hint="eastAsia" w:ascii="宋体" w:hAnsi="宋体" w:eastAsia="宋体" w:cs="宋体"/>
                <w:sz w:val="24"/>
                <w:szCs w:val="24"/>
              </w:rPr>
              <w:t>1</w:t>
            </w:r>
          </w:p>
        </w:tc>
        <w:tc>
          <w:tcPr>
            <w:tcW w:w="1185" w:type="dxa"/>
            <w:tcBorders>
              <w:top w:val="single" w:color="auto" w:sz="4" w:space="0"/>
              <w:left w:val="single" w:color="auto" w:sz="4" w:space="0"/>
              <w:bottom w:val="single" w:color="auto" w:sz="4" w:space="0"/>
              <w:right w:val="single" w:color="auto" w:sz="4" w:space="0"/>
            </w:tcBorders>
            <w:noWrap w:val="0"/>
            <w:vAlign w:val="top"/>
          </w:tcPr>
          <w:p>
            <w:pPr>
              <w:pStyle w:val="7"/>
              <w:spacing w:before="120" w:after="120"/>
              <w:rPr>
                <w:rFonts w:hint="eastAsia" w:ascii="宋体" w:hAnsi="宋体" w:eastAsia="宋体" w:cs="宋体"/>
                <w:sz w:val="24"/>
                <w:szCs w:val="24"/>
              </w:rPr>
            </w:pPr>
            <w:r>
              <w:rPr>
                <w:rFonts w:hint="eastAsia" w:ascii="宋体" w:hAnsi="宋体" w:eastAsia="宋体" w:cs="宋体"/>
                <w:sz w:val="24"/>
                <w:szCs w:val="24"/>
              </w:rPr>
              <w:t>财务大数据实训课程</w:t>
            </w: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7"/>
              <w:rPr>
                <w:rFonts w:hint="eastAsia" w:ascii="宋体" w:hAnsi="宋体" w:eastAsia="宋体" w:cs="宋体"/>
                <w:sz w:val="24"/>
                <w:szCs w:val="24"/>
              </w:rPr>
            </w:pPr>
            <w:r>
              <w:rPr>
                <w:rFonts w:hint="eastAsia" w:ascii="宋体" w:hAnsi="宋体" w:eastAsia="宋体" w:cs="宋体"/>
                <w:sz w:val="24"/>
                <w:szCs w:val="24"/>
              </w:rPr>
              <w:t>2S-411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7" w:hRule="atLeast"/>
        </w:trPr>
        <w:tc>
          <w:tcPr>
            <w:tcW w:w="467" w:type="dxa"/>
            <w:tcBorders>
              <w:top w:val="single" w:color="auto" w:sz="4" w:space="0"/>
              <w:left w:val="single" w:color="auto" w:sz="4" w:space="0"/>
              <w:bottom w:val="single" w:color="auto" w:sz="4" w:space="0"/>
              <w:right w:val="single" w:color="auto" w:sz="4" w:space="0"/>
            </w:tcBorders>
            <w:noWrap w:val="0"/>
            <w:vAlign w:val="top"/>
          </w:tcPr>
          <w:p>
            <w:pPr>
              <w:pStyle w:val="7"/>
              <w:rPr>
                <w:rFonts w:hint="eastAsia" w:ascii="宋体" w:hAnsi="宋体" w:eastAsia="宋体" w:cs="宋体"/>
                <w:sz w:val="24"/>
                <w:szCs w:val="24"/>
              </w:rPr>
            </w:pPr>
            <w:r>
              <w:rPr>
                <w:rFonts w:hint="eastAsia" w:ascii="宋体" w:hAnsi="宋体" w:eastAsia="宋体" w:cs="宋体"/>
                <w:sz w:val="24"/>
                <w:szCs w:val="24"/>
              </w:rPr>
              <w:t>4</w:t>
            </w:r>
          </w:p>
        </w:tc>
        <w:tc>
          <w:tcPr>
            <w:tcW w:w="735" w:type="dxa"/>
            <w:tcBorders>
              <w:top w:val="single" w:color="auto" w:sz="4" w:space="0"/>
              <w:left w:val="single" w:color="auto" w:sz="4" w:space="0"/>
              <w:bottom w:val="single" w:color="auto" w:sz="4" w:space="0"/>
              <w:right w:val="single" w:color="auto" w:sz="4" w:space="0"/>
            </w:tcBorders>
            <w:noWrap w:val="0"/>
            <w:vAlign w:val="top"/>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服务器</w:t>
            </w:r>
          </w:p>
        </w:tc>
        <w:tc>
          <w:tcPr>
            <w:tcW w:w="4984" w:type="dxa"/>
            <w:tcBorders>
              <w:top w:val="single" w:color="auto" w:sz="4" w:space="0"/>
              <w:left w:val="single" w:color="auto" w:sz="4" w:space="0"/>
              <w:bottom w:val="single" w:color="auto" w:sz="4" w:space="0"/>
              <w:right w:val="single" w:color="auto" w:sz="4" w:space="0"/>
            </w:tcBorders>
            <w:noWrap w:val="0"/>
            <w:vAlign w:val="top"/>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★规格：ThinkServer SR588 v2 双路2U机架式服务器。</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★处理器：2颗Intel® Xeon® Scalable (24核2.1G）</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CPU频率1.9 - 3.9Ghz</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CPU缓存8 - 28M。</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★内存：128GB  3块960G固态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★硬盘：2块2TB  内部硬盘位数可达28个2.5英寸盘位或14个3.5英寸盘位</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硬盘转速7200rpm</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★RAID功能： 1GB缓存</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★网卡：2*千兆网口、1*管理口</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★配件：包装清单含主机×1、导轨×1、电源线×1、随机资料</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★电源：功率可选550W/750W/1100W 冗余</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★I/O扩展：嵌入式网络控制器</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RJ-45  扩展槽可达8个PCIE4.0</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芯片组INTEL</w:t>
            </w:r>
          </w:p>
        </w:tc>
        <w:tc>
          <w:tcPr>
            <w:tcW w:w="570" w:type="dxa"/>
            <w:tcBorders>
              <w:top w:val="single" w:color="auto" w:sz="4" w:space="0"/>
              <w:left w:val="single" w:color="auto" w:sz="4" w:space="0"/>
              <w:bottom w:val="single" w:color="auto" w:sz="4" w:space="0"/>
              <w:right w:val="single" w:color="auto" w:sz="4" w:space="0"/>
            </w:tcBorders>
            <w:noWrap w:val="0"/>
            <w:vAlign w:val="top"/>
          </w:tcPr>
          <w:p>
            <w:pPr>
              <w:pStyle w:val="7"/>
              <w:rPr>
                <w:rFonts w:hint="eastAsia" w:ascii="宋体" w:hAnsi="宋体" w:eastAsia="宋体" w:cs="宋体"/>
                <w:sz w:val="24"/>
                <w:szCs w:val="24"/>
              </w:rPr>
            </w:pPr>
            <w:r>
              <w:rPr>
                <w:rFonts w:hint="eastAsia" w:ascii="宋体" w:hAnsi="宋体" w:eastAsia="宋体" w:cs="宋体"/>
                <w:sz w:val="24"/>
                <w:szCs w:val="24"/>
              </w:rPr>
              <w:t>1</w:t>
            </w:r>
          </w:p>
        </w:tc>
        <w:tc>
          <w:tcPr>
            <w:tcW w:w="1185" w:type="dxa"/>
            <w:tcBorders>
              <w:top w:val="single" w:color="auto" w:sz="4" w:space="0"/>
              <w:left w:val="single" w:color="auto" w:sz="4" w:space="0"/>
              <w:bottom w:val="single" w:color="auto" w:sz="4" w:space="0"/>
              <w:right w:val="single" w:color="auto" w:sz="4" w:space="0"/>
            </w:tcBorders>
            <w:noWrap w:val="0"/>
            <w:vAlign w:val="top"/>
          </w:tcPr>
          <w:p>
            <w:pPr>
              <w:pStyle w:val="7"/>
              <w:spacing w:before="120" w:after="120"/>
              <w:rPr>
                <w:rFonts w:hint="eastAsia" w:ascii="宋体" w:hAnsi="宋体" w:eastAsia="宋体" w:cs="宋体"/>
                <w:sz w:val="24"/>
                <w:szCs w:val="24"/>
              </w:rPr>
            </w:pPr>
            <w:r>
              <w:rPr>
                <w:rFonts w:hint="eastAsia" w:ascii="宋体" w:hAnsi="宋体" w:eastAsia="宋体" w:cs="宋体"/>
                <w:sz w:val="24"/>
                <w:szCs w:val="24"/>
              </w:rPr>
              <w:t>财务大数据实训课程</w:t>
            </w: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7"/>
              <w:rPr>
                <w:rFonts w:hint="eastAsia" w:ascii="宋体" w:hAnsi="宋体" w:eastAsia="宋体" w:cs="宋体"/>
                <w:sz w:val="24"/>
                <w:szCs w:val="24"/>
              </w:rPr>
            </w:pPr>
            <w:r>
              <w:rPr>
                <w:rFonts w:hint="eastAsia" w:ascii="宋体" w:hAnsi="宋体" w:eastAsia="宋体" w:cs="宋体"/>
                <w:sz w:val="24"/>
                <w:szCs w:val="24"/>
              </w:rPr>
              <w:t>2S-411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9" w:hRule="atLeast"/>
        </w:trPr>
        <w:tc>
          <w:tcPr>
            <w:tcW w:w="467" w:type="dxa"/>
            <w:tcBorders>
              <w:top w:val="single" w:color="auto" w:sz="4" w:space="0"/>
              <w:left w:val="single" w:color="auto" w:sz="4" w:space="0"/>
              <w:bottom w:val="single" w:color="auto" w:sz="4" w:space="0"/>
              <w:right w:val="single" w:color="auto" w:sz="4" w:space="0"/>
            </w:tcBorders>
            <w:noWrap w:val="0"/>
            <w:vAlign w:val="top"/>
          </w:tcPr>
          <w:p>
            <w:pPr>
              <w:pStyle w:val="7"/>
              <w:spacing w:before="156" w:after="156"/>
              <w:rPr>
                <w:rFonts w:hint="eastAsia" w:ascii="宋体" w:hAnsi="宋体" w:eastAsia="宋体" w:cs="宋体"/>
                <w:sz w:val="24"/>
                <w:szCs w:val="24"/>
              </w:rPr>
            </w:pPr>
            <w:r>
              <w:rPr>
                <w:rFonts w:hint="eastAsia" w:ascii="宋体" w:hAnsi="宋体" w:eastAsia="宋体" w:cs="宋体"/>
                <w:sz w:val="24"/>
                <w:szCs w:val="24"/>
              </w:rPr>
              <w:t>5</w:t>
            </w:r>
          </w:p>
        </w:tc>
        <w:tc>
          <w:tcPr>
            <w:tcW w:w="735" w:type="dxa"/>
            <w:tcBorders>
              <w:top w:val="single" w:color="auto" w:sz="4" w:space="0"/>
              <w:left w:val="single" w:color="auto" w:sz="4" w:space="0"/>
              <w:bottom w:val="single" w:color="auto" w:sz="4" w:space="0"/>
              <w:right w:val="single" w:color="auto" w:sz="4" w:space="0"/>
            </w:tcBorders>
            <w:noWrap w:val="0"/>
            <w:vAlign w:val="top"/>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服务器内存条</w:t>
            </w:r>
          </w:p>
        </w:tc>
        <w:tc>
          <w:tcPr>
            <w:tcW w:w="4984" w:type="dxa"/>
            <w:tcBorders>
              <w:top w:val="single" w:color="auto" w:sz="4" w:space="0"/>
              <w:left w:val="single" w:color="auto" w:sz="4" w:space="0"/>
              <w:bottom w:val="single" w:color="auto" w:sz="4" w:space="0"/>
              <w:right w:val="single" w:color="auto" w:sz="4" w:space="0"/>
            </w:tcBorders>
            <w:noWrap w:val="0"/>
            <w:vAlign w:val="top"/>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校方原有服务器：</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★规格：Thinkserver RD450 8*3.5系列，2U机架式服务器。</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★处理器：2颗Intel Xeon E5-2609 v3</w:t>
            </w:r>
          </w:p>
          <w:p>
            <w:pPr>
              <w:widowControl/>
              <w:rPr>
                <w:rFonts w:hint="eastAsia" w:ascii="宋体" w:hAnsi="宋体" w:eastAsia="宋体" w:cs="宋体"/>
                <w:color w:val="000000"/>
                <w:kern w:val="0"/>
                <w:sz w:val="24"/>
                <w:szCs w:val="24"/>
              </w:rPr>
            </w:pPr>
            <w:r>
              <w:rPr>
                <w:rFonts w:hint="eastAsia" w:ascii="宋体" w:hAnsi="宋体" w:eastAsia="宋体" w:cs="宋体"/>
                <w:bCs/>
                <w:color w:val="000000"/>
                <w:kern w:val="0"/>
                <w:sz w:val="24"/>
                <w:szCs w:val="24"/>
              </w:rPr>
              <w:t>★内存：</w:t>
            </w:r>
            <w:r>
              <w:rPr>
                <w:rFonts w:hint="eastAsia" w:ascii="宋体" w:hAnsi="宋体" w:eastAsia="宋体" w:cs="宋体"/>
                <w:color w:val="000000"/>
                <w:kern w:val="0"/>
                <w:sz w:val="24"/>
                <w:szCs w:val="24"/>
              </w:rPr>
              <w:t>4*8GB ECC RDIMM DDR4内存</w:t>
            </w:r>
            <w:r>
              <w:rPr>
                <w:rFonts w:hint="eastAsia" w:ascii="宋体" w:hAnsi="宋体" w:eastAsia="宋体" w:cs="宋体"/>
                <w:bCs/>
                <w:color w:val="000000"/>
                <w:kern w:val="0"/>
                <w:sz w:val="24"/>
                <w:szCs w:val="24"/>
                <w:u w:val="wave"/>
              </w:rPr>
              <w:br w:type="textWrapping"/>
            </w:r>
            <w:r>
              <w:rPr>
                <w:rFonts w:hint="eastAsia" w:ascii="宋体" w:hAnsi="宋体" w:eastAsia="宋体" w:cs="宋体"/>
                <w:color w:val="000000"/>
                <w:kern w:val="0"/>
                <w:sz w:val="24"/>
                <w:szCs w:val="24"/>
              </w:rPr>
              <w:t>★硬盘：2块2TB  7.2K 热插拔3.5寸SATA硬盘,支持8个3.5寸或24个2.5寸SAS/SATA硬盘扩展(非外挂存储)，可支持SSD硬盘扩展</w:t>
            </w:r>
          </w:p>
        </w:tc>
        <w:tc>
          <w:tcPr>
            <w:tcW w:w="570" w:type="dxa"/>
            <w:tcBorders>
              <w:top w:val="single" w:color="auto" w:sz="4" w:space="0"/>
              <w:left w:val="single" w:color="auto" w:sz="4" w:space="0"/>
              <w:bottom w:val="single" w:color="auto" w:sz="4" w:space="0"/>
              <w:right w:val="single" w:color="auto" w:sz="4" w:space="0"/>
            </w:tcBorders>
            <w:noWrap w:val="0"/>
            <w:vAlign w:val="top"/>
          </w:tcPr>
          <w:p>
            <w:pPr>
              <w:pStyle w:val="7"/>
              <w:spacing w:before="156" w:after="156"/>
              <w:rPr>
                <w:rFonts w:hint="eastAsia" w:ascii="宋体" w:hAnsi="宋体" w:eastAsia="宋体" w:cs="宋体"/>
                <w:sz w:val="24"/>
                <w:szCs w:val="24"/>
              </w:rPr>
            </w:pPr>
            <w:r>
              <w:rPr>
                <w:rFonts w:hint="eastAsia" w:ascii="宋体" w:hAnsi="宋体" w:eastAsia="宋体" w:cs="宋体"/>
                <w:sz w:val="24"/>
                <w:szCs w:val="24"/>
              </w:rPr>
              <w:t>3</w:t>
            </w:r>
          </w:p>
        </w:tc>
        <w:tc>
          <w:tcPr>
            <w:tcW w:w="1185" w:type="dxa"/>
            <w:tcBorders>
              <w:top w:val="single" w:color="auto" w:sz="4" w:space="0"/>
              <w:left w:val="single" w:color="auto" w:sz="4" w:space="0"/>
              <w:bottom w:val="single" w:color="auto" w:sz="4" w:space="0"/>
              <w:right w:val="single" w:color="auto" w:sz="4" w:space="0"/>
            </w:tcBorders>
            <w:noWrap w:val="0"/>
            <w:vAlign w:val="top"/>
          </w:tcPr>
          <w:p>
            <w:pPr>
              <w:pStyle w:val="7"/>
              <w:spacing w:before="156" w:after="156"/>
              <w:rPr>
                <w:rFonts w:hint="eastAsia" w:ascii="宋体" w:hAnsi="宋体" w:eastAsia="宋体" w:cs="宋体"/>
                <w:sz w:val="24"/>
                <w:szCs w:val="24"/>
              </w:rPr>
            </w:pPr>
            <w:r>
              <w:rPr>
                <w:rFonts w:hint="eastAsia" w:ascii="宋体" w:hAnsi="宋体" w:eastAsia="宋体" w:cs="宋体"/>
                <w:sz w:val="24"/>
                <w:szCs w:val="24"/>
              </w:rPr>
              <w:t>财务大数据实训课程</w:t>
            </w: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7"/>
              <w:spacing w:before="156" w:after="156"/>
              <w:rPr>
                <w:rFonts w:hint="eastAsia" w:ascii="宋体" w:hAnsi="宋体" w:eastAsia="宋体" w:cs="宋体"/>
                <w:sz w:val="24"/>
                <w:szCs w:val="24"/>
              </w:rPr>
            </w:pPr>
            <w:r>
              <w:rPr>
                <w:rFonts w:hint="eastAsia" w:ascii="宋体" w:hAnsi="宋体" w:eastAsia="宋体" w:cs="宋体"/>
                <w:sz w:val="24"/>
                <w:szCs w:val="24"/>
              </w:rPr>
              <w:t>2S-411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34" w:hRule="atLeast"/>
        </w:trPr>
        <w:tc>
          <w:tcPr>
            <w:tcW w:w="8661"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 xml:space="preserve"> 1、所购置全部软件5年内（2023年3月-2028年3月）提供免费更新及教师培训服务；2、在使用期间应提供相应的售后服务。    </w:t>
            </w:r>
          </w:p>
          <w:p>
            <w:pPr>
              <w:pStyle w:val="7"/>
              <w:spacing w:before="156" w:after="156"/>
              <w:rPr>
                <w:rFonts w:hint="eastAsia" w:ascii="宋体" w:hAnsi="宋体" w:eastAsia="宋体" w:cs="宋体"/>
                <w:sz w:val="24"/>
                <w:szCs w:val="24"/>
                <w:u w:val="single"/>
              </w:rPr>
            </w:pPr>
            <w:r>
              <w:rPr>
                <w:rFonts w:hint="eastAsia" w:ascii="宋体" w:hAnsi="宋体" w:eastAsia="宋体" w:cs="宋体"/>
                <w:sz w:val="24"/>
                <w:szCs w:val="24"/>
                <w:u w:val="single"/>
              </w:rPr>
              <w:t>购置软件第1年起，提供对管理学院教师（1-3名）每年度1次免费培训，在线或现场</w:t>
            </w:r>
          </w:p>
          <w:p>
            <w:pPr>
              <w:pStyle w:val="7"/>
              <w:spacing w:before="156" w:after="156"/>
              <w:rPr>
                <w:rFonts w:hint="eastAsia" w:ascii="宋体" w:hAnsi="宋体" w:eastAsia="宋体" w:cs="宋体"/>
                <w:sz w:val="24"/>
                <w:szCs w:val="24"/>
                <w:u w:val="single"/>
              </w:rPr>
            </w:pPr>
            <w:r>
              <w:rPr>
                <w:rFonts w:hint="eastAsia" w:ascii="宋体" w:hAnsi="宋体" w:eastAsia="宋体" w:cs="宋体"/>
                <w:sz w:val="24"/>
                <w:szCs w:val="24"/>
                <w:u w:val="single"/>
              </w:rPr>
              <w:t xml:space="preserve">当校方更换实验场地或硬件设备需重新安装软件时，提供免费安装、调试服务。    </w:t>
            </w:r>
          </w:p>
        </w:tc>
      </w:tr>
    </w:tbl>
    <w:p>
      <w:pPr>
        <w:pStyle w:val="5"/>
        <w:rPr>
          <w:rFonts w:hint="default"/>
          <w:lang w:val="en-US" w:eastAsia="zh-CN"/>
        </w:rPr>
        <w:sectPr>
          <w:pgSz w:w="11906" w:h="16838"/>
          <w:pgMar w:top="1440" w:right="1803" w:bottom="1440" w:left="1803" w:header="851" w:footer="992" w:gutter="0"/>
          <w:cols w:space="720" w:num="1"/>
          <w:docGrid w:type="lines" w:linePitch="319" w:charSpace="0"/>
        </w:sectPr>
      </w:pPr>
    </w:p>
    <w:p>
      <w:pPr>
        <w:jc w:val="center"/>
        <w:rPr>
          <w:rFonts w:hint="eastAsia"/>
          <w:b w:val="0"/>
          <w:bCs w:val="0"/>
          <w:sz w:val="32"/>
          <w:szCs w:val="36"/>
          <w:lang w:val="en-US" w:eastAsia="zh-CN"/>
        </w:rPr>
      </w:pPr>
      <w:r>
        <w:rPr>
          <w:rFonts w:hint="eastAsia"/>
          <w:b w:val="0"/>
          <w:bCs w:val="0"/>
          <w:sz w:val="32"/>
          <w:szCs w:val="36"/>
          <w:lang w:val="en-US" w:eastAsia="zh-CN"/>
        </w:rPr>
        <w:t>第三包</w:t>
      </w:r>
    </w:p>
    <w:p>
      <w:pPr>
        <w:pStyle w:val="4"/>
        <w:rPr>
          <w:rFonts w:hint="eastAsia"/>
          <w:lang w:val="en-US" w:eastAsia="zh-CN"/>
        </w:rPr>
      </w:pPr>
    </w:p>
    <w:tbl>
      <w:tblPr>
        <w:tblStyle w:val="10"/>
        <w:tblpPr w:leftFromText="180" w:rightFromText="180" w:vertAnchor="text" w:horzAnchor="page" w:tblpX="1277" w:tblpY="479"/>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765"/>
        <w:gridCol w:w="5400"/>
        <w:gridCol w:w="495"/>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76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设备名称</w:t>
            </w:r>
          </w:p>
        </w:tc>
        <w:tc>
          <w:tcPr>
            <w:tcW w:w="540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技术指标</w:t>
            </w:r>
          </w:p>
        </w:tc>
        <w:tc>
          <w:tcPr>
            <w:tcW w:w="49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780"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支撑课程</w:t>
            </w:r>
          </w:p>
        </w:tc>
        <w:tc>
          <w:tcPr>
            <w:tcW w:w="780"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存放场地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48"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w:t>
            </w:r>
          </w:p>
        </w:tc>
        <w:tc>
          <w:tcPr>
            <w:tcW w:w="765"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云桌面管理软件</w:t>
            </w:r>
          </w:p>
        </w:tc>
        <w:tc>
          <w:tcPr>
            <w:tcW w:w="5400" w:type="dxa"/>
            <w:noWrap w:val="0"/>
            <w:vAlign w:val="center"/>
          </w:tcPr>
          <w:p>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系统登录管理：支持本集群认证、其他集群认证、基础平台认证登录系统，登录前检测服务器状态、选择管理集群，通过指定IP或IP范围段搜索更新集群列表；自动保存/清除系统记录历史记录及登录密码，记住密码和自动登录；具有远程开机集群服务器、自动登录认证功能；具有修改密码，系统显示用户个人信息，包括：用户ID、姓名、性别、用户组等功能</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集群状态信息实时更新：系统实时刷新并显示集群运行时间、集群名称、集群ID、主服务器IP、虚拟MAC提供商ID、版本、认证方式、授权激活信息、终端运行状态、云桌面运行状态等信息。管理员可分配云桌面、统一重启、统一关机、系统镜像管理等；</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集群状态管理：具有集群节点开机、关机、重启系统、重启服务程序、显示集群资源应用情况（如内存、CPU、系统盘、数据盘、状态(在线/离线/故障)、Raid配置等）功能，可对集群跨网段激活、升级、服务器日志下载；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4、系统镜像管理：支持对系统镜像进行管理，包括从ISO系统文件、从系统镜像创建或直接上传等多种方式创建，修改、配置、下载、同步/取消、关机/强制关机、删除、分配给用户桌面或终端云桌面、回收站等。</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5、云终端管理：支持按终端真实座位布局进行终端及云桌面管理、可在同一管理页面支持VDI和IDV和VOI不同云桌面，并可同时对不同类型终端（如ARM终端、X86终端等）统一管理。</w:t>
            </w:r>
          </w:p>
          <w:p>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具有对云终端当前云桌面进行云桌面开机、关机/强制关机、重启、重置(系统盘)、禁止/启用上网、U盘禁用/启用、默认云桌面、云桌面切换、云桌面监视、云桌面接管的管理功能；</w:t>
            </w:r>
          </w:p>
          <w:p>
            <w:pPr>
              <w:keepNext w:val="0"/>
              <w:keepLines w:val="0"/>
              <w:widowControl/>
              <w:numPr>
                <w:ilvl w:val="0"/>
                <w:numId w:val="6"/>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有对云终端添加分组并进行跨网段统一管理、分配云桌面、同步座位名称(按排列座位一键修改教室内终端名称)、终端标识/取消、X86终端更新（X86终端）、清除终端所有系统镜像（X86终端）、清除终端指定系统镜像（X86终端）、删除终端；</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用户管理：支持对用户及用户组信息进行管理，具有添加、删除、更改、查询、导出、导入、设定用户类型功能，根据用户类型分配不同的管理权限及云桌面资源。支持对接云办公云盘数据存储管理软件，可为用户云桌面添加、扩容、删除个人云盘。</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9、云桌面高级管理：支持对所有用户或所有终端已分配的云桌面进行远程关机、重启、重置(系统盘）、开/关/保存还原（系统盘）、禁止/启用上网、修改云桌面参数、保存的管理功能。</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84</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大学英语视听说、综合英语</w:t>
            </w:r>
          </w:p>
        </w:tc>
        <w:tc>
          <w:tcPr>
            <w:tcW w:w="780" w:type="dxa"/>
            <w:noWrap w:val="0"/>
            <w:vAlign w:val="center"/>
          </w:tcPr>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lang w:val="en-US" w:eastAsia="zh-CN"/>
              </w:rPr>
              <w:t>5504教室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48"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w:t>
            </w:r>
          </w:p>
        </w:tc>
        <w:tc>
          <w:tcPr>
            <w:tcW w:w="765"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桌面虚拟化软件</w:t>
            </w:r>
          </w:p>
        </w:tc>
        <w:tc>
          <w:tcPr>
            <w:tcW w:w="54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集群本地管理：支持通过定制化U盘进行云服务节点的系统安装，可对集群集中管理配置本地UI操作界面，可自动进行网络配置、存储配置和集群创建，可对云服务节点进行故障检测与恢复。集群配置与运行状态信息自动同步，可重置管理员密码、修改集群IP地址、查看或下载集群节点日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2、授权管理：支持集群授权激活、迁移、删除和查询，用户需根据授权认证访问集群资源。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云服务节点重装恢复：云服务节点重装后可通过恢复存储功能直接恢复至重装之前状态，包括上传的模板及在该节点分配的云桌面，在系统故障时可快速恢复节点数据；支持因单节点云服务系统故障时重装恢复集群服务，重装集群节点后可完全复用数据，包括系统模板及云桌面数据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虚拟化服务：支持Win7、Win10及银河麒麟V10、CentOS7.8桌面操作系统的推送部署；支持云桌面系统开/关机、重启、重置、增量更新；可在虚拟化云桌面上运行各种应用程序，例如口语考试系统、标准化考试系统、多媒体教学系统；X86终端云桌面系统单独使用终端显卡、声卡及USB等硬件设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5、云桌面增量存储：支持多个不同云桌面共享操作系统镜像，并以增量形式保存，根据实际数据应用大小占据存储空间，实现不同云桌面的数据隔离；镜像修改后可同步更新到所有使用该镜像的云桌面。</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6、3D应用：支持3Dmark、音视频编辑等需要3D支持的办公应用；支持3Done、乐高建模等3D教学软件的应用。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7、BT文件分发技术：支持采用BT文件分发技术，点对点文件传输。</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终端管理：支持自动搜索并连接云服务器集群；支持终端网络断线或云服务器集群故障并恢复后自动重连到云服务器集群；支持修改终端连接的服务器集群及终端名称；支持设置终端开机自启动云桌面；支持登录记住密码和自动登录、查看个人信息、修改个人密码及注销用户登陆状态；支持对云桌面开机、关机、重启、重置；支持终端命令行调试工具；支持云桌面系统下发进度显示，可以实时掌握系统下发状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9、终端云盘应用：支持对接云办公云盘数据存储管理软件，实现用户登录访问个人私有云盘及公共云盘的数据，用户可在使用完主动断开访问链接。</w:t>
            </w:r>
          </w:p>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10、所投软件要求与学生语言学习云终端同一品牌。</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84</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大学英语视听说、综合英语</w:t>
            </w:r>
          </w:p>
        </w:tc>
        <w:tc>
          <w:tcPr>
            <w:tcW w:w="780" w:type="dxa"/>
            <w:noWrap w:val="0"/>
            <w:vAlign w:val="center"/>
          </w:tcPr>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lang w:val="en-US" w:eastAsia="zh-CN"/>
              </w:rPr>
              <w:t>5504教室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48"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w:t>
            </w:r>
          </w:p>
        </w:tc>
        <w:tc>
          <w:tcPr>
            <w:tcW w:w="765"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多媒体教学软件</w:t>
            </w:r>
          </w:p>
        </w:tc>
        <w:tc>
          <w:tcPr>
            <w:tcW w:w="5400" w:type="dxa"/>
            <w:noWrap w:val="0"/>
            <w:vAlign w:val="center"/>
          </w:tcPr>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屏幕广播：可将教师机屏幕和本地语音广播给全班学生，支持全屏广播、窗口广播，可以选择广播主显或者广播副显，并可结合电子画笔等工具进行广播教学。</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2.电子画笔：可在电脑屏幕上任意书写，提供笔、橡皮、撤回、清屏等基础且重要的功能。支持设置笔的大小和颜色。</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3.收发文件：教师可选择本地文件下发给全班学生或指定学生。学生也可主动上传文件，并以列表形式展示，教师可打开文件或浏览目录。</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4.远程命令：支持一键对学生机统一远程关机、禁网、黑屏肃静。</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5.示范演示：教师可以指定1~4个学生进行示范操作，可选择让学生操作教师电脑屏幕或操作学生自己的电脑屏幕，示范屏幕画面同步广播至全班学生。</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6.分组讨论：教师可对全班学生进行随机分组、相邻分组，教师可对单个小组下发资料、监视、加分、远程协助等操作，小组成员可向组长申请将屏幕分享给其它组员。</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7.课堂提问：教师可通过口头提问、截图提问两种方式随时发起课堂提问，支持选择题、判断题、填空题、简答题，支持挑人作答、抢答、全班作答。系统自动评估且可视化呈现结果。</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8.教材库：系统默认提供比较常用的公共网络素材库资源，教师也可自主添加网络素材库资源，登录后可以快速访问。</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9.趣味活动：提供抢红包、拼手速等具有趣味性的课堂活动，以活跃课堂气氛，并能根据用户需要增加配备。</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10.挑人：教师可挑选学生或小组回答问题/参与课堂活动，可一次挑选多人，也可从每组或指定小组挑人。支持全班挑人、每组挑人、指定组挑人、挑组等方式。</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11.网络影院：教师可导入本地影音文件，通过直流广播给全班学生。教师可以统一控制播放进度及音量，并且将播放界面最小化后进行其它操作不会影响学生收看。</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12.课堂录制：支持对教师机屏幕画面、摄像头画面及语音进行录制。</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13.电子黑板：教师可自定义黑板背景，进行画笔书写，支持创建新页、保存板书；还支持选择一个或多个学生参与标注，实现远程协同绘制/作答。</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14.展台：支持打开外置的USB视频展台，支持画笔标注、画面放大缩小、旋转、分辨率切换、亮度调节等功能，同时可以支持视频资料拍照并一键进入上课功能。</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15.电子点名：支持按课程表自动匹配教师授课学生；支持教师主动发起点名或学生自主登录点名，并可重新点名。教师还可对出勤信息进行修正。</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16.远程遥控：教师可以远程控制学生电脑屏幕，并且在小组讨论状态下也可以遥控组长屏幕，参与小组讨论。支持清晰、流畅两种画质。</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17.课堂笔记：学生可在课堂上进行笔记记录，支持插入本地图片、插入分割线的功能、标注重点，支持对历史笔记记录进行查询、查看。</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18.其它教学工具：提供放大镜、量角器、直尺、主副显切换等教师工具，以及举手发言、草稿纸、发送文件、收到文件、请求远程、笔记等学生工具，并能根据用户需要增加配备。</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大学英语视听说、综合英语</w:t>
            </w:r>
          </w:p>
        </w:tc>
        <w:tc>
          <w:tcPr>
            <w:tcW w:w="780" w:type="dxa"/>
            <w:noWrap w:val="0"/>
            <w:vAlign w:val="center"/>
          </w:tcPr>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lang w:val="en-US" w:eastAsia="zh-CN"/>
              </w:rPr>
              <w:t>5504教室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48"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w:t>
            </w:r>
          </w:p>
        </w:tc>
        <w:tc>
          <w:tcPr>
            <w:tcW w:w="765"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智能化语言教学软件</w:t>
            </w:r>
          </w:p>
        </w:tc>
        <w:tc>
          <w:tcPr>
            <w:tcW w:w="54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教学资源智能识别：可以自动识别目录文件夹、电脑桌面、移动设备、百度网盘中的教学文本、音频、视频等素材；并可根据资料来源、类型、内容关键字为教师推荐专用教学模式的功能，教材类资料的课文讲解模式，音视频类资料的听力讲解模式，支持教学模式切换。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2.智能化分析：可以对资源进行“单词”、“短语”、“句型”知识点的智能化分析，分析结果自动高亮并匹配知识点课件；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3.文本转音频：可以将系统自带或外部导入的word、text等文本自动生成配套音频；</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通用工具：可以使用屏幕广播、语音广播、师生对讲、监听、查看学生桌面、短信互动、远程遥控、电子黑板、遮挡板、放大镜、课堂录制、文件收发、视频展台、黑板肃静、禁用网络、禁用USB等通用辅助工具；</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5.跟读训练：支持学生跟读训练，可设定播放次数、跟读方式，可以切换手动跟读或自动领读；跟读结束后，以图表形式自动统计跟读结果，教师可对学生跟读录音进行讲评；</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6.朗读训练：支持学生朗读训练，教师可以控制朗读时的学生录音，控制暂停或者继续，可以自动录音，学生可以自听、互听，教师可以进行讲评；</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7.复听：支持学生复听练习，教师可以查看学生复听进度及复听统计情况；教师可进行讲评；</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8.标注疑难点：支持学生课前资料预览、重难点知识标注，教师端可以自动统计标注知识点、标注人数并解析其知识点并匹配知识点课件；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9.分组讨论：支持按随机分配、邻近分配两种方式分组，设定全班分组个数，且支持更改组长，小组讨论过程中小组成员耳机、话咪互通。</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10.示范教学：可以选择教师桌面或学生桌面作为示范桌面，示范位学生可以操作示范桌面，非示范位学生可以观看示范桌面上示范学生的实时操作。示范过程中支持老师远程协助。</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11.学生录音：支持一键全班录音开始、结束、暂停、重新录音，历史录音结果支持回放、删除、另存至、打开录音保存目录。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配音：支持选取资料配音和直接配音两种方式，其中选择资料配音默认自动匹配当前资料有关主题的资料进行配音，也可按主题、年级等搜索配音素材，还可以选取本地素材进行配音。配音过程按配音视频中角色人数分组配音，组内成员耳机、话咪声音互通。</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13.英汉词典：支持搜索查词，查询结果包含音标、读音、词性、释义、例句等。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14.点名：支持老师选择教学班点名、修改出勤结果、重新点名功能。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15.智能语音评测：学生可以进行口语发音练习，可以从“完整性”、“准确性”、“韵律性”、“流利度”进行综合评分。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提供英语专四专八、俄语专四专八、中国汉语水平考试（HSK）、大学英语四六级、全国外销员从业资格考试、翻译资格水平考试、商务汉语水平考试（BCT）等八种以上国家级标准口语考试模版，导入试题后可一键完成整个考试过程。教师在考前能够统一对学生的耳机话咪进行检测，并对二人讨论/三人讨论进行确认</w:t>
            </w:r>
          </w:p>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17.配套口译教学平台：具备短期记忆和影子训练等先进教学系统，搭配跟读、复述、干扰音等口译技能训练工具，达到专业化训练的效果。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18.性能要求：</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①音、视频广播：教师机的全屏画面信息通过网络传输发送到学生终端桌面，可达到：教师机至学生终端音频、视频广播延时≤0.5ms；所有学生终端接收音频、视频广播的同步时间差≤0.5ms；</w:t>
            </w:r>
          </w:p>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②师生语音对话、示范教学、二人讨论协作式学习音质要求：语音对话延时≤6.2ms；语音断裂频率，10分钟内无断裂；</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大学英语视听说、综合英语</w:t>
            </w:r>
          </w:p>
        </w:tc>
        <w:tc>
          <w:tcPr>
            <w:tcW w:w="780" w:type="dxa"/>
            <w:noWrap w:val="0"/>
            <w:vAlign w:val="center"/>
          </w:tcPr>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lang w:val="en-US" w:eastAsia="zh-CN"/>
              </w:rPr>
              <w:t>5504教室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48"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w:t>
            </w:r>
          </w:p>
        </w:tc>
        <w:tc>
          <w:tcPr>
            <w:tcW w:w="765"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智慧课堂管理互动系统</w:t>
            </w:r>
          </w:p>
        </w:tc>
        <w:tc>
          <w:tcPr>
            <w:tcW w:w="5400" w:type="dxa"/>
            <w:noWrap w:val="0"/>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1、智慧课堂选择“原生PPT应用”模式，在微软Office PowerPoint或金山WPS的功能应用插件，教师备课及上课无需从本地或云盘额外导入课件，直接运行文件（.ppt或.pptx格式）即可。</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2、教师可通过原生PPT工具栏点击登录输入手机号（或工号）密码或绑定微信扫码方式进行登录。</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3、教师在备课过程中，可简单通过原生PPT工具栏插入互动问题包括但不限于单选题、多选题、判断题、填空题和问答题。</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4、教师备课设置的问答题可选择多种作答方式如图文、拍照、文件、语音。</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5、为方便学生课堂问答题作答，需支持学生通过手机微信中“文件传输助手”的文件进行上传，老师对于作答不合格学生可以退回；</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6、教师在课前可开启预习，教师可对每个学生的预习观看情况进行查看和统计。</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7、教师在课后可发送公告信息，学生可通过移动端收到提醒并查看公告，教师可查询学生阅读公告信息记录。</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8、教师发布作业，可直接建立作业或从资源库中导入，提交作业方式包括图文、拍照和文件</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9、课后作业支持按小组发布；为解决移动端上传作业文件不便利的问题，学生可读取微信“文件传输助手”文件提交作业；小组一名成员提交作业后，其他成员将无法提交本次作业。</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10、教师发布资料，包括文档、图片、视频、文章、压缩包，可直接上传资料或从资源库中调取并发布，发布后学生可通过移动端查看资料。</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11、教师可查询课堂教学互动信息，包括作业、测验、提问、抢答、弹幕、评分、考试和预习信息。</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12、文档类型的作业支持教师一键打包下载，文档名称的设置可根据学生班级、姓名、学号等信息任意组合自定义批量命名，方便教师对作业文件的备档。</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13、教师可查询每次互动课堂的信息，包括考勤、测验、考试，提问、抢答等。</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14、教师可查询每门课程的互动教学统计，包括出勤、测验、作业、预习等。</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15、在课前，教师可开启考勤应用，教师可对学生考勤状态进行设置（包括迟到、早退、事假、病假）；对于特殊情况的学生（当兵、退学、降级、转专业等）教师可手动将学生移除名单并进行标记。</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16、教师通过简单操作既可以进行授课。双击课件文件（.ppt或.pptx格式）开启原生PPT；在原生PPT的工具栏中直接开启授课；选择将课件同步给学生并确认开课；学生移动端最新收到的教师课件信息。</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17、教师可在课堂可通过PC或移动端发送测试题给学生</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18、教师可使用标记功能对课件信息进行标记，支持课件同步至教师移动端，课件标记信息可一键发送至学生移动端。</w:t>
            </w:r>
          </w:p>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19、教师课堂可通过电脑截图或手机截图的方式将课件局部内容发送至学生移动端。</w:t>
            </w:r>
          </w:p>
          <w:p>
            <w:pPr>
              <w:widowControl/>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000000"/>
                <w:kern w:val="0"/>
                <w:sz w:val="24"/>
                <w:szCs w:val="24"/>
              </w:rPr>
              <w:t>20、教师在课堂授课过程中在PPT当前页面无需退出或切换其他页面，即可随时开启签到二维码，方便未加入课堂的同学实时加入课堂并进行互动。</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大学英语视听说、综合英语</w:t>
            </w:r>
          </w:p>
        </w:tc>
        <w:tc>
          <w:tcPr>
            <w:tcW w:w="780" w:type="dxa"/>
            <w:noWrap w:val="0"/>
            <w:vAlign w:val="center"/>
          </w:tcPr>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lang w:val="en-US" w:eastAsia="zh-CN"/>
              </w:rPr>
              <w:t>5504教室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548"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w:t>
            </w:r>
          </w:p>
        </w:tc>
        <w:tc>
          <w:tcPr>
            <w:tcW w:w="765"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耳机话筒组</w:t>
            </w:r>
          </w:p>
        </w:tc>
        <w:tc>
          <w:tcPr>
            <w:tcW w:w="54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头戴封闭式立体声耳机，带抗静电话咪，动圈式工作方式，直线型导线； 单元直径 40mm ,频响范围 20-20000Hz ,产品阻抗 32欧姆,灵敏度 110±3dB</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85</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大学英语视听说、综合英语</w:t>
            </w:r>
          </w:p>
        </w:tc>
        <w:tc>
          <w:tcPr>
            <w:tcW w:w="780" w:type="dxa"/>
            <w:noWrap w:val="0"/>
            <w:vAlign w:val="center"/>
          </w:tcPr>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lang w:val="en-US" w:eastAsia="zh-CN"/>
              </w:rPr>
              <w:t>5504教室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548"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7</w:t>
            </w:r>
          </w:p>
        </w:tc>
        <w:tc>
          <w:tcPr>
            <w:tcW w:w="765"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云桌面管理服务器</w:t>
            </w:r>
          </w:p>
        </w:tc>
        <w:tc>
          <w:tcPr>
            <w:tcW w:w="54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2U机架式/CPU性能不低于Intel I7 10700/Intel B460主板/≥32G DDR4/≥1T 企业级SATA3机械硬盘/集成声卡、显卡/双千兆网卡/2U机箱/导轨/电源/</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大学英语视听说、综合英语</w:t>
            </w:r>
          </w:p>
        </w:tc>
        <w:tc>
          <w:tcPr>
            <w:tcW w:w="780" w:type="dxa"/>
            <w:noWrap w:val="0"/>
            <w:vAlign w:val="center"/>
          </w:tcPr>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lang w:val="en-US" w:eastAsia="zh-CN"/>
              </w:rPr>
              <w:t>5504教室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48"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8</w:t>
            </w:r>
          </w:p>
        </w:tc>
        <w:tc>
          <w:tcPr>
            <w:tcW w:w="765"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网络交换机</w:t>
            </w:r>
          </w:p>
        </w:tc>
        <w:tc>
          <w:tcPr>
            <w:tcW w:w="54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端口：≥24个千兆电口，背板带宽：≥52G，包转发速率：≥38.7M，端口4KV防雷，电源：交流100-240V内置电源，标准机架型，非网管交换机，支持标准交换/网络克隆/汇聚上联切换</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大学英语视听说、综合英语</w:t>
            </w:r>
          </w:p>
        </w:tc>
        <w:tc>
          <w:tcPr>
            <w:tcW w:w="780" w:type="dxa"/>
            <w:noWrap w:val="0"/>
            <w:vAlign w:val="center"/>
          </w:tcPr>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lang w:val="en-US" w:eastAsia="zh-CN"/>
              </w:rPr>
              <w:t>5504教室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48"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9</w:t>
            </w:r>
          </w:p>
        </w:tc>
        <w:tc>
          <w:tcPr>
            <w:tcW w:w="765"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路由器</w:t>
            </w:r>
          </w:p>
        </w:tc>
        <w:tc>
          <w:tcPr>
            <w:tcW w:w="54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企业级千兆路由，Wan口数量（有线路由）≥1个，Lan口数量（有线路由）≥4个 </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大学英语视听说、综合英语</w:t>
            </w:r>
          </w:p>
        </w:tc>
        <w:tc>
          <w:tcPr>
            <w:tcW w:w="780" w:type="dxa"/>
            <w:noWrap w:val="0"/>
            <w:vAlign w:val="center"/>
          </w:tcPr>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lang w:val="en-US" w:eastAsia="zh-CN"/>
              </w:rPr>
              <w:t>5504教室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48"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10</w:t>
            </w:r>
          </w:p>
        </w:tc>
        <w:tc>
          <w:tcPr>
            <w:tcW w:w="765"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教师计算机</w:t>
            </w:r>
          </w:p>
        </w:tc>
        <w:tc>
          <w:tcPr>
            <w:tcW w:w="54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CPU性能不低于Intel I5 10500/Intel H系列主板/≥8G DDR4/≥2T 硬盘+128G固态硬盘/集成显卡/集成声卡、网卡/DVD刻录/硬盘保护/网络同传/机箱电源/键鼠/≥21.5寸液晶显示器*2</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大学英语视听说、综合英语</w:t>
            </w:r>
          </w:p>
        </w:tc>
        <w:tc>
          <w:tcPr>
            <w:tcW w:w="780" w:type="dxa"/>
            <w:noWrap w:val="0"/>
            <w:vAlign w:val="center"/>
          </w:tcPr>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lang w:val="en-US" w:eastAsia="zh-CN"/>
              </w:rPr>
              <w:t>5504教室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48"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11</w:t>
            </w:r>
          </w:p>
        </w:tc>
        <w:tc>
          <w:tcPr>
            <w:tcW w:w="765"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学生语言学习云终端</w:t>
            </w:r>
          </w:p>
        </w:tc>
        <w:tc>
          <w:tcPr>
            <w:tcW w:w="54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1、X86架构云终端，处理器不低于四核，主频≥2.0GHz。</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2、内存：≥8G。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3、内置存储：≥256G SSD。</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4、网络端口：≥1个RJ45。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5、视频端口：≥1个HDMI端口、≥1个VGA端口。</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6、USB端口：≥6*USB端口。</w:t>
            </w:r>
          </w:p>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7、为保证硬件和软件的兼容性以及便于售后维护升级，所投学生语言学习云终端须与云桌面管理软件、云桌面虚拟化服务软件、智能化语言教学软件、管理服务器为同一品牌，投标时需提供证明文件。</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84</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大学英语视听说、综合英语</w:t>
            </w:r>
          </w:p>
        </w:tc>
        <w:tc>
          <w:tcPr>
            <w:tcW w:w="780" w:type="dxa"/>
            <w:noWrap w:val="0"/>
            <w:vAlign w:val="center"/>
          </w:tcPr>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lang w:val="en-US" w:eastAsia="zh-CN"/>
              </w:rPr>
              <w:t>5504教室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48"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w:t>
            </w:r>
          </w:p>
        </w:tc>
        <w:tc>
          <w:tcPr>
            <w:tcW w:w="765"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学生显示器</w:t>
            </w:r>
          </w:p>
        </w:tc>
        <w:tc>
          <w:tcPr>
            <w:tcW w:w="54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LED背光全高清液晶显示器，屏幕尺寸≥21.5 英寸，分辨率≥1920*1080，屏幕比16:9，VGA接口或HDMI接口。</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84</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大学英语视听说、综合英语</w:t>
            </w:r>
          </w:p>
        </w:tc>
        <w:tc>
          <w:tcPr>
            <w:tcW w:w="780" w:type="dxa"/>
            <w:noWrap w:val="0"/>
            <w:vAlign w:val="center"/>
          </w:tcPr>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lang w:val="en-US" w:eastAsia="zh-CN"/>
              </w:rPr>
              <w:t>5504教室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48"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13</w:t>
            </w:r>
          </w:p>
        </w:tc>
        <w:tc>
          <w:tcPr>
            <w:tcW w:w="765"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键鼠套装</w:t>
            </w:r>
          </w:p>
        </w:tc>
        <w:tc>
          <w:tcPr>
            <w:tcW w:w="54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USB接口有线鼠标、键盘</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84</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大学英语视听说、综合英语</w:t>
            </w:r>
          </w:p>
        </w:tc>
        <w:tc>
          <w:tcPr>
            <w:tcW w:w="780" w:type="dxa"/>
            <w:noWrap w:val="0"/>
            <w:vAlign w:val="center"/>
          </w:tcPr>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lang w:val="en-US" w:eastAsia="zh-CN"/>
              </w:rPr>
              <w:t>5504教室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48"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14</w:t>
            </w:r>
          </w:p>
        </w:tc>
        <w:tc>
          <w:tcPr>
            <w:tcW w:w="765"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教师桌</w:t>
            </w:r>
          </w:p>
        </w:tc>
        <w:tc>
          <w:tcPr>
            <w:tcW w:w="54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桌子材料采用SPCC优质冷轧钢板。先进的静电喷涂处理工艺，颜色为灰白色或订做其他色，左边为设备边柜，外形精美，环保防潮，安装简易，维护快捷，防火耐用</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大学英语视听说、综合英语</w:t>
            </w:r>
          </w:p>
        </w:tc>
        <w:tc>
          <w:tcPr>
            <w:tcW w:w="780" w:type="dxa"/>
            <w:noWrap w:val="0"/>
            <w:vAlign w:val="center"/>
          </w:tcPr>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lang w:val="en-US" w:eastAsia="zh-CN"/>
              </w:rPr>
              <w:t>5504教室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48"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15</w:t>
            </w:r>
          </w:p>
        </w:tc>
        <w:tc>
          <w:tcPr>
            <w:tcW w:w="765"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教师椅</w:t>
            </w:r>
          </w:p>
        </w:tc>
        <w:tc>
          <w:tcPr>
            <w:tcW w:w="54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网面，钢架结构，可升降五轮转椅，带扶手带靠背，外形美观，经久耐用</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大学英语视听说、综合英语</w:t>
            </w:r>
          </w:p>
        </w:tc>
        <w:tc>
          <w:tcPr>
            <w:tcW w:w="780" w:type="dxa"/>
            <w:noWrap w:val="0"/>
            <w:vAlign w:val="center"/>
          </w:tcPr>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lang w:val="en-US" w:eastAsia="zh-CN"/>
              </w:rPr>
              <w:t>5504教室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48"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16</w:t>
            </w:r>
          </w:p>
        </w:tc>
        <w:tc>
          <w:tcPr>
            <w:tcW w:w="765"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学生桌</w:t>
            </w:r>
          </w:p>
        </w:tc>
        <w:tc>
          <w:tcPr>
            <w:tcW w:w="54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全钢制两联桌，参考尺寸L≥1300×W≥550×H≥750MM；桌子材料采用SPCC优质冷轧钢板，先进的静电喷涂处理工艺，颜色为灰白色或订做其他颜色，外形高档，安装简易，维护快捷，防火耐用。</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42</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大学英语视听说、综合英语</w:t>
            </w:r>
          </w:p>
        </w:tc>
        <w:tc>
          <w:tcPr>
            <w:tcW w:w="780" w:type="dxa"/>
            <w:noWrap w:val="0"/>
            <w:vAlign w:val="center"/>
          </w:tcPr>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lang w:val="en-US" w:eastAsia="zh-CN"/>
              </w:rPr>
              <w:t>5504教室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48"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17</w:t>
            </w:r>
          </w:p>
        </w:tc>
        <w:tc>
          <w:tcPr>
            <w:tcW w:w="765"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学生凳</w:t>
            </w:r>
          </w:p>
        </w:tc>
        <w:tc>
          <w:tcPr>
            <w:tcW w:w="54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木质方凳，坚固耐用</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84</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大学英语视听说、综合英语</w:t>
            </w:r>
          </w:p>
        </w:tc>
        <w:tc>
          <w:tcPr>
            <w:tcW w:w="780" w:type="dxa"/>
            <w:noWrap w:val="0"/>
            <w:vAlign w:val="center"/>
          </w:tcPr>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lang w:val="en-US" w:eastAsia="zh-CN"/>
              </w:rPr>
              <w:t>5504教室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48"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18</w:t>
            </w:r>
          </w:p>
        </w:tc>
        <w:tc>
          <w:tcPr>
            <w:tcW w:w="765"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机柜</w:t>
            </w:r>
          </w:p>
        </w:tc>
        <w:tc>
          <w:tcPr>
            <w:tcW w:w="54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≥22U标准机柜，放置交换机，SPCC冷轧钢板制作，前门白色透明钢化玻璃门，后门钢板门，左右侧门可方便拆卸，可安装底座，达到固定机柜、底部过线、底部送冷风、防鼠的要求。</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大学英语视听说、综合英语</w:t>
            </w:r>
          </w:p>
        </w:tc>
        <w:tc>
          <w:tcPr>
            <w:tcW w:w="780" w:type="dxa"/>
            <w:noWrap w:val="0"/>
            <w:vAlign w:val="center"/>
          </w:tcPr>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lang w:val="en-US" w:eastAsia="zh-CN"/>
              </w:rPr>
              <w:t>5504教室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48"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19</w:t>
            </w:r>
          </w:p>
        </w:tc>
        <w:tc>
          <w:tcPr>
            <w:tcW w:w="765"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防静电地板</w:t>
            </w:r>
          </w:p>
        </w:tc>
        <w:tc>
          <w:tcPr>
            <w:tcW w:w="54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陶瓷面防静电地板，参考规格600*600mm</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105</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大学英语视听说、综合英语</w:t>
            </w:r>
          </w:p>
        </w:tc>
        <w:tc>
          <w:tcPr>
            <w:tcW w:w="780" w:type="dxa"/>
            <w:noWrap w:val="0"/>
            <w:vAlign w:val="center"/>
          </w:tcPr>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lang w:val="en-US" w:eastAsia="zh-CN"/>
              </w:rPr>
              <w:t>5504教室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48"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20</w:t>
            </w:r>
          </w:p>
        </w:tc>
        <w:tc>
          <w:tcPr>
            <w:tcW w:w="765"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施工及线材</w:t>
            </w:r>
          </w:p>
        </w:tc>
        <w:tc>
          <w:tcPr>
            <w:tcW w:w="54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1、包括实验室所用的电源线、网线、网络标号、音频线等各种线材</w:t>
            </w:r>
          </w:p>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2、设备安装调试到位，施工依照综合布线标准设计，所有线路信息点均有编号和颜色标识，方便维护管理</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84</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大学英语视听说、综合英语</w:t>
            </w:r>
          </w:p>
        </w:tc>
        <w:tc>
          <w:tcPr>
            <w:tcW w:w="780" w:type="dxa"/>
            <w:noWrap w:val="0"/>
            <w:vAlign w:val="center"/>
          </w:tcPr>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lang w:val="en-US" w:eastAsia="zh-CN"/>
              </w:rPr>
              <w:t>5504教室</w:t>
            </w:r>
          </w:p>
        </w:tc>
      </w:tr>
    </w:tbl>
    <w:p>
      <w:pPr>
        <w:pStyle w:val="5"/>
        <w:rPr>
          <w:rFonts w:hint="default"/>
          <w:lang w:val="en-US" w:eastAsia="zh-CN"/>
        </w:rPr>
        <w:sectPr>
          <w:pgSz w:w="11906" w:h="16838"/>
          <w:pgMar w:top="1440" w:right="1803" w:bottom="1440" w:left="1803" w:header="851" w:footer="992" w:gutter="0"/>
          <w:cols w:space="720" w:num="1"/>
          <w:docGrid w:type="lines" w:linePitch="319" w:charSpace="0"/>
        </w:sectPr>
      </w:pPr>
    </w:p>
    <w:p>
      <w:pPr>
        <w:jc w:val="center"/>
        <w:rPr>
          <w:rFonts w:hint="eastAsia"/>
          <w:b/>
          <w:bCs/>
          <w:sz w:val="32"/>
          <w:szCs w:val="36"/>
          <w:lang w:val="en-US" w:eastAsia="zh-CN"/>
        </w:rPr>
      </w:pPr>
      <w:r>
        <w:rPr>
          <w:rFonts w:hint="eastAsia"/>
          <w:b/>
          <w:bCs/>
          <w:sz w:val="32"/>
          <w:szCs w:val="36"/>
          <w:lang w:val="en-US" w:eastAsia="zh-CN"/>
        </w:rPr>
        <w:t>第四包</w:t>
      </w:r>
    </w:p>
    <w:tbl>
      <w:tblPr>
        <w:tblStyle w:val="10"/>
        <w:tblpPr w:leftFromText="180" w:rightFromText="180" w:vertAnchor="text" w:horzAnchor="page" w:tblpX="1277" w:tblpY="479"/>
        <w:tblW w:w="8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4"/>
        <w:gridCol w:w="5160"/>
        <w:gridCol w:w="885"/>
        <w:gridCol w:w="82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70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设备名称</w:t>
            </w:r>
          </w:p>
        </w:tc>
        <w:tc>
          <w:tcPr>
            <w:tcW w:w="516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技术指标</w:t>
            </w:r>
          </w:p>
        </w:tc>
        <w:tc>
          <w:tcPr>
            <w:tcW w:w="8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82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支撑课程</w:t>
            </w:r>
          </w:p>
        </w:tc>
        <w:tc>
          <w:tcPr>
            <w:tcW w:w="79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存放场地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8" w:hRule="atLeast"/>
        </w:trPr>
        <w:tc>
          <w:tcPr>
            <w:tcW w:w="534" w:type="dxa"/>
            <w:noWrap w:val="0"/>
            <w:vAlign w:val="center"/>
          </w:tcPr>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704" w:type="dxa"/>
            <w:noWrap w:val="0"/>
            <w:vAlign w:val="center"/>
          </w:tcPr>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图形工作站主机渲染建模三维设计</w:t>
            </w:r>
          </w:p>
        </w:tc>
        <w:tc>
          <w:tcPr>
            <w:tcW w:w="5160" w:type="dxa"/>
            <w:noWrap w:val="0"/>
            <w:vAlign w:val="center"/>
          </w:tcPr>
          <w:p>
            <w:pPr>
              <w:snapToGrid w:val="0"/>
              <w:spacing w:line="320" w:lineRule="exact"/>
              <w:rPr>
                <w:rFonts w:hint="eastAsia" w:ascii="宋体" w:hAnsi="宋体" w:eastAsia="宋体" w:cs="宋体"/>
                <w:sz w:val="24"/>
                <w:szCs w:val="24"/>
              </w:rPr>
            </w:pPr>
            <w:r>
              <w:rPr>
                <w:rFonts w:hint="eastAsia" w:ascii="宋体" w:hAnsi="宋体" w:eastAsia="宋体" w:cs="宋体"/>
                <w:b/>
                <w:sz w:val="24"/>
                <w:szCs w:val="24"/>
              </w:rPr>
              <w:t>★主板：≥</w:t>
            </w:r>
            <w:r>
              <w:rPr>
                <w:rFonts w:hint="eastAsia" w:ascii="宋体" w:hAnsi="宋体" w:eastAsia="宋体" w:cs="宋体"/>
                <w:sz w:val="24"/>
                <w:szCs w:val="24"/>
              </w:rPr>
              <w:t>Intel W480</w:t>
            </w:r>
          </w:p>
          <w:p>
            <w:pPr>
              <w:snapToGrid w:val="0"/>
              <w:spacing w:line="320" w:lineRule="exact"/>
              <w:rPr>
                <w:rFonts w:hint="eastAsia" w:ascii="宋体" w:hAnsi="宋体" w:eastAsia="宋体" w:cs="宋体"/>
                <w:sz w:val="24"/>
                <w:szCs w:val="24"/>
              </w:rPr>
            </w:pPr>
            <w:r>
              <w:rPr>
                <w:rFonts w:hint="eastAsia" w:ascii="宋体" w:hAnsi="宋体" w:eastAsia="宋体" w:cs="宋体"/>
                <w:b/>
                <w:sz w:val="24"/>
                <w:szCs w:val="24"/>
              </w:rPr>
              <w:t>★CPU：≥</w:t>
            </w:r>
            <w:r>
              <w:rPr>
                <w:rFonts w:hint="eastAsia" w:ascii="宋体" w:hAnsi="宋体" w:eastAsia="宋体" w:cs="宋体"/>
                <w:sz w:val="24"/>
                <w:szCs w:val="24"/>
              </w:rPr>
              <w:t>英特尔酷睿I7-10700 8核2.9GHz处理器</w:t>
            </w:r>
          </w:p>
          <w:p>
            <w:pPr>
              <w:snapToGrid w:val="0"/>
              <w:spacing w:line="320" w:lineRule="exact"/>
              <w:rPr>
                <w:rFonts w:hint="eastAsia" w:ascii="宋体" w:hAnsi="宋体" w:eastAsia="宋体" w:cs="宋体"/>
                <w:sz w:val="24"/>
                <w:szCs w:val="24"/>
              </w:rPr>
            </w:pPr>
            <w:r>
              <w:rPr>
                <w:rFonts w:hint="eastAsia" w:ascii="宋体" w:hAnsi="宋体" w:eastAsia="宋体" w:cs="宋体"/>
                <w:b/>
                <w:sz w:val="24"/>
                <w:szCs w:val="24"/>
              </w:rPr>
              <w:t>★内存：≥</w:t>
            </w:r>
            <w:r>
              <w:rPr>
                <w:rFonts w:hint="eastAsia" w:ascii="宋体" w:hAnsi="宋体" w:eastAsia="宋体" w:cs="宋体"/>
                <w:sz w:val="24"/>
                <w:szCs w:val="24"/>
              </w:rPr>
              <w:t>16GB DDR4 320OMHz双通道内存</w:t>
            </w:r>
          </w:p>
          <w:p>
            <w:pPr>
              <w:snapToGrid w:val="0"/>
              <w:spacing w:line="320" w:lineRule="exact"/>
              <w:rPr>
                <w:rFonts w:hint="eastAsia" w:ascii="宋体" w:hAnsi="宋体" w:eastAsia="宋体" w:cs="宋体"/>
                <w:sz w:val="24"/>
                <w:szCs w:val="24"/>
              </w:rPr>
            </w:pPr>
            <w:r>
              <w:rPr>
                <w:rFonts w:hint="eastAsia" w:ascii="宋体" w:hAnsi="宋体" w:eastAsia="宋体" w:cs="宋体"/>
                <w:b/>
                <w:sz w:val="24"/>
                <w:szCs w:val="24"/>
              </w:rPr>
              <w:t>★硬盘：≥</w:t>
            </w:r>
            <w:r>
              <w:rPr>
                <w:rFonts w:hint="eastAsia" w:ascii="宋体" w:hAnsi="宋体" w:eastAsia="宋体" w:cs="宋体"/>
                <w:sz w:val="24"/>
                <w:szCs w:val="24"/>
              </w:rPr>
              <w:t>256GB NVMe高速固态硬盘+</w:t>
            </w:r>
            <w:r>
              <w:rPr>
                <w:rFonts w:hint="eastAsia" w:ascii="宋体" w:hAnsi="宋体" w:eastAsia="宋体" w:cs="宋体"/>
                <w:b/>
                <w:sz w:val="24"/>
                <w:szCs w:val="24"/>
              </w:rPr>
              <w:t>≥</w:t>
            </w:r>
            <w:r>
              <w:rPr>
                <w:rFonts w:hint="eastAsia" w:ascii="宋体" w:hAnsi="宋体" w:eastAsia="宋体" w:cs="宋体"/>
                <w:sz w:val="24"/>
                <w:szCs w:val="24"/>
              </w:rPr>
              <w:t>1TB机械硬盘</w:t>
            </w:r>
          </w:p>
          <w:p>
            <w:pPr>
              <w:snapToGrid w:val="0"/>
              <w:spacing w:line="320" w:lineRule="exact"/>
              <w:rPr>
                <w:rFonts w:hint="eastAsia" w:ascii="宋体" w:hAnsi="宋体" w:eastAsia="宋体" w:cs="宋体"/>
                <w:sz w:val="24"/>
                <w:szCs w:val="24"/>
              </w:rPr>
            </w:pPr>
            <w:r>
              <w:rPr>
                <w:rFonts w:hint="eastAsia" w:ascii="宋体" w:hAnsi="宋体" w:eastAsia="宋体" w:cs="宋体"/>
                <w:b/>
                <w:sz w:val="24"/>
                <w:szCs w:val="24"/>
              </w:rPr>
              <w:t>★显卡：≥</w:t>
            </w:r>
            <w:r>
              <w:rPr>
                <w:rFonts w:hint="eastAsia" w:ascii="宋体" w:hAnsi="宋体" w:eastAsia="宋体" w:cs="宋体"/>
                <w:sz w:val="24"/>
                <w:szCs w:val="24"/>
              </w:rPr>
              <w:t>NVIDIA Quadro P1000显卡(独立显卡)</w:t>
            </w:r>
          </w:p>
          <w:p>
            <w:p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网卡：802.11ax Wi-Fi6+蓝牙无线网卡/千兆有线网卡</w:t>
            </w:r>
          </w:p>
          <w:p>
            <w:p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键鼠：标配有线键鼠套装</w:t>
            </w:r>
          </w:p>
          <w:p>
            <w:p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软件：预装正版Office 2010</w:t>
            </w:r>
          </w:p>
          <w:p>
            <w:p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系统：Windows11家庭中文版</w:t>
            </w:r>
          </w:p>
        </w:tc>
        <w:tc>
          <w:tcPr>
            <w:tcW w:w="885" w:type="dxa"/>
            <w:noWrap w:val="0"/>
            <w:vAlign w:val="center"/>
          </w:tcPr>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12</w:t>
            </w:r>
          </w:p>
        </w:tc>
        <w:tc>
          <w:tcPr>
            <w:tcW w:w="825" w:type="dxa"/>
            <w:vMerge w:val="restart"/>
            <w:noWrap w:val="0"/>
            <w:vAlign w:val="center"/>
          </w:tcPr>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《新闻摄影》</w:t>
            </w:r>
          </w:p>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《新闻采访》</w:t>
            </w:r>
          </w:p>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《新闻编辑》</w:t>
            </w:r>
          </w:p>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《非线性编辑》</w:t>
            </w:r>
          </w:p>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《节目策划与栏目设计》</w:t>
            </w:r>
          </w:p>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《出境记者与现场报道》</w:t>
            </w:r>
          </w:p>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《微电影大赛》</w:t>
            </w:r>
          </w:p>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《电视节目编辑制作》等课程</w:t>
            </w:r>
          </w:p>
        </w:tc>
        <w:tc>
          <w:tcPr>
            <w:tcW w:w="795" w:type="dxa"/>
            <w:noWrap w:val="0"/>
            <w:vAlign w:val="center"/>
          </w:tcPr>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2" w:hRule="atLeast"/>
        </w:trPr>
        <w:tc>
          <w:tcPr>
            <w:tcW w:w="534" w:type="dxa"/>
            <w:noWrap w:val="0"/>
            <w:vAlign w:val="center"/>
          </w:tcPr>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704" w:type="dxa"/>
            <w:noWrap w:val="0"/>
            <w:vAlign w:val="center"/>
          </w:tcPr>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图形工作站主机渲染建模三维设计</w:t>
            </w:r>
          </w:p>
        </w:tc>
        <w:tc>
          <w:tcPr>
            <w:tcW w:w="5160" w:type="dxa"/>
            <w:noWrap w:val="0"/>
            <w:vAlign w:val="center"/>
          </w:tcPr>
          <w:p>
            <w:pPr>
              <w:snapToGrid w:val="0"/>
              <w:spacing w:line="320" w:lineRule="exact"/>
              <w:rPr>
                <w:rFonts w:hint="eastAsia" w:ascii="宋体" w:hAnsi="宋体" w:eastAsia="宋体" w:cs="宋体"/>
                <w:sz w:val="24"/>
                <w:szCs w:val="24"/>
              </w:rPr>
            </w:pPr>
            <w:r>
              <w:rPr>
                <w:rFonts w:hint="eastAsia" w:ascii="宋体" w:hAnsi="宋体" w:eastAsia="宋体" w:cs="宋体"/>
                <w:b/>
                <w:sz w:val="24"/>
                <w:szCs w:val="24"/>
              </w:rPr>
              <w:t>★主板：≥</w:t>
            </w:r>
            <w:r>
              <w:rPr>
                <w:rFonts w:hint="eastAsia" w:ascii="宋体" w:hAnsi="宋体" w:eastAsia="宋体" w:cs="宋体"/>
                <w:sz w:val="24"/>
                <w:szCs w:val="24"/>
              </w:rPr>
              <w:t>Intel W480</w:t>
            </w:r>
          </w:p>
          <w:p>
            <w:pPr>
              <w:snapToGrid w:val="0"/>
              <w:spacing w:line="320" w:lineRule="exact"/>
              <w:rPr>
                <w:rFonts w:hint="eastAsia" w:ascii="宋体" w:hAnsi="宋体" w:eastAsia="宋体" w:cs="宋体"/>
                <w:sz w:val="24"/>
                <w:szCs w:val="24"/>
              </w:rPr>
            </w:pPr>
            <w:r>
              <w:rPr>
                <w:rFonts w:hint="eastAsia" w:ascii="宋体" w:hAnsi="宋体" w:eastAsia="宋体" w:cs="宋体"/>
                <w:b/>
                <w:sz w:val="24"/>
                <w:szCs w:val="24"/>
              </w:rPr>
              <w:t>★CPU：≥</w:t>
            </w:r>
            <w:r>
              <w:rPr>
                <w:rFonts w:hint="eastAsia" w:ascii="宋体" w:hAnsi="宋体" w:eastAsia="宋体" w:cs="宋体"/>
                <w:sz w:val="24"/>
                <w:szCs w:val="24"/>
              </w:rPr>
              <w:t>英特尔酷睿I9-11900k8核3.5GHz处理器</w:t>
            </w:r>
          </w:p>
          <w:p>
            <w:pPr>
              <w:snapToGrid w:val="0"/>
              <w:spacing w:line="320" w:lineRule="exact"/>
              <w:rPr>
                <w:rFonts w:hint="eastAsia" w:ascii="宋体" w:hAnsi="宋体" w:eastAsia="宋体" w:cs="宋体"/>
                <w:sz w:val="24"/>
                <w:szCs w:val="24"/>
              </w:rPr>
            </w:pPr>
            <w:r>
              <w:rPr>
                <w:rFonts w:hint="eastAsia" w:ascii="宋体" w:hAnsi="宋体" w:eastAsia="宋体" w:cs="宋体"/>
                <w:b/>
                <w:sz w:val="24"/>
                <w:szCs w:val="24"/>
              </w:rPr>
              <w:t>★内存：≥</w:t>
            </w:r>
            <w:r>
              <w:rPr>
                <w:rFonts w:hint="eastAsia" w:ascii="宋体" w:hAnsi="宋体" w:eastAsia="宋体" w:cs="宋体"/>
                <w:sz w:val="24"/>
                <w:szCs w:val="24"/>
              </w:rPr>
              <w:t>32GB DDR4 320OMHz双通道内存</w:t>
            </w:r>
          </w:p>
          <w:p>
            <w:pPr>
              <w:snapToGrid w:val="0"/>
              <w:spacing w:line="320" w:lineRule="exact"/>
              <w:rPr>
                <w:rFonts w:hint="eastAsia" w:ascii="宋体" w:hAnsi="宋体" w:eastAsia="宋体" w:cs="宋体"/>
                <w:sz w:val="24"/>
                <w:szCs w:val="24"/>
              </w:rPr>
            </w:pPr>
            <w:r>
              <w:rPr>
                <w:rFonts w:hint="eastAsia" w:ascii="宋体" w:hAnsi="宋体" w:eastAsia="宋体" w:cs="宋体"/>
                <w:b/>
                <w:sz w:val="24"/>
                <w:szCs w:val="24"/>
              </w:rPr>
              <w:t>★硬盘：≥</w:t>
            </w:r>
            <w:r>
              <w:rPr>
                <w:rFonts w:hint="eastAsia" w:ascii="宋体" w:hAnsi="宋体" w:eastAsia="宋体" w:cs="宋体"/>
                <w:sz w:val="24"/>
                <w:szCs w:val="24"/>
              </w:rPr>
              <w:t>512GB NVMe高速固态硬盘+</w:t>
            </w:r>
            <w:r>
              <w:rPr>
                <w:rFonts w:hint="eastAsia" w:ascii="宋体" w:hAnsi="宋体" w:eastAsia="宋体" w:cs="宋体"/>
                <w:b/>
                <w:sz w:val="24"/>
                <w:szCs w:val="24"/>
              </w:rPr>
              <w:t>≥</w:t>
            </w:r>
            <w:r>
              <w:rPr>
                <w:rFonts w:hint="eastAsia" w:ascii="宋体" w:hAnsi="宋体" w:eastAsia="宋体" w:cs="宋体"/>
                <w:sz w:val="24"/>
                <w:szCs w:val="24"/>
              </w:rPr>
              <w:t>2TB机械硬盘</w:t>
            </w:r>
          </w:p>
          <w:p>
            <w:pPr>
              <w:snapToGrid w:val="0"/>
              <w:spacing w:line="320" w:lineRule="exact"/>
              <w:rPr>
                <w:rFonts w:hint="eastAsia" w:ascii="宋体" w:hAnsi="宋体" w:eastAsia="宋体" w:cs="宋体"/>
                <w:sz w:val="24"/>
                <w:szCs w:val="24"/>
              </w:rPr>
            </w:pPr>
            <w:r>
              <w:rPr>
                <w:rFonts w:hint="eastAsia" w:ascii="宋体" w:hAnsi="宋体" w:eastAsia="宋体" w:cs="宋体"/>
                <w:b/>
                <w:sz w:val="24"/>
                <w:szCs w:val="24"/>
              </w:rPr>
              <w:t>★显卡：≥</w:t>
            </w:r>
            <w:r>
              <w:rPr>
                <w:rFonts w:hint="eastAsia" w:ascii="宋体" w:hAnsi="宋体" w:eastAsia="宋体" w:cs="宋体"/>
                <w:sz w:val="24"/>
                <w:szCs w:val="24"/>
              </w:rPr>
              <w:t>NVIDIA Quadro P2000-5G显卡(独立显卡)</w:t>
            </w:r>
          </w:p>
          <w:p>
            <w:p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网卡：802.11ax Wi-Fi6+蓝牙无线网卡/千兆有线网卡</w:t>
            </w:r>
          </w:p>
          <w:p>
            <w:p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键鼠：标配有线键鼠套装</w:t>
            </w:r>
          </w:p>
          <w:p>
            <w:p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软件：预装正版Office 2010</w:t>
            </w:r>
          </w:p>
          <w:p>
            <w:p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系统：Windows11家庭中文版</w:t>
            </w:r>
          </w:p>
        </w:tc>
        <w:tc>
          <w:tcPr>
            <w:tcW w:w="885" w:type="dxa"/>
            <w:noWrap w:val="0"/>
            <w:vAlign w:val="center"/>
          </w:tcPr>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825" w:type="dxa"/>
            <w:vMerge w:val="continue"/>
            <w:noWrap w:val="0"/>
            <w:vAlign w:val="top"/>
          </w:tcPr>
          <w:p>
            <w:pPr>
              <w:snapToGrid w:val="0"/>
              <w:spacing w:line="360" w:lineRule="exact"/>
              <w:rPr>
                <w:rFonts w:hint="eastAsia" w:ascii="宋体" w:hAnsi="宋体" w:eastAsia="宋体" w:cs="宋体"/>
                <w:sz w:val="24"/>
                <w:szCs w:val="24"/>
              </w:rPr>
            </w:pPr>
          </w:p>
        </w:tc>
        <w:tc>
          <w:tcPr>
            <w:tcW w:w="795" w:type="dxa"/>
            <w:noWrap w:val="0"/>
            <w:vAlign w:val="center"/>
          </w:tcPr>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534" w:type="dxa"/>
            <w:noWrap w:val="0"/>
            <w:vAlign w:val="center"/>
          </w:tcPr>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704" w:type="dxa"/>
            <w:noWrap w:val="0"/>
            <w:vAlign w:val="center"/>
          </w:tcPr>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液晶显示器</w:t>
            </w:r>
          </w:p>
        </w:tc>
        <w:tc>
          <w:tcPr>
            <w:tcW w:w="5160" w:type="dxa"/>
            <w:noWrap w:val="0"/>
            <w:vAlign w:val="center"/>
          </w:tcPr>
          <w:p>
            <w:pPr>
              <w:snapToGrid w:val="0"/>
              <w:spacing w:line="360" w:lineRule="exact"/>
              <w:rPr>
                <w:rFonts w:hint="eastAsia" w:ascii="宋体" w:hAnsi="宋体" w:eastAsia="宋体" w:cs="宋体"/>
                <w:spacing w:val="-6"/>
                <w:sz w:val="24"/>
                <w:szCs w:val="24"/>
              </w:rPr>
            </w:pPr>
            <w:r>
              <w:rPr>
                <w:rFonts w:hint="eastAsia" w:ascii="宋体" w:hAnsi="宋体" w:eastAsia="宋体" w:cs="宋体"/>
                <w:spacing w:val="-6"/>
                <w:sz w:val="24"/>
                <w:szCs w:val="24"/>
              </w:rPr>
              <w:t>LED背光全高清液晶显示器</w:t>
            </w:r>
          </w:p>
          <w:p>
            <w:pPr>
              <w:snapToGrid w:val="0"/>
              <w:spacing w:line="360" w:lineRule="exact"/>
              <w:rPr>
                <w:rFonts w:hint="eastAsia" w:ascii="宋体" w:hAnsi="宋体" w:eastAsia="宋体" w:cs="宋体"/>
                <w:spacing w:val="-6"/>
                <w:sz w:val="24"/>
                <w:szCs w:val="24"/>
              </w:rPr>
            </w:pPr>
            <w:r>
              <w:rPr>
                <w:rFonts w:hint="eastAsia" w:ascii="宋体" w:hAnsi="宋体" w:eastAsia="宋体" w:cs="宋体"/>
                <w:b/>
                <w:spacing w:val="-6"/>
                <w:sz w:val="24"/>
                <w:szCs w:val="24"/>
              </w:rPr>
              <w:t>★</w:t>
            </w:r>
            <w:r>
              <w:rPr>
                <w:rFonts w:hint="eastAsia" w:ascii="宋体" w:hAnsi="宋体" w:eastAsia="宋体" w:cs="宋体"/>
                <w:spacing w:val="-6"/>
                <w:sz w:val="24"/>
                <w:szCs w:val="24"/>
              </w:rPr>
              <w:t>屏幕尺寸≥23.5 英寸</w:t>
            </w:r>
          </w:p>
          <w:p>
            <w:pPr>
              <w:snapToGrid w:val="0"/>
              <w:spacing w:line="360" w:lineRule="exact"/>
              <w:rPr>
                <w:rFonts w:hint="eastAsia" w:ascii="宋体" w:hAnsi="宋体" w:eastAsia="宋体" w:cs="宋体"/>
                <w:spacing w:val="-6"/>
                <w:sz w:val="24"/>
                <w:szCs w:val="24"/>
              </w:rPr>
            </w:pPr>
            <w:r>
              <w:rPr>
                <w:rFonts w:hint="eastAsia" w:ascii="宋体" w:hAnsi="宋体" w:eastAsia="宋体" w:cs="宋体"/>
                <w:b/>
                <w:spacing w:val="-6"/>
                <w:sz w:val="24"/>
                <w:szCs w:val="24"/>
              </w:rPr>
              <w:t>★</w:t>
            </w:r>
            <w:r>
              <w:rPr>
                <w:rFonts w:hint="eastAsia" w:ascii="宋体" w:hAnsi="宋体" w:eastAsia="宋体" w:cs="宋体"/>
                <w:spacing w:val="-6"/>
                <w:sz w:val="24"/>
                <w:szCs w:val="24"/>
              </w:rPr>
              <w:t>分辨率：≥2560*1440</w:t>
            </w:r>
          </w:p>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屏幕刷新率：60Hz及以上</w:t>
            </w:r>
          </w:p>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屏幕比例：16:9</w:t>
            </w:r>
          </w:p>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HDR：HDR400</w:t>
            </w:r>
          </w:p>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面板：IPS(Fast)</w:t>
            </w:r>
          </w:p>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对比度：1000:1</w:t>
            </w:r>
          </w:p>
          <w:p>
            <w:pPr>
              <w:snapToGrid w:val="0"/>
              <w:spacing w:line="360" w:lineRule="exact"/>
              <w:rPr>
                <w:rFonts w:hint="eastAsia" w:ascii="宋体" w:hAnsi="宋体" w:eastAsia="宋体" w:cs="宋体"/>
                <w:spacing w:val="-6"/>
                <w:sz w:val="24"/>
                <w:szCs w:val="24"/>
              </w:rPr>
            </w:pPr>
            <w:r>
              <w:rPr>
                <w:rFonts w:hint="eastAsia" w:ascii="宋体" w:hAnsi="宋体" w:eastAsia="宋体" w:cs="宋体"/>
                <w:sz w:val="24"/>
                <w:szCs w:val="24"/>
              </w:rPr>
              <w:t>响应时间：≤0.5ms</w:t>
            </w:r>
          </w:p>
        </w:tc>
        <w:tc>
          <w:tcPr>
            <w:tcW w:w="885" w:type="dxa"/>
            <w:noWrap w:val="0"/>
            <w:vAlign w:val="center"/>
          </w:tcPr>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13</w:t>
            </w:r>
          </w:p>
        </w:tc>
        <w:tc>
          <w:tcPr>
            <w:tcW w:w="825" w:type="dxa"/>
            <w:vMerge w:val="restart"/>
            <w:noWrap w:val="0"/>
            <w:vAlign w:val="center"/>
          </w:tcPr>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《新闻摄影》</w:t>
            </w:r>
          </w:p>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《新闻采访》</w:t>
            </w:r>
          </w:p>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《新闻编辑》</w:t>
            </w:r>
          </w:p>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《非线性编辑》</w:t>
            </w:r>
          </w:p>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《节目策划与栏目设计》</w:t>
            </w:r>
          </w:p>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《出境记者与现场报道》</w:t>
            </w:r>
          </w:p>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《微电影大赛》</w:t>
            </w:r>
          </w:p>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《电视节目编辑制作》等课程</w:t>
            </w:r>
          </w:p>
        </w:tc>
        <w:tc>
          <w:tcPr>
            <w:tcW w:w="795" w:type="dxa"/>
            <w:noWrap w:val="0"/>
            <w:vAlign w:val="center"/>
          </w:tcPr>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534" w:type="dxa"/>
            <w:noWrap w:val="0"/>
            <w:vAlign w:val="center"/>
          </w:tcPr>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704" w:type="dxa"/>
            <w:noWrap w:val="0"/>
            <w:vAlign w:val="center"/>
          </w:tcPr>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简约型电脑桌椅</w:t>
            </w:r>
          </w:p>
        </w:tc>
        <w:tc>
          <w:tcPr>
            <w:tcW w:w="5160" w:type="dxa"/>
            <w:noWrap w:val="0"/>
            <w:vAlign w:val="center"/>
          </w:tcPr>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简约型电脑桌（≥120*60*75CM）</w:t>
            </w:r>
          </w:p>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简约型电脑椅（面料材质：网布，类别：转椅）</w:t>
            </w:r>
          </w:p>
        </w:tc>
        <w:tc>
          <w:tcPr>
            <w:tcW w:w="885" w:type="dxa"/>
            <w:noWrap w:val="0"/>
            <w:vAlign w:val="center"/>
          </w:tcPr>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12</w:t>
            </w:r>
          </w:p>
        </w:tc>
        <w:tc>
          <w:tcPr>
            <w:tcW w:w="825" w:type="dxa"/>
            <w:vMerge w:val="continue"/>
            <w:noWrap w:val="0"/>
            <w:vAlign w:val="center"/>
          </w:tcPr>
          <w:p>
            <w:pPr>
              <w:snapToGrid w:val="0"/>
              <w:spacing w:line="360" w:lineRule="exact"/>
              <w:jc w:val="center"/>
              <w:rPr>
                <w:rFonts w:hint="eastAsia" w:ascii="宋体" w:hAnsi="宋体" w:eastAsia="宋体" w:cs="宋体"/>
                <w:sz w:val="24"/>
                <w:szCs w:val="24"/>
              </w:rPr>
            </w:pPr>
          </w:p>
        </w:tc>
        <w:tc>
          <w:tcPr>
            <w:tcW w:w="795" w:type="dxa"/>
            <w:noWrap w:val="0"/>
            <w:vAlign w:val="center"/>
          </w:tcPr>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534" w:type="dxa"/>
            <w:noWrap w:val="0"/>
            <w:vAlign w:val="center"/>
          </w:tcPr>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704" w:type="dxa"/>
            <w:noWrap w:val="0"/>
            <w:vAlign w:val="center"/>
          </w:tcPr>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简约型电脑桌椅</w:t>
            </w:r>
          </w:p>
        </w:tc>
        <w:tc>
          <w:tcPr>
            <w:tcW w:w="5160" w:type="dxa"/>
            <w:noWrap w:val="0"/>
            <w:vAlign w:val="center"/>
          </w:tcPr>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简约型电脑桌（≥140*60*75CM）</w:t>
            </w:r>
          </w:p>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简约型电脑椅（面料材质：网布，类别：转椅）</w:t>
            </w:r>
          </w:p>
        </w:tc>
        <w:tc>
          <w:tcPr>
            <w:tcW w:w="885" w:type="dxa"/>
            <w:noWrap w:val="0"/>
            <w:vAlign w:val="center"/>
          </w:tcPr>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825" w:type="dxa"/>
            <w:vMerge w:val="continue"/>
            <w:noWrap w:val="0"/>
            <w:vAlign w:val="center"/>
          </w:tcPr>
          <w:p>
            <w:pPr>
              <w:snapToGrid w:val="0"/>
              <w:spacing w:line="360" w:lineRule="exact"/>
              <w:jc w:val="center"/>
              <w:rPr>
                <w:rFonts w:hint="eastAsia" w:ascii="宋体" w:hAnsi="宋体" w:eastAsia="宋体" w:cs="宋体"/>
                <w:sz w:val="24"/>
                <w:szCs w:val="24"/>
              </w:rPr>
            </w:pPr>
          </w:p>
        </w:tc>
        <w:tc>
          <w:tcPr>
            <w:tcW w:w="795" w:type="dxa"/>
            <w:noWrap w:val="0"/>
            <w:vAlign w:val="center"/>
          </w:tcPr>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34" w:type="dxa"/>
            <w:noWrap w:val="0"/>
            <w:vAlign w:val="center"/>
          </w:tcPr>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704" w:type="dxa"/>
            <w:noWrap w:val="0"/>
            <w:vAlign w:val="center"/>
          </w:tcPr>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无线手持话筒套装(一拖一套装)</w:t>
            </w:r>
          </w:p>
        </w:tc>
        <w:tc>
          <w:tcPr>
            <w:tcW w:w="5160" w:type="dxa"/>
            <w:noWrap w:val="0"/>
            <w:vAlign w:val="center"/>
          </w:tcPr>
          <w:p>
            <w:pPr>
              <w:snapToGrid w:val="0"/>
              <w:spacing w:line="360" w:lineRule="exact"/>
              <w:rPr>
                <w:rFonts w:hint="eastAsia" w:ascii="宋体" w:hAnsi="宋体" w:eastAsia="宋体" w:cs="宋体"/>
                <w:b/>
                <w:sz w:val="24"/>
                <w:szCs w:val="24"/>
              </w:rPr>
            </w:pPr>
            <w:r>
              <w:rPr>
                <w:rFonts w:hint="eastAsia" w:ascii="宋体" w:hAnsi="宋体" w:eastAsia="宋体" w:cs="宋体"/>
                <w:b/>
                <w:sz w:val="24"/>
                <w:szCs w:val="24"/>
              </w:rPr>
              <w:t>★频段：K29</w:t>
            </w:r>
          </w:p>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连接主体：相机/摄像机</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传输方式：无线</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使用方式：手持式</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类型：专业录音麦克风</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适用场景：单反录音，摄像机专用</w:t>
            </w:r>
          </w:p>
          <w:p>
            <w:pPr>
              <w:pStyle w:val="2"/>
              <w:ind w:left="0" w:leftChars="0"/>
              <w:rPr>
                <w:rFonts w:hint="eastAsia" w:ascii="宋体" w:hAnsi="宋体" w:eastAsia="宋体" w:cs="宋体"/>
                <w:b/>
                <w:sz w:val="24"/>
                <w:szCs w:val="24"/>
              </w:rPr>
            </w:pPr>
            <w:r>
              <w:rPr>
                <w:rFonts w:hint="eastAsia" w:ascii="宋体" w:hAnsi="宋体" w:eastAsia="宋体" w:cs="宋体"/>
                <w:b/>
                <w:sz w:val="24"/>
                <w:szCs w:val="24"/>
              </w:rPr>
              <w:t>手持式麦克风参数：</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 xml:space="preserve">麦克风单元：动态 </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 xml:space="preserve">方向性：单向 </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天线：1/4入波长导线天线</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基准音频输入电平：</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-55dBV(GAIN MODE设为NORMAL、0 dB衰减)</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最大音频输入电平：</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151 dB SPL(21dB衰减，使用随附麦克风单元)</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 xml:space="preserve">RF输出电平：30 mW/5mW可选(UC、U、CE、LA、 </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CN型号)10 mW/2 mW 可选(E、KR型号)</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频响：70Hz到18 kHz(典型值)</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 xml:space="preserve">衰减：0 dB到21 dB(3dB步阶) </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指示灯：POWER/MUTE</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电池寿命：</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(在25℃下使用两节SonyLR6/AA型碱</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性电池测量，DISPLAY MODE 设为 AUTO OFF)</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输出功率为30mW时约8小时(UC、U、CE、LA、CN型号)</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输出功率为10mW时约10小时(E、KR型号)</w:t>
            </w:r>
          </w:p>
          <w:p>
            <w:pPr>
              <w:pStyle w:val="2"/>
              <w:ind w:left="0" w:leftChars="0"/>
              <w:rPr>
                <w:rFonts w:hint="eastAsia" w:ascii="宋体" w:hAnsi="宋体" w:eastAsia="宋体" w:cs="宋体"/>
                <w:b/>
                <w:sz w:val="24"/>
                <w:szCs w:val="24"/>
              </w:rPr>
            </w:pPr>
            <w:r>
              <w:rPr>
                <w:rFonts w:hint="eastAsia" w:ascii="宋体" w:hAnsi="宋体" w:eastAsia="宋体" w:cs="宋体"/>
                <w:b/>
                <w:sz w:val="24"/>
                <w:szCs w:val="24"/>
              </w:rPr>
              <w:t>便携式接收器参数：</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 xml:space="preserve">天线：1/4入波长导线天线(角度可调式) </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音频输出电平：</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-60dBV(3.5mm直径3极锁定微型：插孔，模拟输出，0 dB音频输出电平)</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-20dBFS(外部连接，数字输出，0dB音频输出电平)</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-50dBFS(外部连接，模拟输出，0dB音频输出电平)</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音频输出电平变化范围：-12 dB到+12 dB(3dB步阶)</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音频输出接口：3.5mm直径3极锁定微型插孔，外部连接</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 xml:space="preserve">耳机输出电平：最大值10mW(16-0hm) </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耳机输出接口：3.5mm直径微型插孔</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 xml:space="preserve">接收方法：真分集方法 </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本机振荡器：晶控PLL合成器</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信噪比：60dB(1kHz正弦波、5 kHz调制)</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音频延时：</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约0.35ms(模拟输出)</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约0.24ms(数字输出)</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 xml:space="preserve">去加重：50 μs </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 xml:space="preserve">基准频偏：±5 kHz </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频响：23 Hz到18 kHz(典型值)</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失真：0.9%或更低(1 kHz正弦波、5kHz 调制)</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单音信号频率：UWP-D压扩器模式:32.382 kHz</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UWP 压扩器模式:32 kHz</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WL800压扩器模式:</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32.768 kHz</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指示灯：POWER、RF</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 xml:space="preserve">工作温度：0℃到50℃ </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存储温度：-20℃到+55℃</w:t>
            </w:r>
          </w:p>
        </w:tc>
        <w:tc>
          <w:tcPr>
            <w:tcW w:w="885" w:type="dxa"/>
            <w:noWrap w:val="0"/>
            <w:vAlign w:val="center"/>
          </w:tcPr>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825" w:type="dxa"/>
            <w:vMerge w:val="continue"/>
            <w:noWrap w:val="0"/>
            <w:vAlign w:val="top"/>
          </w:tcPr>
          <w:p>
            <w:pPr>
              <w:snapToGrid w:val="0"/>
              <w:spacing w:line="360" w:lineRule="exact"/>
              <w:rPr>
                <w:rFonts w:hint="eastAsia" w:ascii="宋体" w:hAnsi="宋体" w:eastAsia="宋体" w:cs="宋体"/>
                <w:sz w:val="24"/>
                <w:szCs w:val="24"/>
              </w:rPr>
            </w:pPr>
          </w:p>
        </w:tc>
        <w:tc>
          <w:tcPr>
            <w:tcW w:w="795" w:type="dxa"/>
            <w:noWrap w:val="0"/>
            <w:vAlign w:val="center"/>
          </w:tcPr>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34" w:type="dxa"/>
            <w:noWrap w:val="0"/>
            <w:vAlign w:val="center"/>
          </w:tcPr>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704" w:type="dxa"/>
            <w:noWrap w:val="0"/>
            <w:vAlign w:val="center"/>
          </w:tcPr>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无线领夹麦克风小蜜蜂(一拖一套装)</w:t>
            </w:r>
          </w:p>
        </w:tc>
        <w:tc>
          <w:tcPr>
            <w:tcW w:w="5160" w:type="dxa"/>
            <w:noWrap w:val="0"/>
            <w:vAlign w:val="center"/>
          </w:tcPr>
          <w:p>
            <w:pPr>
              <w:snapToGrid w:val="0"/>
              <w:spacing w:line="360" w:lineRule="exact"/>
              <w:jc w:val="left"/>
              <w:rPr>
                <w:rFonts w:hint="eastAsia" w:ascii="宋体" w:hAnsi="宋体" w:eastAsia="宋体" w:cs="宋体"/>
                <w:b/>
                <w:sz w:val="24"/>
                <w:szCs w:val="24"/>
              </w:rPr>
            </w:pPr>
            <w:r>
              <w:rPr>
                <w:rFonts w:hint="eastAsia" w:ascii="宋体" w:hAnsi="宋体" w:eastAsia="宋体" w:cs="宋体"/>
                <w:b/>
                <w:sz w:val="24"/>
                <w:szCs w:val="24"/>
              </w:rPr>
              <w:t>★频段：K29</w:t>
            </w:r>
          </w:p>
          <w:p>
            <w:pPr>
              <w:snapToGrid w:val="0"/>
              <w:spacing w:line="360" w:lineRule="exact"/>
              <w:jc w:val="left"/>
              <w:rPr>
                <w:rFonts w:hint="eastAsia" w:ascii="宋体" w:hAnsi="宋体" w:eastAsia="宋体" w:cs="宋体"/>
                <w:sz w:val="24"/>
                <w:szCs w:val="24"/>
              </w:rPr>
            </w:pPr>
            <w:r>
              <w:rPr>
                <w:rFonts w:hint="eastAsia" w:ascii="宋体" w:hAnsi="宋体" w:eastAsia="宋体" w:cs="宋体"/>
                <w:sz w:val="24"/>
                <w:szCs w:val="24"/>
              </w:rPr>
              <w:t>连接主体：相机/摄像机</w:t>
            </w:r>
          </w:p>
          <w:p>
            <w:pPr>
              <w:snapToGrid w:val="0"/>
              <w:spacing w:line="360" w:lineRule="exact"/>
              <w:jc w:val="left"/>
              <w:rPr>
                <w:rFonts w:hint="eastAsia" w:ascii="宋体" w:hAnsi="宋体" w:eastAsia="宋体" w:cs="宋体"/>
                <w:sz w:val="24"/>
                <w:szCs w:val="24"/>
              </w:rPr>
            </w:pPr>
            <w:r>
              <w:rPr>
                <w:rFonts w:hint="eastAsia" w:ascii="宋体" w:hAnsi="宋体" w:eastAsia="宋体" w:cs="宋体"/>
                <w:sz w:val="24"/>
                <w:szCs w:val="24"/>
              </w:rPr>
              <w:t>传输方式：无线</w:t>
            </w:r>
          </w:p>
          <w:p>
            <w:pPr>
              <w:snapToGrid w:val="0"/>
              <w:spacing w:line="360" w:lineRule="exact"/>
              <w:jc w:val="left"/>
              <w:rPr>
                <w:rFonts w:hint="eastAsia" w:ascii="宋体" w:hAnsi="宋体" w:eastAsia="宋体" w:cs="宋体"/>
                <w:sz w:val="24"/>
                <w:szCs w:val="24"/>
              </w:rPr>
            </w:pPr>
            <w:r>
              <w:rPr>
                <w:rFonts w:hint="eastAsia" w:ascii="宋体" w:hAnsi="宋体" w:eastAsia="宋体" w:cs="宋体"/>
                <w:sz w:val="24"/>
                <w:szCs w:val="24"/>
              </w:rPr>
              <w:t>使用方式：领夹式</w:t>
            </w:r>
          </w:p>
          <w:p>
            <w:pPr>
              <w:snapToGrid w:val="0"/>
              <w:spacing w:line="360" w:lineRule="exact"/>
              <w:jc w:val="left"/>
              <w:rPr>
                <w:rFonts w:hint="eastAsia" w:ascii="宋体" w:hAnsi="宋体" w:eastAsia="宋体" w:cs="宋体"/>
                <w:sz w:val="24"/>
                <w:szCs w:val="24"/>
              </w:rPr>
            </w:pPr>
            <w:r>
              <w:rPr>
                <w:rFonts w:hint="eastAsia" w:ascii="宋体" w:hAnsi="宋体" w:eastAsia="宋体" w:cs="宋体"/>
                <w:sz w:val="24"/>
                <w:szCs w:val="24"/>
              </w:rPr>
              <w:t>类型：专业录音麦克风</w:t>
            </w:r>
          </w:p>
          <w:p>
            <w:pPr>
              <w:snapToGrid w:val="0"/>
              <w:spacing w:line="360" w:lineRule="exact"/>
              <w:jc w:val="left"/>
              <w:rPr>
                <w:rFonts w:hint="eastAsia" w:ascii="宋体" w:hAnsi="宋体" w:eastAsia="宋体" w:cs="宋体"/>
                <w:sz w:val="24"/>
                <w:szCs w:val="24"/>
              </w:rPr>
            </w:pPr>
            <w:r>
              <w:rPr>
                <w:rFonts w:hint="eastAsia" w:ascii="宋体" w:hAnsi="宋体" w:eastAsia="宋体" w:cs="宋体"/>
                <w:sz w:val="24"/>
                <w:szCs w:val="24"/>
              </w:rPr>
              <w:t>适用场景：单反录音，摄像机专用</w:t>
            </w:r>
          </w:p>
          <w:p>
            <w:pPr>
              <w:pStyle w:val="2"/>
              <w:ind w:left="0" w:leftChars="0"/>
              <w:rPr>
                <w:rFonts w:hint="eastAsia" w:ascii="宋体" w:hAnsi="宋体" w:eastAsia="宋体" w:cs="宋体"/>
                <w:b/>
                <w:sz w:val="24"/>
                <w:szCs w:val="24"/>
              </w:rPr>
            </w:pPr>
            <w:r>
              <w:rPr>
                <w:rFonts w:hint="eastAsia" w:ascii="宋体" w:hAnsi="宋体" w:eastAsia="宋体" w:cs="宋体"/>
                <w:b/>
                <w:sz w:val="24"/>
                <w:szCs w:val="24"/>
              </w:rPr>
              <w:t>发射器参数：</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发射器输出功率：30mW/5mW可选(UC、U、CE、LA、CN型号)，10mW/2mW可选 (小 E、KR型号)</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总滤波失真：0.9%或更低(-60dBV，1 kHz输入)</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发射频率：14UC：470.125MHz至541.875MHz (UHF-TV14至25通道)；25UC：536. 125MHz至607.875MHz (UHF-TV25至36通道)；42LA：638.125MHz至697.875MHz (UHF-TV42至51通道)；90UC：941. 625MHz至951.875MHz、953.000 MHz至956.125MHz、956.625MHz至959.625MHz；21CE：470.025MHz至542.000MHz (UHF-TV21至29通道)；33CE：566.025MHz至630.000MHz (UHF-TV33至40通道)；42CE：638.025MHz至694.000MHz (UHF-TV42至48通道)；38CN：710.025MHz至782.000MHz (UHF-TV38至46通道)；E：794.125MHz至805.875MHz</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发射器电源：DC3.0V (两节LR6/AA型碱性电池)；DC 5.0V (由USB Type-C连接器提供)</w:t>
            </w:r>
          </w:p>
          <w:p>
            <w:pPr>
              <w:pStyle w:val="2"/>
              <w:ind w:left="0" w:leftChars="0"/>
              <w:rPr>
                <w:rFonts w:hint="eastAsia" w:ascii="宋体" w:hAnsi="宋体" w:eastAsia="宋体" w:cs="宋体"/>
                <w:b/>
                <w:sz w:val="24"/>
                <w:szCs w:val="24"/>
              </w:rPr>
            </w:pPr>
            <w:r>
              <w:rPr>
                <w:rFonts w:hint="eastAsia" w:ascii="宋体" w:hAnsi="宋体" w:eastAsia="宋体" w:cs="宋体"/>
                <w:b/>
                <w:sz w:val="24"/>
                <w:szCs w:val="24"/>
              </w:rPr>
              <w:t>便携式接收器参数：</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 xml:space="preserve">天线：1/4入波长导线天线(角度可调式) </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音频输出电平：</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-60dBV(3.5mm直径3极锁定微型：插孔，模拟输出，0 dB音频输出电平)</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-20dBFS(外部连接，数字输出，0dB音频输出电平)</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-50dBFS(外部连接，模拟输出，0dB音频输出电平)</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音频输出电平变化范围：-12 dB到+12 dB(3dB步阶)</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音频输出接口：3.5mm直径3极锁定微型插孔，外部连接</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 xml:space="preserve">耳机输出电平：最大值10mW(16-0hm) </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耳机输出接口：3.5mm直径微型插孔</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 xml:space="preserve">接收方法：真分集方法 </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本机振荡器：晶控PLL合成器</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信噪比：60dB(1kHz正弦波、5 kHz调制)</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音频延时：</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约0.35ms(模拟输出)</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约0.24ms(数字输出)</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 xml:space="preserve">去加重：50 μs </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 xml:space="preserve">基准频偏：±5 kHz </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 xml:space="preserve">频响：23 Hz到18 kHz(典型值) </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失真：0.9%或更低(1 kHz正弦波、5kHz 调制)</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单音信号频率：UWP-D压扩器模式:32.382 kHz</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UWP 压扩器模式:32 kHz</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WL800压扩器模式:</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32.768 kHz</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指示灯：POWER、RF</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 xml:space="preserve">工作温度：0℃到50℃ </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存储温度：-20℃到+55℃</w:t>
            </w:r>
          </w:p>
        </w:tc>
        <w:tc>
          <w:tcPr>
            <w:tcW w:w="885" w:type="dxa"/>
            <w:noWrap w:val="0"/>
            <w:vAlign w:val="center"/>
          </w:tcPr>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825" w:type="dxa"/>
            <w:vMerge w:val="continue"/>
            <w:noWrap w:val="0"/>
            <w:vAlign w:val="top"/>
          </w:tcPr>
          <w:p>
            <w:pPr>
              <w:snapToGrid w:val="0"/>
              <w:spacing w:line="360" w:lineRule="exact"/>
              <w:rPr>
                <w:rFonts w:hint="eastAsia" w:ascii="宋体" w:hAnsi="宋体" w:eastAsia="宋体" w:cs="宋体"/>
                <w:sz w:val="24"/>
                <w:szCs w:val="24"/>
              </w:rPr>
            </w:pPr>
          </w:p>
        </w:tc>
        <w:tc>
          <w:tcPr>
            <w:tcW w:w="795" w:type="dxa"/>
            <w:noWrap w:val="0"/>
            <w:vAlign w:val="center"/>
          </w:tcPr>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534" w:type="dxa"/>
            <w:noWrap w:val="0"/>
            <w:vAlign w:val="center"/>
          </w:tcPr>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704" w:type="dxa"/>
            <w:noWrap w:val="0"/>
            <w:vAlign w:val="center"/>
          </w:tcPr>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领夹式无线麦克风话筒(一拖二套装)</w:t>
            </w:r>
          </w:p>
        </w:tc>
        <w:tc>
          <w:tcPr>
            <w:tcW w:w="5160" w:type="dxa"/>
            <w:noWrap w:val="0"/>
            <w:vAlign w:val="center"/>
          </w:tcPr>
          <w:p>
            <w:pPr>
              <w:snapToGrid w:val="0"/>
              <w:spacing w:line="360" w:lineRule="exact"/>
              <w:rPr>
                <w:rFonts w:hint="eastAsia" w:ascii="宋体" w:hAnsi="宋体" w:eastAsia="宋体" w:cs="宋体"/>
                <w:sz w:val="24"/>
                <w:szCs w:val="24"/>
              </w:rPr>
            </w:pPr>
            <w:r>
              <w:rPr>
                <w:rFonts w:hint="eastAsia" w:ascii="宋体" w:hAnsi="宋体" w:eastAsia="宋体" w:cs="宋体"/>
                <w:b/>
                <w:sz w:val="24"/>
                <w:szCs w:val="24"/>
              </w:rPr>
              <w:t>★频段：K29</w:t>
            </w:r>
          </w:p>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连接主体：相机/摄像机</w:t>
            </w:r>
          </w:p>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传输方式：无线</w:t>
            </w:r>
          </w:p>
          <w:p>
            <w:pPr>
              <w:snapToGrid w:val="0"/>
              <w:spacing w:line="360" w:lineRule="exact"/>
              <w:rPr>
                <w:rFonts w:hint="eastAsia" w:ascii="宋体" w:hAnsi="宋体" w:eastAsia="宋体" w:cs="宋体"/>
                <w:sz w:val="24"/>
                <w:szCs w:val="24"/>
              </w:rPr>
            </w:pPr>
            <w:r>
              <w:rPr>
                <w:rFonts w:hint="eastAsia" w:ascii="宋体" w:hAnsi="宋体" w:eastAsia="宋体" w:cs="宋体"/>
                <w:b/>
                <w:sz w:val="24"/>
                <w:szCs w:val="24"/>
              </w:rPr>
              <w:t>★使用方式：双领夹式（一拖二套装）</w:t>
            </w:r>
          </w:p>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类型：专业录音麦克风</w:t>
            </w:r>
          </w:p>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适用场景：单反录音，摄像机专用</w:t>
            </w:r>
          </w:p>
          <w:p>
            <w:pPr>
              <w:pStyle w:val="2"/>
              <w:ind w:left="0" w:leftChars="0"/>
              <w:rPr>
                <w:rFonts w:hint="eastAsia" w:ascii="宋体" w:hAnsi="宋体" w:eastAsia="宋体" w:cs="宋体"/>
                <w:b/>
                <w:sz w:val="24"/>
                <w:szCs w:val="24"/>
              </w:rPr>
            </w:pPr>
            <w:r>
              <w:rPr>
                <w:rFonts w:hint="eastAsia" w:ascii="宋体" w:hAnsi="宋体" w:eastAsia="宋体" w:cs="宋体"/>
                <w:b/>
                <w:sz w:val="24"/>
                <w:szCs w:val="24"/>
              </w:rPr>
              <w:t>双通道便携式接收器参数：</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振荡器类型：晶体控制 PLL 合成器</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接收类型：空间多样性*</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天线类型：1/4 λ波长线天线（角度可调）</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载波频率：14UC：470.125MHz至541.875MHz（UHF-TV频道14至25）</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25UC：536.125MHz至607.875 MHz（UHF-TV频道25-36）</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42LA：638.125MHz至697.875 MHz（UHF-TV 频道 42-51）</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90U：941.625MHz至951.875 MHz、953.000MHz至956.125 MHz和956.625MHz至959.625 MHz</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21CE：470.025MHz至542.000 MHz（UHF-TV频道21-29）</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33CE：566.025MHz至630.000 MHz（UHF-TV 频道）</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42CE：638.025MHz至694.000 MHz（UHF-TV 频道 42-48）</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29CN：638.025MHz至694.000 MHz（UHF-TV 频道 29-35）</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E：794.125MHz至805.875 MHz</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BJ：806.125 MHz至809.750 MHz</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KR：925.12至937.375MHz</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频率响应：23Hz至18kHz（典型）（UC、U、CE7、LA、CN、E、KR型号）</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40Hz至15kHz（典型）（J型号）</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失真(THD)：0.9%或更低（1 kHz正弦波，5kHz调制）</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信噪比：60dB（1kHz正弦波，5 kHz调制）</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96 dB（较大偏差，A加权）</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音频延迟：大约。0.35毫秒（模拟输出）0.24毫秒（数字输出）</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模拟输入：3.5毫米直径3极锁定迷你插孔（非平衡）</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模拟输入电平：-50dBV（±12dB可调，3-dB步进）</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音频输出电平：–60dBV（3.5毫米直径3极锁定迷你插孔，模拟输出）</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–20 dBFS（外部连接，数字输出）</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–50 dBV（外部连接，模拟输出）</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音频输出调整范围：-12dB至+12dB（3dB 步进）</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音频输出连接器：3.5mm直径3极锁定迷你插孔（平衡），</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耳机输出连接器：3.5mm 直径迷你插孔</w:t>
            </w:r>
          </w:p>
          <w:p>
            <w:pPr>
              <w:pStyle w:val="2"/>
              <w:ind w:left="0" w:leftChars="0"/>
              <w:rPr>
                <w:rFonts w:hint="eastAsia" w:ascii="宋体" w:hAnsi="宋体" w:eastAsia="宋体" w:cs="宋体"/>
                <w:b/>
                <w:sz w:val="24"/>
                <w:szCs w:val="24"/>
              </w:rPr>
            </w:pPr>
            <w:r>
              <w:rPr>
                <w:rFonts w:hint="eastAsia" w:ascii="宋体" w:hAnsi="宋体" w:eastAsia="宋体" w:cs="宋体"/>
                <w:b/>
                <w:sz w:val="24"/>
                <w:szCs w:val="24"/>
              </w:rPr>
              <w:t>发射器参数</w:t>
            </w:r>
            <w:r>
              <w:rPr>
                <w:rFonts w:hint="eastAsia" w:ascii="宋体" w:hAnsi="宋体" w:eastAsia="宋体" w:cs="宋体"/>
                <w:sz w:val="24"/>
                <w:szCs w:val="24"/>
              </w:rPr>
              <w:t>参考无线领夹麦克风小蜜蜂(一拖一套装)发射器参数</w:t>
            </w:r>
          </w:p>
        </w:tc>
        <w:tc>
          <w:tcPr>
            <w:tcW w:w="885" w:type="dxa"/>
            <w:noWrap w:val="0"/>
            <w:vAlign w:val="center"/>
          </w:tcPr>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825" w:type="dxa"/>
            <w:vMerge w:val="continue"/>
            <w:noWrap w:val="0"/>
            <w:vAlign w:val="top"/>
          </w:tcPr>
          <w:p>
            <w:pPr>
              <w:snapToGrid w:val="0"/>
              <w:spacing w:line="360" w:lineRule="exact"/>
              <w:rPr>
                <w:rFonts w:hint="eastAsia" w:ascii="宋体" w:hAnsi="宋体" w:eastAsia="宋体" w:cs="宋体"/>
                <w:sz w:val="24"/>
                <w:szCs w:val="24"/>
              </w:rPr>
            </w:pPr>
          </w:p>
        </w:tc>
        <w:tc>
          <w:tcPr>
            <w:tcW w:w="795" w:type="dxa"/>
            <w:noWrap w:val="0"/>
            <w:vAlign w:val="center"/>
          </w:tcPr>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34" w:type="dxa"/>
            <w:noWrap w:val="0"/>
            <w:vAlign w:val="center"/>
          </w:tcPr>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704" w:type="dxa"/>
            <w:noWrap w:val="0"/>
            <w:vAlign w:val="center"/>
          </w:tcPr>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领夹式无线麦克风话筒(一拖二套装)</w:t>
            </w:r>
          </w:p>
        </w:tc>
        <w:tc>
          <w:tcPr>
            <w:tcW w:w="5160" w:type="dxa"/>
            <w:noWrap w:val="0"/>
            <w:vAlign w:val="center"/>
          </w:tcPr>
          <w:p>
            <w:pPr>
              <w:snapToGrid w:val="0"/>
              <w:spacing w:line="360" w:lineRule="exact"/>
              <w:rPr>
                <w:rFonts w:hint="eastAsia" w:ascii="宋体" w:hAnsi="宋体" w:eastAsia="宋体" w:cs="宋体"/>
                <w:sz w:val="24"/>
                <w:szCs w:val="24"/>
              </w:rPr>
            </w:pPr>
            <w:r>
              <w:rPr>
                <w:rFonts w:hint="eastAsia" w:ascii="宋体" w:hAnsi="宋体" w:eastAsia="宋体" w:cs="宋体"/>
                <w:b/>
                <w:sz w:val="24"/>
                <w:szCs w:val="24"/>
              </w:rPr>
              <w:t>★频段：K29</w:t>
            </w:r>
          </w:p>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连接主体：相机/摄像机</w:t>
            </w:r>
          </w:p>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传输方式：无线</w:t>
            </w:r>
          </w:p>
          <w:p>
            <w:pPr>
              <w:snapToGrid w:val="0"/>
              <w:spacing w:line="360" w:lineRule="exact"/>
              <w:rPr>
                <w:rFonts w:hint="eastAsia" w:ascii="宋体" w:hAnsi="宋体" w:eastAsia="宋体" w:cs="宋体"/>
                <w:sz w:val="24"/>
                <w:szCs w:val="24"/>
              </w:rPr>
            </w:pPr>
            <w:r>
              <w:rPr>
                <w:rFonts w:hint="eastAsia" w:ascii="宋体" w:hAnsi="宋体" w:eastAsia="宋体" w:cs="宋体"/>
                <w:b/>
                <w:sz w:val="24"/>
                <w:szCs w:val="24"/>
              </w:rPr>
              <w:t>★使用方式：领夹式+手持麦（一拖二套装）</w:t>
            </w:r>
          </w:p>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类型：专业录音麦克风</w:t>
            </w:r>
          </w:p>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适用场景：单反录音，摄像机专用</w:t>
            </w:r>
          </w:p>
          <w:p>
            <w:pPr>
              <w:pStyle w:val="2"/>
              <w:ind w:left="0" w:leftChars="0"/>
              <w:rPr>
                <w:rFonts w:hint="eastAsia" w:ascii="宋体" w:hAnsi="宋体" w:eastAsia="宋体" w:cs="宋体"/>
                <w:b/>
                <w:sz w:val="24"/>
                <w:szCs w:val="24"/>
              </w:rPr>
            </w:pPr>
            <w:r>
              <w:rPr>
                <w:rFonts w:hint="eastAsia" w:ascii="宋体" w:hAnsi="宋体" w:eastAsia="宋体" w:cs="宋体"/>
                <w:b/>
                <w:sz w:val="24"/>
                <w:szCs w:val="24"/>
              </w:rPr>
              <w:t>双通道便携式接收器参数：</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振荡器类型：晶体控制 PLL 合成器</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接收类型：空间多样性*</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天线类型：1/4 λ波长线天线（角度可调）</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载波频率：14UC：470.125MHz至541.875MHz（UHF-TV频道14至25）</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25UC：536.125MHz至607.875 MHz（UHF-TV频道25-36）</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42LA：638.125MHz至697.875 MHz（UHF-TV 频道 42-51）</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90U：941.625MHz至951.875 MHz、953.000MHz至956.125 MHz和956.625MHz至959.625 MHz</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21CE：470.025MHz至542.000 MHz（UHF-TV频道21-29）</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33CE：566.025MHz至630.000 MHz（UHF-TV 频道）</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42CE：638.025MHz至694.000 MHz（UHF-TV 频道 42-48）</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29CN：638.025MHz至694.000 MHz（UHF-TV 频道 29-35）</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E：794.125MHz至805.875 MHz</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BJ：806.125 MHz至809.750 MHz</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KR：925.12至937.375MHz</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频率响应：23Hz至18kHz（典型）（UC、U、CE7、LA、CN、E、KR型号）</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40Hz至15kHz（典型）（J型号）</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失真(THD)：0.9%或更低（1 kHz正弦波，5kHz调制）</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信噪比：60dB（1kHz正弦波，5 kHz调制）</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96 dB（较大偏差，A加权）</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音频延迟：大约。0.35毫秒（模拟输出）0.24毫秒（数字输出）</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模拟输入：3.5毫米直径3极锁定迷你插孔（非平衡）</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模拟输入电平：-50dBV（±12dB可调，3-dB步进）</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音频输出电平：–60dBV（3.5毫米直径3极锁定迷你插孔，模拟输出）</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–20 dBFS（外部连接，数字输出）</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–50 dBV（外部连接，模拟输出）</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音频输出调整范围：-12dB至+12dB（3dB 步进）</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音频输出连接器：3.5mm直径3极锁定迷你插孔（平衡），</w:t>
            </w:r>
          </w:p>
          <w:p>
            <w:pPr>
              <w:pStyle w:val="2"/>
              <w:ind w:left="0" w:leftChars="0"/>
              <w:rPr>
                <w:rFonts w:hint="eastAsia" w:ascii="宋体" w:hAnsi="宋体" w:eastAsia="宋体" w:cs="宋体"/>
                <w:sz w:val="24"/>
                <w:szCs w:val="24"/>
              </w:rPr>
            </w:pPr>
            <w:r>
              <w:rPr>
                <w:rFonts w:hint="eastAsia" w:ascii="宋体" w:hAnsi="宋体" w:eastAsia="宋体" w:cs="宋体"/>
                <w:sz w:val="24"/>
                <w:szCs w:val="24"/>
              </w:rPr>
              <w:t>耳机输出连接器：3.5mm 直径迷你插孔</w:t>
            </w:r>
          </w:p>
          <w:p>
            <w:pPr>
              <w:pStyle w:val="2"/>
              <w:ind w:left="0" w:leftChars="0"/>
              <w:rPr>
                <w:rFonts w:hint="eastAsia" w:ascii="宋体" w:hAnsi="宋体" w:eastAsia="宋体" w:cs="宋体"/>
                <w:sz w:val="24"/>
                <w:szCs w:val="24"/>
              </w:rPr>
            </w:pPr>
            <w:r>
              <w:rPr>
                <w:rFonts w:hint="eastAsia" w:ascii="宋体" w:hAnsi="宋体" w:eastAsia="宋体" w:cs="宋体"/>
                <w:b/>
                <w:sz w:val="24"/>
                <w:szCs w:val="24"/>
              </w:rPr>
              <w:t>发射器参数</w:t>
            </w:r>
            <w:r>
              <w:rPr>
                <w:rFonts w:hint="eastAsia" w:ascii="宋体" w:hAnsi="宋体" w:eastAsia="宋体" w:cs="宋体"/>
                <w:sz w:val="24"/>
                <w:szCs w:val="24"/>
              </w:rPr>
              <w:t>参考无线领夹麦克风小蜜蜂(一拖一套装)发射器参数</w:t>
            </w:r>
            <w:r>
              <w:rPr>
                <w:rFonts w:hint="eastAsia" w:ascii="宋体" w:hAnsi="宋体" w:eastAsia="宋体" w:cs="宋体"/>
                <w:b/>
                <w:sz w:val="24"/>
                <w:szCs w:val="24"/>
              </w:rPr>
              <w:t>、手持式麦克风参数</w:t>
            </w:r>
            <w:r>
              <w:rPr>
                <w:rFonts w:hint="eastAsia" w:ascii="宋体" w:hAnsi="宋体" w:eastAsia="宋体" w:cs="宋体"/>
                <w:sz w:val="24"/>
                <w:szCs w:val="24"/>
              </w:rPr>
              <w:t>参考无线手持话筒套装(一拖一套装)手持式麦克风参数</w:t>
            </w:r>
          </w:p>
        </w:tc>
        <w:tc>
          <w:tcPr>
            <w:tcW w:w="885" w:type="dxa"/>
            <w:noWrap w:val="0"/>
            <w:vAlign w:val="center"/>
          </w:tcPr>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825" w:type="dxa"/>
            <w:vMerge w:val="continue"/>
            <w:noWrap w:val="0"/>
            <w:vAlign w:val="top"/>
          </w:tcPr>
          <w:p>
            <w:pPr>
              <w:snapToGrid w:val="0"/>
              <w:spacing w:line="360" w:lineRule="exact"/>
              <w:rPr>
                <w:rFonts w:hint="eastAsia" w:ascii="宋体" w:hAnsi="宋体" w:eastAsia="宋体" w:cs="宋体"/>
                <w:sz w:val="24"/>
                <w:szCs w:val="24"/>
              </w:rPr>
            </w:pPr>
          </w:p>
        </w:tc>
        <w:tc>
          <w:tcPr>
            <w:tcW w:w="795" w:type="dxa"/>
            <w:noWrap w:val="0"/>
            <w:vAlign w:val="center"/>
          </w:tcPr>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6510</w:t>
            </w:r>
          </w:p>
        </w:tc>
      </w:tr>
    </w:tbl>
    <w:p>
      <w:pPr>
        <w:pStyle w:val="2"/>
        <w:ind w:left="0" w:leftChars="0" w:firstLine="0" w:firstLineChars="0"/>
        <w:rPr>
          <w:rFonts w:hint="eastAsia"/>
          <w:lang w:val="en-US" w:eastAsia="zh-CN"/>
        </w:rPr>
      </w:pPr>
    </w:p>
    <w:p>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r>
      <w:rPr>
        <w:rFonts w:hint="eastAsia" w:ascii="宋体" w:hAnsi="宋体" w:cs="宋体"/>
      </w:rPr>
      <w:t>陕西卓佲项目管理有限公司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r>
      <w:rPr>
        <w:rFonts w:hint="eastAsia" w:ascii="宋体" w:hAnsi="宋体" w:cs="宋体"/>
      </w:rPr>
      <w:t>陕西卓佲项目管理有限公司</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1346A"/>
    <w:multiLevelType w:val="singleLevel"/>
    <w:tmpl w:val="9321346A"/>
    <w:lvl w:ilvl="0" w:tentative="0">
      <w:start w:val="1"/>
      <w:numFmt w:val="decimal"/>
      <w:suff w:val="space"/>
      <w:lvlText w:val="%1."/>
      <w:lvlJc w:val="left"/>
    </w:lvl>
  </w:abstractNum>
  <w:abstractNum w:abstractNumId="1">
    <w:nsid w:val="D913FA1A"/>
    <w:multiLevelType w:val="singleLevel"/>
    <w:tmpl w:val="D913FA1A"/>
    <w:lvl w:ilvl="0" w:tentative="0">
      <w:start w:val="10"/>
      <w:numFmt w:val="decimal"/>
      <w:lvlText w:val="%1."/>
      <w:lvlJc w:val="left"/>
      <w:pPr>
        <w:tabs>
          <w:tab w:val="left" w:pos="312"/>
        </w:tabs>
      </w:pPr>
    </w:lvl>
  </w:abstractNum>
  <w:abstractNum w:abstractNumId="2">
    <w:nsid w:val="122FA33D"/>
    <w:multiLevelType w:val="singleLevel"/>
    <w:tmpl w:val="122FA33D"/>
    <w:lvl w:ilvl="0" w:tentative="0">
      <w:start w:val="1"/>
      <w:numFmt w:val="decimal"/>
      <w:lvlText w:val="%1."/>
      <w:lvlJc w:val="left"/>
      <w:pPr>
        <w:tabs>
          <w:tab w:val="left" w:pos="312"/>
        </w:tabs>
      </w:pPr>
    </w:lvl>
  </w:abstractNum>
  <w:abstractNum w:abstractNumId="3">
    <w:nsid w:val="35198A6A"/>
    <w:multiLevelType w:val="singleLevel"/>
    <w:tmpl w:val="35198A6A"/>
    <w:lvl w:ilvl="0" w:tentative="0">
      <w:start w:val="1"/>
      <w:numFmt w:val="decimal"/>
      <w:suff w:val="nothing"/>
      <w:lvlText w:val="%1、"/>
      <w:lvlJc w:val="left"/>
    </w:lvl>
  </w:abstractNum>
  <w:abstractNum w:abstractNumId="4">
    <w:nsid w:val="4922D6B4"/>
    <w:multiLevelType w:val="singleLevel"/>
    <w:tmpl w:val="4922D6B4"/>
    <w:lvl w:ilvl="0" w:tentative="0">
      <w:start w:val="6"/>
      <w:numFmt w:val="decimal"/>
      <w:suff w:val="nothing"/>
      <w:lvlText w:val="%1、"/>
      <w:lvlJc w:val="left"/>
    </w:lvl>
  </w:abstractNum>
  <w:abstractNum w:abstractNumId="5">
    <w:nsid w:val="531717EE"/>
    <w:multiLevelType w:val="singleLevel"/>
    <w:tmpl w:val="531717EE"/>
    <w:lvl w:ilvl="0" w:tentative="0">
      <w:start w:val="1"/>
      <w:numFmt w:val="decimal"/>
      <w:suff w:val="nothing"/>
      <w:lvlText w:val="%1、"/>
      <w:lvlJc w:val="left"/>
    </w:lvl>
  </w:abstractNum>
  <w:abstractNum w:abstractNumId="6">
    <w:nsid w:val="5FD4ED25"/>
    <w:multiLevelType w:val="singleLevel"/>
    <w:tmpl w:val="5FD4ED25"/>
    <w:lvl w:ilvl="0" w:tentative="0">
      <w:start w:val="1"/>
      <w:numFmt w:val="decimal"/>
      <w:suff w:val="nothing"/>
      <w:lvlText w:val="%1、"/>
      <w:lvlJc w:val="left"/>
    </w:lvl>
  </w:abstractNum>
  <w:num w:numId="1">
    <w:abstractNumId w:val="1"/>
  </w:num>
  <w:num w:numId="2">
    <w:abstractNumId w:val="0"/>
  </w:num>
  <w:num w:numId="3">
    <w:abstractNumId w:val="6"/>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YjRkMGE3NzQxYjczMTVhMGMzZWI2OGY4N2I2NjYifQ=="/>
  </w:docVars>
  <w:rsids>
    <w:rsidRoot w:val="293D1DE9"/>
    <w:rsid w:val="293D1DE9"/>
    <w:rsid w:val="6A024D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line="576" w:lineRule="auto"/>
      <w:jc w:val="center"/>
      <w:outlineLvl w:val="0"/>
    </w:pPr>
    <w:rPr>
      <w:rFonts w:ascii="Times New Roman" w:hAnsi="Times New Roman" w:eastAsia="宋体"/>
      <w:b/>
      <w:kern w:val="44"/>
      <w:sz w:val="32"/>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Body Text"/>
    <w:basedOn w:val="1"/>
    <w:next w:val="5"/>
    <w:qFormat/>
    <w:uiPriority w:val="99"/>
  </w:style>
  <w:style w:type="paragraph" w:styleId="5">
    <w:name w:val="toc 5"/>
    <w:basedOn w:val="1"/>
    <w:next w:val="1"/>
    <w:qFormat/>
    <w:uiPriority w:val="0"/>
    <w:pPr>
      <w:ind w:left="840"/>
    </w:pPr>
    <w:rPr>
      <w:kern w:val="1"/>
      <w:sz w:val="18"/>
      <w:szCs w:val="18"/>
    </w:rPr>
  </w:style>
  <w:style w:type="paragraph" w:styleId="6">
    <w:name w:val="Body Text Indent"/>
    <w:basedOn w:val="1"/>
    <w:qFormat/>
    <w:uiPriority w:val="0"/>
    <w:pPr>
      <w:spacing w:after="120"/>
      <w:ind w:left="420" w:leftChars="200"/>
    </w:pPr>
  </w:style>
  <w:style w:type="paragraph" w:styleId="7">
    <w:name w:val="Plain Text"/>
    <w:basedOn w:val="1"/>
    <w:qFormat/>
    <w:uiPriority w:val="0"/>
    <w:pPr>
      <w:spacing w:line="324" w:lineRule="auto"/>
    </w:pPr>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Body Text First Indent 2"/>
    <w:basedOn w:val="6"/>
    <w:next w:val="1"/>
    <w:qFormat/>
    <w:uiPriority w:val="0"/>
    <w:pPr>
      <w:ind w:firstLine="420" w:firstLineChars="200"/>
    </w:pPr>
  </w:style>
  <w:style w:type="paragraph" w:customStyle="1" w:styleId="12">
    <w:name w:val="A正文"/>
    <w:basedOn w:val="1"/>
    <w:qFormat/>
    <w:uiPriority w:val="0"/>
    <w:pPr>
      <w:widowControl w:val="0"/>
      <w:spacing w:line="240" w:lineRule="auto"/>
      <w:jc w:val="both"/>
    </w:pPr>
    <w:rPr>
      <w:rFonts w:ascii="Times New Roman" w:hAnsi="Times New Roman"/>
      <w:color w:val="00000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2022-12-18T07:15:00Z</dcterms:created>
  <dc:creator>趁早</dc:creator>
  <cp:lastModifiedBy>趁早</cp:lastModifiedBy>
  <dcterms:modified xsi:type="dcterms:W3CDTF">2022-12-18T07:39:11Z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41A8D18146A74AC6937BA2CF940082F1</vt:lpwstr>
  </property>
</Properties>
</file>