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24"/>
          <w:highlight w:val="none"/>
        </w:rPr>
      </w:pPr>
      <w:bookmarkStart w:id="0" w:name="_GoBack"/>
      <w:bookmarkEnd w:id="0"/>
      <w:r>
        <w:rPr>
          <w:rFonts w:hint="eastAsia" w:asciiTheme="minorEastAsia" w:hAnsiTheme="minorEastAsia" w:eastAsiaTheme="minorEastAsia"/>
          <w:b/>
          <w:bCs/>
          <w:sz w:val="24"/>
          <w:highlight w:val="none"/>
          <w:lang w:eastAsia="zh-CN"/>
        </w:rPr>
        <w:t>服务要求</w:t>
      </w:r>
    </w:p>
    <w:tbl>
      <w:tblPr>
        <w:tblStyle w:val="3"/>
        <w:tblW w:w="513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7" w:hRule="atLeast"/>
        </w:trPr>
        <w:tc>
          <w:tcPr>
            <w:tcW w:w="5000" w:type="pct"/>
            <w:tcBorders>
              <w:bottom w:val="single" w:color="auto" w:sz="4" w:space="0"/>
            </w:tcBorders>
          </w:tcPr>
          <w:p>
            <w:pPr>
              <w:spacing w:after="156" w:afterLines="50" w:line="360" w:lineRule="auto"/>
              <w:rPr>
                <w:rFonts w:cs="宋体" w:asciiTheme="minorEastAsia" w:hAnsiTheme="minorEastAsia" w:eastAsiaTheme="minorEastAsia"/>
                <w:kern w:val="0"/>
                <w:sz w:val="24"/>
                <w:highlight w:val="none"/>
              </w:rPr>
            </w:pPr>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项目建设内容</w:t>
            </w:r>
          </w:p>
          <w:p>
            <w:pPr>
              <w:spacing w:before="156" w:beforeLines="50" w:line="400" w:lineRule="exact"/>
              <w:ind w:firstLine="482" w:firstLineChars="200"/>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一、网络安全设备维保服务</w:t>
            </w:r>
          </w:p>
          <w:p>
            <w:pPr>
              <w:spacing w:before="156" w:beforeLines="50" w:line="400" w:lineRule="exact"/>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服务内容：</w:t>
            </w:r>
          </w:p>
          <w:tbl>
            <w:tblPr>
              <w:tblStyle w:val="4"/>
              <w:tblW w:w="82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025"/>
              <w:gridCol w:w="1113"/>
              <w:gridCol w:w="1800"/>
              <w:gridCol w:w="2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2025" w:type="dxa"/>
                </w:tcPr>
                <w:p>
                  <w:pPr>
                    <w:pStyle w:val="6"/>
                    <w:spacing w:line="360" w:lineRule="auto"/>
                    <w:ind w:firstLine="48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设备名称</w:t>
                  </w:r>
                </w:p>
              </w:tc>
              <w:tc>
                <w:tcPr>
                  <w:tcW w:w="1113" w:type="dxa"/>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品牌</w:t>
                  </w:r>
                </w:p>
              </w:tc>
              <w:tc>
                <w:tcPr>
                  <w:tcW w:w="1800" w:type="dxa"/>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规格型号</w:t>
                  </w:r>
                </w:p>
              </w:tc>
              <w:tc>
                <w:tcPr>
                  <w:tcW w:w="2469" w:type="dxa"/>
                </w:tcPr>
                <w:p>
                  <w:pPr>
                    <w:pStyle w:val="6"/>
                    <w:spacing w:line="360" w:lineRule="auto"/>
                    <w:ind w:firstLine="48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2025" w:type="dxa"/>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WEB应用防火墙</w:t>
                  </w:r>
                </w:p>
              </w:tc>
              <w:tc>
                <w:tcPr>
                  <w:tcW w:w="1113" w:type="dxa"/>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深信服</w:t>
                  </w:r>
                </w:p>
              </w:tc>
              <w:tc>
                <w:tcPr>
                  <w:tcW w:w="1800" w:type="dxa"/>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AF-2000-H644</w:t>
                  </w:r>
                </w:p>
              </w:tc>
              <w:tc>
                <w:tcPr>
                  <w:tcW w:w="2469" w:type="dxa"/>
                  <w:vAlign w:val="center"/>
                </w:tcPr>
                <w:p>
                  <w:pPr>
                    <w:pStyle w:val="6"/>
                    <w:spacing w:line="240" w:lineRule="auto"/>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需提供</w:t>
                  </w:r>
                  <w:r>
                    <w:rPr>
                      <w:rFonts w:hint="eastAsia" w:asciiTheme="minorEastAsia" w:hAnsiTheme="minorEastAsia" w:eastAsiaTheme="minorEastAsia"/>
                      <w:bCs/>
                      <w:sz w:val="24"/>
                      <w:highlight w:val="none"/>
                    </w:rPr>
                    <w:t>原厂维保服务★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025" w:type="dxa"/>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服务器</w:t>
                  </w:r>
                </w:p>
              </w:tc>
              <w:tc>
                <w:tcPr>
                  <w:tcW w:w="1113" w:type="dxa"/>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浪潮</w:t>
                  </w:r>
                </w:p>
              </w:tc>
              <w:tc>
                <w:tcPr>
                  <w:tcW w:w="1800" w:type="dxa"/>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NF5270M4</w:t>
                  </w:r>
                </w:p>
              </w:tc>
              <w:tc>
                <w:tcPr>
                  <w:tcW w:w="2469" w:type="dxa"/>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产品质保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025" w:type="dxa"/>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行为感知平台</w:t>
                  </w:r>
                </w:p>
              </w:tc>
              <w:tc>
                <w:tcPr>
                  <w:tcW w:w="1113" w:type="dxa"/>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深信服</w:t>
                  </w:r>
                </w:p>
              </w:tc>
              <w:tc>
                <w:tcPr>
                  <w:tcW w:w="1800" w:type="dxa"/>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行为感知系统</w:t>
                  </w:r>
                </w:p>
              </w:tc>
              <w:tc>
                <w:tcPr>
                  <w:tcW w:w="2469" w:type="dxa"/>
                  <w:vAlign w:val="center"/>
                </w:tcPr>
                <w:p>
                  <w:pPr>
                    <w:pStyle w:val="6"/>
                    <w:spacing w:line="240" w:lineRule="auto"/>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需提供</w:t>
                  </w:r>
                  <w:r>
                    <w:rPr>
                      <w:rFonts w:hint="eastAsia" w:asciiTheme="minorEastAsia" w:hAnsiTheme="minorEastAsia" w:eastAsiaTheme="minorEastAsia"/>
                      <w:bCs/>
                      <w:sz w:val="24"/>
                      <w:highlight w:val="none"/>
                    </w:rPr>
                    <w:t>原厂维保服务★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restart"/>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2025" w:type="dxa"/>
                  <w:vMerge w:val="restart"/>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云安全服务平台</w:t>
                  </w:r>
                </w:p>
              </w:tc>
              <w:tc>
                <w:tcPr>
                  <w:tcW w:w="1113" w:type="dxa"/>
                  <w:vMerge w:val="restart"/>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深信服</w:t>
                  </w:r>
                </w:p>
              </w:tc>
              <w:tc>
                <w:tcPr>
                  <w:tcW w:w="1800" w:type="dxa"/>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SDSEC-1000-B606</w:t>
                  </w:r>
                </w:p>
              </w:tc>
              <w:tc>
                <w:tcPr>
                  <w:tcW w:w="2469" w:type="dxa"/>
                  <w:vMerge w:val="restart"/>
                  <w:vAlign w:val="center"/>
                </w:tcPr>
                <w:p>
                  <w:pPr>
                    <w:pStyle w:val="6"/>
                    <w:spacing w:line="240" w:lineRule="auto"/>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需提供</w:t>
                  </w:r>
                  <w:r>
                    <w:rPr>
                      <w:rFonts w:hint="eastAsia" w:asciiTheme="minorEastAsia" w:hAnsiTheme="minorEastAsia" w:eastAsiaTheme="minorEastAsia"/>
                      <w:bCs/>
                      <w:sz w:val="24"/>
                      <w:highlight w:val="none"/>
                    </w:rPr>
                    <w:t>原厂维保服务★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pPr>
                    <w:pStyle w:val="6"/>
                    <w:spacing w:line="360" w:lineRule="auto"/>
                    <w:ind w:firstLine="0" w:firstLineChars="0"/>
                    <w:jc w:val="center"/>
                    <w:rPr>
                      <w:rFonts w:asciiTheme="minorEastAsia" w:hAnsiTheme="minorEastAsia" w:eastAsiaTheme="minorEastAsia"/>
                      <w:color w:val="auto"/>
                      <w:sz w:val="24"/>
                      <w:highlight w:val="none"/>
                    </w:rPr>
                  </w:pPr>
                </w:p>
              </w:tc>
              <w:tc>
                <w:tcPr>
                  <w:tcW w:w="2025" w:type="dxa"/>
                  <w:vMerge w:val="continue"/>
                </w:tcPr>
                <w:p>
                  <w:pPr>
                    <w:pStyle w:val="6"/>
                    <w:spacing w:line="360" w:lineRule="auto"/>
                    <w:ind w:firstLine="0" w:firstLineChars="0"/>
                    <w:jc w:val="center"/>
                    <w:rPr>
                      <w:rFonts w:asciiTheme="minorEastAsia" w:hAnsiTheme="minorEastAsia" w:eastAsiaTheme="minorEastAsia"/>
                      <w:color w:val="auto"/>
                      <w:sz w:val="24"/>
                      <w:highlight w:val="none"/>
                    </w:rPr>
                  </w:pPr>
                </w:p>
              </w:tc>
              <w:tc>
                <w:tcPr>
                  <w:tcW w:w="1113" w:type="dxa"/>
                  <w:vMerge w:val="continue"/>
                </w:tcPr>
                <w:p>
                  <w:pPr>
                    <w:pStyle w:val="6"/>
                    <w:spacing w:line="360" w:lineRule="auto"/>
                    <w:ind w:firstLine="0" w:firstLineChars="0"/>
                    <w:jc w:val="center"/>
                    <w:rPr>
                      <w:rFonts w:asciiTheme="minorEastAsia" w:hAnsiTheme="minorEastAsia" w:eastAsiaTheme="minorEastAsia"/>
                      <w:color w:val="auto"/>
                      <w:sz w:val="24"/>
                      <w:highlight w:val="none"/>
                    </w:rPr>
                  </w:pPr>
                </w:p>
              </w:tc>
              <w:tc>
                <w:tcPr>
                  <w:tcW w:w="1800" w:type="dxa"/>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深信服端点安全软件V3.0</w:t>
                  </w:r>
                </w:p>
              </w:tc>
              <w:tc>
                <w:tcPr>
                  <w:tcW w:w="2469" w:type="dxa"/>
                  <w:vMerge w:val="continue"/>
                  <w:vAlign w:val="center"/>
                </w:tcPr>
                <w:p>
                  <w:pPr>
                    <w:pStyle w:val="6"/>
                    <w:spacing w:line="360" w:lineRule="auto"/>
                    <w:ind w:firstLine="480"/>
                    <w:jc w:val="center"/>
                    <w:rPr>
                      <w:rFonts w:asciiTheme="minorEastAsia" w:hAnsiTheme="minorEastAsia" w:eastAsia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pPr>
                    <w:pStyle w:val="6"/>
                    <w:spacing w:line="360" w:lineRule="auto"/>
                    <w:ind w:firstLine="0" w:firstLineChars="0"/>
                    <w:jc w:val="center"/>
                    <w:rPr>
                      <w:rFonts w:asciiTheme="minorEastAsia" w:hAnsiTheme="minorEastAsia" w:eastAsiaTheme="minorEastAsia"/>
                      <w:color w:val="auto"/>
                      <w:sz w:val="24"/>
                      <w:highlight w:val="none"/>
                    </w:rPr>
                  </w:pPr>
                </w:p>
              </w:tc>
              <w:tc>
                <w:tcPr>
                  <w:tcW w:w="2025" w:type="dxa"/>
                  <w:vMerge w:val="continue"/>
                </w:tcPr>
                <w:p>
                  <w:pPr>
                    <w:pStyle w:val="6"/>
                    <w:spacing w:line="360" w:lineRule="auto"/>
                    <w:ind w:firstLine="0" w:firstLineChars="0"/>
                    <w:jc w:val="center"/>
                    <w:rPr>
                      <w:rFonts w:asciiTheme="minorEastAsia" w:hAnsiTheme="minorEastAsia" w:eastAsiaTheme="minorEastAsia"/>
                      <w:color w:val="auto"/>
                      <w:sz w:val="24"/>
                      <w:highlight w:val="none"/>
                    </w:rPr>
                  </w:pPr>
                </w:p>
              </w:tc>
              <w:tc>
                <w:tcPr>
                  <w:tcW w:w="1113" w:type="dxa"/>
                  <w:vMerge w:val="continue"/>
                </w:tcPr>
                <w:p>
                  <w:pPr>
                    <w:pStyle w:val="6"/>
                    <w:spacing w:line="360" w:lineRule="auto"/>
                    <w:ind w:firstLine="0" w:firstLineChars="0"/>
                    <w:jc w:val="center"/>
                    <w:rPr>
                      <w:rFonts w:asciiTheme="minorEastAsia" w:hAnsiTheme="minorEastAsia" w:eastAsiaTheme="minorEastAsia"/>
                      <w:color w:val="auto"/>
                      <w:sz w:val="24"/>
                      <w:highlight w:val="none"/>
                    </w:rPr>
                  </w:pPr>
                </w:p>
              </w:tc>
              <w:tc>
                <w:tcPr>
                  <w:tcW w:w="1800" w:type="dxa"/>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BVT-1000-V300</w:t>
                  </w:r>
                </w:p>
              </w:tc>
              <w:tc>
                <w:tcPr>
                  <w:tcW w:w="2469" w:type="dxa"/>
                  <w:vMerge w:val="continue"/>
                </w:tcPr>
                <w:p>
                  <w:pPr>
                    <w:pStyle w:val="6"/>
                    <w:spacing w:line="360" w:lineRule="auto"/>
                    <w:ind w:firstLine="480"/>
                    <w:jc w:val="center"/>
                    <w:rPr>
                      <w:rFonts w:asciiTheme="minorEastAsia" w:hAnsiTheme="minorEastAsia" w:eastAsia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pPr>
                    <w:pStyle w:val="6"/>
                    <w:spacing w:line="360" w:lineRule="auto"/>
                    <w:ind w:firstLine="0" w:firstLineChars="0"/>
                    <w:jc w:val="center"/>
                    <w:rPr>
                      <w:rFonts w:asciiTheme="minorEastAsia" w:hAnsiTheme="minorEastAsia" w:eastAsiaTheme="minorEastAsia"/>
                      <w:color w:val="auto"/>
                      <w:sz w:val="24"/>
                      <w:highlight w:val="none"/>
                    </w:rPr>
                  </w:pPr>
                </w:p>
              </w:tc>
              <w:tc>
                <w:tcPr>
                  <w:tcW w:w="2025" w:type="dxa"/>
                  <w:vMerge w:val="continue"/>
                </w:tcPr>
                <w:p>
                  <w:pPr>
                    <w:pStyle w:val="6"/>
                    <w:spacing w:line="360" w:lineRule="auto"/>
                    <w:ind w:firstLine="0" w:firstLineChars="0"/>
                    <w:jc w:val="center"/>
                    <w:rPr>
                      <w:rFonts w:asciiTheme="minorEastAsia" w:hAnsiTheme="minorEastAsia" w:eastAsiaTheme="minorEastAsia"/>
                      <w:color w:val="auto"/>
                      <w:sz w:val="24"/>
                      <w:highlight w:val="none"/>
                    </w:rPr>
                  </w:pPr>
                </w:p>
              </w:tc>
              <w:tc>
                <w:tcPr>
                  <w:tcW w:w="1113" w:type="dxa"/>
                  <w:vMerge w:val="continue"/>
                </w:tcPr>
                <w:p>
                  <w:pPr>
                    <w:pStyle w:val="6"/>
                    <w:spacing w:line="360" w:lineRule="auto"/>
                    <w:ind w:firstLine="0" w:firstLineChars="0"/>
                    <w:jc w:val="center"/>
                    <w:rPr>
                      <w:rFonts w:asciiTheme="minorEastAsia" w:hAnsiTheme="minorEastAsia" w:eastAsiaTheme="minorEastAsia"/>
                      <w:color w:val="auto"/>
                      <w:sz w:val="24"/>
                      <w:highlight w:val="none"/>
                    </w:rPr>
                  </w:pPr>
                </w:p>
              </w:tc>
              <w:tc>
                <w:tcPr>
                  <w:tcW w:w="1800" w:type="dxa"/>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LAS-1000-V300</w:t>
                  </w:r>
                </w:p>
              </w:tc>
              <w:tc>
                <w:tcPr>
                  <w:tcW w:w="2469" w:type="dxa"/>
                  <w:vMerge w:val="continue"/>
                </w:tcPr>
                <w:p>
                  <w:pPr>
                    <w:pStyle w:val="6"/>
                    <w:spacing w:line="360" w:lineRule="auto"/>
                    <w:ind w:firstLine="480"/>
                    <w:jc w:val="center"/>
                    <w:rPr>
                      <w:rFonts w:asciiTheme="minorEastAsia" w:hAnsiTheme="minorEastAsia" w:eastAsia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pPr>
                    <w:pStyle w:val="6"/>
                    <w:spacing w:line="360" w:lineRule="auto"/>
                    <w:ind w:firstLine="0" w:firstLineChars="0"/>
                    <w:jc w:val="center"/>
                    <w:rPr>
                      <w:rFonts w:asciiTheme="minorEastAsia" w:hAnsiTheme="minorEastAsia" w:eastAsiaTheme="minorEastAsia"/>
                      <w:color w:val="auto"/>
                      <w:sz w:val="24"/>
                      <w:highlight w:val="none"/>
                    </w:rPr>
                  </w:pPr>
                </w:p>
              </w:tc>
              <w:tc>
                <w:tcPr>
                  <w:tcW w:w="2025" w:type="dxa"/>
                  <w:vMerge w:val="continue"/>
                </w:tcPr>
                <w:p>
                  <w:pPr>
                    <w:pStyle w:val="6"/>
                    <w:spacing w:line="360" w:lineRule="auto"/>
                    <w:ind w:firstLine="0" w:firstLineChars="0"/>
                    <w:jc w:val="center"/>
                    <w:rPr>
                      <w:rFonts w:asciiTheme="minorEastAsia" w:hAnsiTheme="minorEastAsia" w:eastAsiaTheme="minorEastAsia"/>
                      <w:color w:val="auto"/>
                      <w:sz w:val="24"/>
                      <w:highlight w:val="none"/>
                    </w:rPr>
                  </w:pPr>
                </w:p>
              </w:tc>
              <w:tc>
                <w:tcPr>
                  <w:tcW w:w="1113" w:type="dxa"/>
                  <w:vMerge w:val="continue"/>
                </w:tcPr>
                <w:p>
                  <w:pPr>
                    <w:pStyle w:val="6"/>
                    <w:spacing w:line="360" w:lineRule="auto"/>
                    <w:ind w:firstLine="0" w:firstLineChars="0"/>
                    <w:jc w:val="center"/>
                    <w:rPr>
                      <w:rFonts w:asciiTheme="minorEastAsia" w:hAnsiTheme="minorEastAsia" w:eastAsiaTheme="minorEastAsia"/>
                      <w:color w:val="auto"/>
                      <w:sz w:val="24"/>
                      <w:highlight w:val="none"/>
                    </w:rPr>
                  </w:pPr>
                </w:p>
              </w:tc>
              <w:tc>
                <w:tcPr>
                  <w:tcW w:w="1800" w:type="dxa"/>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CSSP-DAS-400</w:t>
                  </w:r>
                </w:p>
              </w:tc>
              <w:tc>
                <w:tcPr>
                  <w:tcW w:w="2469" w:type="dxa"/>
                  <w:vMerge w:val="continue"/>
                </w:tcPr>
                <w:p>
                  <w:pPr>
                    <w:pStyle w:val="6"/>
                    <w:spacing w:line="360" w:lineRule="auto"/>
                    <w:ind w:firstLine="0" w:firstLineChars="0"/>
                    <w:jc w:val="center"/>
                    <w:rPr>
                      <w:rFonts w:asciiTheme="minorEastAsia" w:hAnsiTheme="minorEastAsia" w:eastAsia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restart"/>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2025" w:type="dxa"/>
                  <w:vMerge w:val="restart"/>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安全态势感知平台</w:t>
                  </w:r>
                </w:p>
              </w:tc>
              <w:tc>
                <w:tcPr>
                  <w:tcW w:w="1113" w:type="dxa"/>
                  <w:vMerge w:val="restart"/>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深信服</w:t>
                  </w:r>
                </w:p>
              </w:tc>
              <w:tc>
                <w:tcPr>
                  <w:tcW w:w="1800" w:type="dxa"/>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SIP-1000-C402</w:t>
                  </w:r>
                </w:p>
              </w:tc>
              <w:tc>
                <w:tcPr>
                  <w:tcW w:w="2469" w:type="dxa"/>
                  <w:vAlign w:val="center"/>
                </w:tcPr>
                <w:p>
                  <w:pPr>
                    <w:pStyle w:val="6"/>
                    <w:spacing w:line="240" w:lineRule="auto"/>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需提供</w:t>
                  </w:r>
                  <w:r>
                    <w:rPr>
                      <w:rFonts w:hint="eastAsia" w:asciiTheme="minorEastAsia" w:hAnsiTheme="minorEastAsia" w:eastAsiaTheme="minorEastAsia"/>
                      <w:bCs/>
                      <w:sz w:val="24"/>
                      <w:highlight w:val="none"/>
                    </w:rPr>
                    <w:t>原厂维保服务★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pPr>
                    <w:pStyle w:val="6"/>
                    <w:spacing w:line="360" w:lineRule="auto"/>
                    <w:ind w:firstLine="0" w:firstLineChars="0"/>
                    <w:jc w:val="center"/>
                    <w:rPr>
                      <w:rFonts w:asciiTheme="minorEastAsia" w:hAnsiTheme="minorEastAsia" w:eastAsiaTheme="minorEastAsia"/>
                      <w:color w:val="auto"/>
                      <w:sz w:val="24"/>
                      <w:highlight w:val="none"/>
                    </w:rPr>
                  </w:pPr>
                </w:p>
              </w:tc>
              <w:tc>
                <w:tcPr>
                  <w:tcW w:w="2025" w:type="dxa"/>
                  <w:vMerge w:val="continue"/>
                </w:tcPr>
                <w:p>
                  <w:pPr>
                    <w:pStyle w:val="6"/>
                    <w:spacing w:line="360" w:lineRule="auto"/>
                    <w:ind w:firstLine="0" w:firstLineChars="0"/>
                    <w:jc w:val="center"/>
                    <w:rPr>
                      <w:rFonts w:asciiTheme="minorEastAsia" w:hAnsiTheme="minorEastAsia" w:eastAsiaTheme="minorEastAsia"/>
                      <w:color w:val="auto"/>
                      <w:sz w:val="24"/>
                      <w:highlight w:val="none"/>
                    </w:rPr>
                  </w:pPr>
                </w:p>
              </w:tc>
              <w:tc>
                <w:tcPr>
                  <w:tcW w:w="1113" w:type="dxa"/>
                  <w:vMerge w:val="continue"/>
                </w:tcPr>
                <w:p>
                  <w:pPr>
                    <w:pStyle w:val="6"/>
                    <w:spacing w:line="360" w:lineRule="auto"/>
                    <w:ind w:firstLine="0" w:firstLineChars="0"/>
                    <w:jc w:val="center"/>
                    <w:rPr>
                      <w:rFonts w:asciiTheme="minorEastAsia" w:hAnsiTheme="minorEastAsia" w:eastAsiaTheme="minorEastAsia"/>
                      <w:color w:val="auto"/>
                      <w:sz w:val="24"/>
                      <w:highlight w:val="none"/>
                    </w:rPr>
                  </w:pPr>
                </w:p>
              </w:tc>
              <w:tc>
                <w:tcPr>
                  <w:tcW w:w="1800" w:type="dxa"/>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STA-100-E642</w:t>
                  </w:r>
                </w:p>
              </w:tc>
              <w:tc>
                <w:tcPr>
                  <w:tcW w:w="2469" w:type="dxa"/>
                  <w:vAlign w:val="center"/>
                </w:tcPr>
                <w:p>
                  <w:pPr>
                    <w:pStyle w:val="6"/>
                    <w:spacing w:line="240" w:lineRule="auto"/>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需提供</w:t>
                  </w:r>
                  <w:r>
                    <w:rPr>
                      <w:rFonts w:hint="eastAsia" w:asciiTheme="minorEastAsia" w:hAnsiTheme="minorEastAsia" w:eastAsiaTheme="minorEastAsia"/>
                      <w:bCs/>
                      <w:sz w:val="24"/>
                      <w:highlight w:val="none"/>
                    </w:rPr>
                    <w:t>原厂维保服务★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6" w:type="dxa"/>
                  <w:gridSpan w:val="2"/>
                  <w:vAlign w:val="center"/>
                </w:tcPr>
                <w:p>
                  <w:pPr>
                    <w:pStyle w:val="6"/>
                    <w:spacing w:line="360" w:lineRule="auto"/>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bCs/>
                      <w:sz w:val="24"/>
                      <w:highlight w:val="none"/>
                    </w:rPr>
                    <w:t>服务频次</w:t>
                  </w:r>
                </w:p>
              </w:tc>
              <w:tc>
                <w:tcPr>
                  <w:tcW w:w="5382" w:type="dxa"/>
                  <w:gridSpan w:val="3"/>
                </w:tcPr>
                <w:p>
                  <w:pPr>
                    <w:pStyle w:val="6"/>
                    <w:spacing w:line="240" w:lineRule="auto"/>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每月巡检服务，不少于1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次/年</w:t>
                  </w:r>
                </w:p>
              </w:tc>
            </w:tr>
          </w:tbl>
          <w:p>
            <w:pPr>
              <w:spacing w:after="156" w:afterLines="50"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设备维保服务内容：</w:t>
            </w:r>
          </w:p>
          <w:p>
            <w:pPr>
              <w:spacing w:after="156" w:afterLines="50"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1．对服务范围内软硬件设备的维保，包括定期的巡检、日常维护、故障部件的更换，设备参数的调整，必要的维护等确保上述软硬件设备安全稳定运行。</w:t>
            </w:r>
          </w:p>
          <w:p>
            <w:pPr>
              <w:spacing w:after="156" w:afterLines="50"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服务商应提供定期的全面巡检，及时发现并排除系统故障，调整系统运行参数，保证系统运行在良好状态。及时响应采购单位的调试、优化及故障排除等服务要求，确保服务范围内软硬件设备无故障、稳定运行。</w:t>
            </w:r>
          </w:p>
          <w:p>
            <w:pPr>
              <w:spacing w:after="156" w:afterLines="50"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3．服务商应制定周期性的维护计划，根据设备部件的预防性维护要求，对需执行的维护操作予以实施，对预计寿命终了的部件预先予以更换。</w:t>
            </w:r>
          </w:p>
          <w:p>
            <w:pPr>
              <w:spacing w:after="156" w:afterLines="50"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4．在服务过程中应采取科学、合理的运维手段，确保服务质量。服务范围内硬件设备故障如无法排除，</w:t>
            </w:r>
            <w:r>
              <w:rPr>
                <w:rFonts w:hint="eastAsia" w:asciiTheme="minorEastAsia" w:hAnsiTheme="minorEastAsia" w:eastAsiaTheme="minorEastAsia"/>
                <w:bCs/>
                <w:sz w:val="24"/>
                <w:highlight w:val="none"/>
                <w:lang w:eastAsia="zh-CN"/>
              </w:rPr>
              <w:t>及时更换原厂配件（硬件），不收取任何费用</w:t>
            </w:r>
            <w:r>
              <w:rPr>
                <w:rFonts w:hint="eastAsia" w:asciiTheme="minorEastAsia" w:hAnsiTheme="minorEastAsia" w:eastAsiaTheme="minorEastAsia"/>
                <w:bCs/>
                <w:sz w:val="24"/>
                <w:highlight w:val="none"/>
              </w:rPr>
              <w:t>。服务过程中，应编制详尽、规范的维护资料。</w:t>
            </w:r>
          </w:p>
          <w:p>
            <w:pPr>
              <w:spacing w:after="156" w:afterLines="50"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5．现场技能培训：供应商还将在系统维护过程及故障排查过程中进行现场技能培训，使</w:t>
            </w:r>
            <w:r>
              <w:rPr>
                <w:rFonts w:hint="eastAsia" w:asciiTheme="minorEastAsia" w:hAnsiTheme="minorEastAsia" w:eastAsiaTheme="minorEastAsia"/>
                <w:bCs/>
                <w:sz w:val="24"/>
                <w:highlight w:val="none"/>
                <w:lang w:eastAsia="zh-CN"/>
              </w:rPr>
              <w:t>采购人</w:t>
            </w:r>
            <w:r>
              <w:rPr>
                <w:rFonts w:hint="eastAsia" w:asciiTheme="minorEastAsia" w:hAnsiTheme="minorEastAsia" w:eastAsiaTheme="minorEastAsia"/>
                <w:bCs/>
                <w:sz w:val="24"/>
                <w:highlight w:val="none"/>
              </w:rPr>
              <w:t>系统管理人员在自身的运行环境中得到锻炼，对</w:t>
            </w:r>
            <w:r>
              <w:rPr>
                <w:rFonts w:hint="eastAsia" w:asciiTheme="minorEastAsia" w:hAnsiTheme="minorEastAsia" w:eastAsiaTheme="minorEastAsia"/>
                <w:bCs/>
                <w:sz w:val="24"/>
                <w:highlight w:val="none"/>
                <w:lang w:eastAsia="zh-CN"/>
              </w:rPr>
              <w:t>采购人</w:t>
            </w:r>
            <w:r>
              <w:rPr>
                <w:rFonts w:hint="eastAsia" w:asciiTheme="minorEastAsia" w:hAnsiTheme="minorEastAsia" w:eastAsiaTheme="minorEastAsia"/>
                <w:bCs/>
                <w:sz w:val="24"/>
                <w:highlight w:val="none"/>
              </w:rPr>
              <w:t>当前系统有更加深刻的认识，以提高日常管理能力及应对突发问题的技能。</w:t>
            </w:r>
          </w:p>
          <w:p>
            <w:pPr>
              <w:spacing w:before="156" w:beforeLines="50" w:line="400" w:lineRule="exact"/>
              <w:ind w:firstLine="482" w:firstLineChars="200"/>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二、安全运维服务</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zh-CN"/>
              </w:rPr>
              <w:t>具体服务内容如下：</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23"/>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shd w:val="clear" w:color="auto" w:fill="auto"/>
                  <w:vAlign w:val="center"/>
                </w:tcPr>
                <w:p>
                  <w:pPr>
                    <w:widowControl/>
                    <w:adjustRightInd w:val="0"/>
                    <w:snapToGrid w:val="0"/>
                    <w:jc w:val="center"/>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序号</w:t>
                  </w:r>
                </w:p>
              </w:tc>
              <w:tc>
                <w:tcPr>
                  <w:tcW w:w="717" w:type="pct"/>
                  <w:shd w:val="clear" w:color="auto" w:fill="auto"/>
                  <w:vAlign w:val="center"/>
                </w:tcPr>
                <w:p>
                  <w:pPr>
                    <w:widowControl/>
                    <w:adjustRightInd w:val="0"/>
                    <w:snapToGrid w:val="0"/>
                    <w:jc w:val="center"/>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项目</w:t>
                  </w:r>
                </w:p>
              </w:tc>
              <w:tc>
                <w:tcPr>
                  <w:tcW w:w="3721" w:type="pct"/>
                  <w:shd w:val="clear" w:color="auto" w:fill="auto"/>
                  <w:vAlign w:val="center"/>
                </w:tcPr>
                <w:p>
                  <w:pPr>
                    <w:widowControl/>
                    <w:adjustRightInd w:val="0"/>
                    <w:snapToGrid w:val="0"/>
                    <w:jc w:val="center"/>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widowControl/>
                    <w:jc w:val="center"/>
                    <w:rPr>
                      <w:rFonts w:cs="宋体" w:asciiTheme="minorEastAsia" w:hAnsiTheme="minorEastAsia" w:eastAsiaTheme="minorEastAsia"/>
                      <w:bCs/>
                      <w:color w:val="000000"/>
                      <w:kern w:val="0"/>
                      <w:sz w:val="24"/>
                      <w:highlight w:val="none"/>
                    </w:rPr>
                  </w:pPr>
                  <w:r>
                    <w:rPr>
                      <w:rFonts w:hint="eastAsia" w:cs="宋体" w:asciiTheme="minorEastAsia" w:hAnsiTheme="minorEastAsia" w:eastAsiaTheme="minorEastAsia"/>
                      <w:bCs/>
                      <w:color w:val="000000"/>
                      <w:kern w:val="0"/>
                      <w:sz w:val="24"/>
                      <w:highlight w:val="none"/>
                    </w:rPr>
                    <w:t>1</w:t>
                  </w:r>
                </w:p>
              </w:tc>
              <w:tc>
                <w:tcPr>
                  <w:tcW w:w="717" w:type="pct"/>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风险评估服务</w:t>
                  </w:r>
                </w:p>
                <w:p>
                  <w:pPr>
                    <w:widowControl/>
                    <w:jc w:val="left"/>
                    <w:rPr>
                      <w:rFonts w:cs="宋体" w:asciiTheme="minorEastAsia" w:hAnsiTheme="minorEastAsia" w:eastAsiaTheme="minorEastAsia"/>
                      <w:color w:val="000000"/>
                      <w:kern w:val="0"/>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00</w:t>
                  </w:r>
                  <w:r>
                    <w:rPr>
                      <w:rFonts w:hint="eastAsia" w:asciiTheme="minorEastAsia" w:hAnsiTheme="minorEastAsia" w:eastAsiaTheme="minorEastAsia"/>
                      <w:sz w:val="24"/>
                      <w:highlight w:val="none"/>
                    </w:rPr>
                    <w:t>个资产</w:t>
                  </w:r>
                  <w:r>
                    <w:rPr>
                      <w:rFonts w:asciiTheme="minorEastAsia" w:hAnsiTheme="minorEastAsia" w:eastAsiaTheme="minorEastAsia"/>
                      <w:sz w:val="24"/>
                      <w:highlight w:val="none"/>
                    </w:rPr>
                    <w:t>)</w:t>
                  </w:r>
                </w:p>
              </w:tc>
              <w:tc>
                <w:tcPr>
                  <w:tcW w:w="3721" w:type="pct"/>
                  <w:vAlign w:val="center"/>
                </w:tcPr>
                <w:p>
                  <w:pPr>
                    <w:widowControl/>
                    <w:jc w:val="left"/>
                    <w:rPr>
                      <w:rFonts w:cs="宋体" w:asciiTheme="minorEastAsia" w:hAnsiTheme="minorEastAsia" w:eastAsiaTheme="minorEastAsia"/>
                      <w:color w:val="000000"/>
                      <w:kern w:val="0"/>
                      <w:sz w:val="24"/>
                      <w:highlight w:val="none"/>
                    </w:rPr>
                  </w:pPr>
                  <w:r>
                    <w:rPr>
                      <w:rFonts w:hint="eastAsia" w:cs="宋体" w:asciiTheme="minorEastAsia" w:hAnsiTheme="minorEastAsia" w:eastAsiaTheme="minorEastAsia"/>
                      <w:color w:val="000000"/>
                      <w:kern w:val="0"/>
                      <w:sz w:val="24"/>
                      <w:highlight w:val="none"/>
                    </w:rPr>
                    <w:t>针对</w:t>
                  </w:r>
                  <w:r>
                    <w:rPr>
                      <w:rFonts w:hint="eastAsia" w:cs="宋体" w:asciiTheme="minorEastAsia" w:hAnsiTheme="minorEastAsia" w:eastAsiaTheme="minorEastAsia"/>
                      <w:color w:val="000000"/>
                      <w:kern w:val="0"/>
                      <w:sz w:val="24"/>
                      <w:highlight w:val="none"/>
                      <w:lang w:eastAsia="zh-CN"/>
                    </w:rPr>
                    <w:t>采购人</w:t>
                  </w:r>
                  <w:r>
                    <w:rPr>
                      <w:rFonts w:hint="eastAsia" w:cs="宋体" w:asciiTheme="minorEastAsia" w:hAnsiTheme="minorEastAsia" w:eastAsiaTheme="minorEastAsia"/>
                      <w:color w:val="000000"/>
                      <w:kern w:val="0"/>
                      <w:sz w:val="24"/>
                      <w:highlight w:val="none"/>
                    </w:rPr>
                    <w:t>指定≥</w:t>
                  </w:r>
                  <w:r>
                    <w:rPr>
                      <w:rFonts w:cs="宋体" w:asciiTheme="minorEastAsia" w:hAnsiTheme="minorEastAsia" w:eastAsiaTheme="minorEastAsia"/>
                      <w:color w:val="000000"/>
                      <w:kern w:val="0"/>
                      <w:sz w:val="24"/>
                      <w:highlight w:val="none"/>
                    </w:rPr>
                    <w:t>200</w:t>
                  </w:r>
                  <w:r>
                    <w:rPr>
                      <w:rFonts w:hint="eastAsia" w:cs="宋体" w:asciiTheme="minorEastAsia" w:hAnsiTheme="minorEastAsia" w:eastAsiaTheme="minorEastAsia"/>
                      <w:color w:val="000000"/>
                      <w:kern w:val="0"/>
                      <w:sz w:val="24"/>
                      <w:highlight w:val="none"/>
                    </w:rPr>
                    <w:t>个资产进行评估，并在后续服务过程中根据识别的资产变化情况触发资产变更等相关服务流程，确保资产信息的准确性和全面性；针对指定的资产的全面梳理（梳理的信息包含支撑业务系统运转的操作系统、数据库、中间件、应用系统的版本，类型，IP地址；应用开放协议和端口；应用系统管理方式、资产的重要性以及网络拓扑），并将信息录入到安全运营平台中进行管理；当资产发生变更时，安全专家对变更信息进行确认与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widowControl/>
                    <w:jc w:val="center"/>
                    <w:rPr>
                      <w:rFonts w:cs="宋体" w:asciiTheme="minorEastAsia" w:hAnsiTheme="minorEastAsia" w:eastAsiaTheme="minorEastAsia"/>
                      <w:bCs/>
                      <w:color w:val="000000"/>
                      <w:kern w:val="0"/>
                      <w:sz w:val="24"/>
                      <w:highlight w:val="none"/>
                    </w:rPr>
                  </w:pPr>
                  <w:r>
                    <w:rPr>
                      <w:rFonts w:hint="eastAsia" w:cs="宋体" w:asciiTheme="minorEastAsia" w:hAnsiTheme="minorEastAsia" w:eastAsiaTheme="minorEastAsia"/>
                      <w:bCs/>
                      <w:color w:val="000000"/>
                      <w:kern w:val="0"/>
                      <w:sz w:val="24"/>
                      <w:highlight w:val="none"/>
                    </w:rPr>
                    <w:t>2</w:t>
                  </w:r>
                </w:p>
              </w:tc>
              <w:tc>
                <w:tcPr>
                  <w:tcW w:w="717" w:type="pct"/>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安全运营监控服务</w:t>
                  </w:r>
                </w:p>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00</w:t>
                  </w:r>
                  <w:r>
                    <w:rPr>
                      <w:rFonts w:hint="eastAsia" w:asciiTheme="minorEastAsia" w:hAnsiTheme="minorEastAsia" w:eastAsiaTheme="minorEastAsia"/>
                      <w:sz w:val="24"/>
                      <w:highlight w:val="none"/>
                    </w:rPr>
                    <w:t>个资产</w:t>
                  </w:r>
                </w:p>
              </w:tc>
              <w:tc>
                <w:tcPr>
                  <w:tcW w:w="3721" w:type="pct"/>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一、服务概述</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围绕资产、漏洞、威胁、事件四个要素，通过“人机共智”模式针对≥2</w:t>
                  </w:r>
                  <w:r>
                    <w:rPr>
                      <w:rFonts w:asciiTheme="minorEastAsia" w:hAnsiTheme="minorEastAsia" w:eastAsiaTheme="minorEastAsia"/>
                      <w:sz w:val="24"/>
                      <w:highlight w:val="none"/>
                    </w:rPr>
                    <w:t>00</w:t>
                  </w:r>
                  <w:r>
                    <w:rPr>
                      <w:rFonts w:hint="eastAsia" w:asciiTheme="minorEastAsia" w:hAnsiTheme="minorEastAsia" w:eastAsiaTheme="minorEastAsia"/>
                      <w:sz w:val="24"/>
                      <w:highlight w:val="none"/>
                    </w:rPr>
                    <w:t>个资产持续进行7*24H监测保障工作，结合云端安全运营中心及安全专家建议进行必要的现场处置；构建持续、主动、闭环的安全运营体系，以保障我校网络安全“持续有效”运营。</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二、服务内容</w:t>
                  </w:r>
                </w:p>
                <w:p>
                  <w:pPr>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.实时监测网络安全状态，对攻击事件(包括但不限于境外黑客攻击事件、高级黑客攻击事件、持续攻击事件)；</w:t>
                  </w:r>
                </w:p>
                <w:p>
                  <w:pPr>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实时监测网络安全状态，对病毒事件(病毒类型包含不局限于勒索型、流行病毒、挖矿型、蠕虫型、外发DOS型、C&amp;C访问型、文件感染型、木马型等。)及时进行分析与预警,自动化生成工单；</w:t>
                  </w:r>
                </w:p>
                <w:p>
                  <w:pPr>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.结合威胁情报进行流行威胁通告与排查，安排安全专家排查是否对我校资产造成威胁并通知用户，协助及时进行安全加固；</w:t>
                  </w:r>
                </w:p>
                <w:p>
                  <w:pPr>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.每月主动分析病毒类、攻击类、漏洞利用类、失陷类的安全事件提供主动分析与响应并提供针对性解决方案；</w:t>
                  </w:r>
                </w:p>
                <w:p>
                  <w:pPr>
                    <w:rPr>
                      <w:rFonts w:asciiTheme="minorEastAsia" w:hAnsiTheme="minorEastAsia" w:eastAsiaTheme="minorEastAsia"/>
                      <w:sz w:val="24"/>
                      <w:highlight w:val="none"/>
                    </w:rPr>
                  </w:pPr>
                  <w:r>
                    <w:rPr>
                      <w:rFonts w:asciiTheme="minorEastAsia" w:hAnsiTheme="minorEastAsia" w:eastAsiaTheme="minorEastAsia"/>
                      <w:sz w:val="24"/>
                      <w:highlight w:val="none"/>
                    </w:rPr>
                    <w:t>6</w:t>
                  </w:r>
                  <w:r>
                    <w:rPr>
                      <w:rFonts w:hint="eastAsia" w:asciiTheme="minorEastAsia" w:hAnsiTheme="minorEastAsia" w:eastAsiaTheme="minorEastAsia"/>
                      <w:sz w:val="24"/>
                      <w:highlight w:val="none"/>
                    </w:rPr>
                    <w:t>.安全专家每月对安全组件上的安全策略进行统一管理工作，确保安全组件上的安全策略始终处于最优水平，针对威胁能起到最好的防护效果；</w:t>
                  </w:r>
                </w:p>
                <w:p>
                  <w:pPr>
                    <w:rPr>
                      <w:rFonts w:asciiTheme="minorEastAsia" w:hAnsiTheme="minorEastAsia" w:eastAsiaTheme="minorEastAsia"/>
                      <w:sz w:val="24"/>
                      <w:highlight w:val="none"/>
                    </w:rPr>
                  </w:pPr>
                  <w:r>
                    <w:rPr>
                      <w:rFonts w:asciiTheme="minorEastAsia" w:hAnsiTheme="minorEastAsia" w:eastAsiaTheme="minorEastAsia"/>
                      <w:sz w:val="24"/>
                      <w:highlight w:val="none"/>
                    </w:rPr>
                    <w:t>7</w:t>
                  </w:r>
                  <w:r>
                    <w:rPr>
                      <w:rFonts w:hint="eastAsia" w:asciiTheme="minorEastAsia" w:hAnsiTheme="minorEastAsia" w:eastAsiaTheme="minorEastAsia"/>
                      <w:sz w:val="24"/>
                      <w:highlight w:val="none"/>
                    </w:rPr>
                    <w:t>.通过攻击日志分析，发现持续性攻击，立即采取行动实时对抗；</w:t>
                  </w:r>
                </w:p>
                <w:p>
                  <w:pPr>
                    <w:rPr>
                      <w:rFonts w:asciiTheme="minorEastAsia" w:hAnsiTheme="minorEastAsia" w:eastAsiaTheme="minorEastAsia"/>
                      <w:sz w:val="24"/>
                      <w:highlight w:val="none"/>
                    </w:rPr>
                  </w:pPr>
                  <w:r>
                    <w:rPr>
                      <w:rFonts w:asciiTheme="minorEastAsia" w:hAnsiTheme="minorEastAsia" w:eastAsiaTheme="minorEastAsia"/>
                      <w:sz w:val="24"/>
                      <w:highlight w:val="none"/>
                    </w:rPr>
                    <w:t>8</w:t>
                  </w:r>
                  <w:r>
                    <w:rPr>
                      <w:rFonts w:hint="eastAsia" w:asciiTheme="minorEastAsia" w:hAnsiTheme="minorEastAsia" w:eastAsiaTheme="minorEastAsia"/>
                      <w:sz w:val="24"/>
                      <w:highlight w:val="none"/>
                    </w:rPr>
                    <w:t>.实时针对异常流量、攻击日志和病毒日志分析进行事件分析与处置，经过海量数据脱敏、聚合来发现安全事件；</w:t>
                  </w:r>
                </w:p>
                <w:p>
                  <w:pPr>
                    <w:rPr>
                      <w:rFonts w:asciiTheme="minorEastAsia" w:hAnsiTheme="minorEastAsia" w:eastAsiaTheme="minorEastAsia"/>
                      <w:sz w:val="24"/>
                      <w:highlight w:val="none"/>
                    </w:rPr>
                  </w:pPr>
                  <w:r>
                    <w:rPr>
                      <w:rFonts w:asciiTheme="minorEastAsia" w:hAnsiTheme="minorEastAsia" w:eastAsiaTheme="minorEastAsia"/>
                      <w:sz w:val="24"/>
                      <w:highlight w:val="none"/>
                    </w:rPr>
                    <w:t>9</w:t>
                  </w:r>
                  <w:r>
                    <w:rPr>
                      <w:rFonts w:hint="eastAsia" w:asciiTheme="minorEastAsia" w:hAnsiTheme="minorEastAsia" w:eastAsiaTheme="minorEastAsia"/>
                      <w:sz w:val="24"/>
                      <w:highlight w:val="none"/>
                    </w:rPr>
                    <w:t>.针对分析得到的勒索病毒、挖矿病毒、篡改事件、webshell、僵尸网络等安全事件，通过工具和方法对恶意文件、代码进行根除，快速恢复业务，消除或减轻影响；</w:t>
                  </w:r>
                </w:p>
                <w:p>
                  <w:pPr>
                    <w:rPr>
                      <w:rFonts w:asciiTheme="minorEastAsia" w:hAnsiTheme="minorEastAsia" w:eastAsiaTheme="minorEastAsia"/>
                      <w:sz w:val="24"/>
                      <w:highlight w:val="none"/>
                    </w:rPr>
                  </w:pPr>
                  <w:r>
                    <w:rPr>
                      <w:rFonts w:asciiTheme="minorEastAsia" w:hAnsiTheme="minorEastAsia" w:eastAsiaTheme="minorEastAsia"/>
                      <w:sz w:val="24"/>
                      <w:highlight w:val="none"/>
                    </w:rPr>
                    <w:t>10</w:t>
                  </w:r>
                  <w:r>
                    <w:rPr>
                      <w:rFonts w:hint="eastAsia" w:asciiTheme="minorEastAsia" w:hAnsiTheme="minorEastAsia" w:eastAsiaTheme="minorEastAsia"/>
                      <w:sz w:val="24"/>
                      <w:highlight w:val="none"/>
                    </w:rPr>
                    <w:t>.通过事件检测分析，提供抑制手段，降低入侵影响，协助快速恢复业务，同时还原攻击路径，分析入侵事件原因，对业务进行安全加固、提供整改建议、防止再次入侵；</w:t>
                  </w:r>
                </w:p>
                <w:p>
                  <w:pPr>
                    <w:rPr>
                      <w:rFonts w:asciiTheme="minorEastAsia" w:hAnsiTheme="minorEastAsia" w:eastAsiaTheme="minorEastAsia"/>
                      <w:sz w:val="24"/>
                      <w:highlight w:val="none"/>
                    </w:rPr>
                  </w:pPr>
                  <w:r>
                    <w:rPr>
                      <w:rFonts w:asciiTheme="minorEastAsia" w:hAnsiTheme="minorEastAsia" w:eastAsiaTheme="minorEastAsia"/>
                      <w:sz w:val="24"/>
                      <w:highlight w:val="none"/>
                    </w:rPr>
                    <w:t>11</w:t>
                  </w:r>
                  <w:r>
                    <w:rPr>
                      <w:rFonts w:hint="eastAsia" w:asciiTheme="minorEastAsia" w:hAnsiTheme="minorEastAsia" w:eastAsiaTheme="minorEastAsia"/>
                      <w:sz w:val="24"/>
                      <w:highlight w:val="none"/>
                    </w:rPr>
                    <w:t>.完成态势感知日报、周报、月报分析汇总；管理和维护项目涉及到的网络安全设备,包括WAF\安全态势感知\上网行为管理\出口防火墙等(包括但不限于设备安全策略升级\安全设备底层系统升级\安全设备日常及定期巡检\安全设备补丁升级等安全设备系统加固运维工作</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widowControl/>
                    <w:jc w:val="center"/>
                    <w:rPr>
                      <w:rFonts w:cs="宋体" w:asciiTheme="minorEastAsia" w:hAnsiTheme="minorEastAsia" w:eastAsiaTheme="minorEastAsia"/>
                      <w:bCs/>
                      <w:color w:val="000000"/>
                      <w:kern w:val="0"/>
                      <w:sz w:val="24"/>
                      <w:highlight w:val="none"/>
                    </w:rPr>
                  </w:pPr>
                  <w:r>
                    <w:rPr>
                      <w:rFonts w:cs="宋体" w:asciiTheme="minorEastAsia" w:hAnsiTheme="minorEastAsia" w:eastAsiaTheme="minorEastAsia"/>
                      <w:bCs/>
                      <w:color w:val="000000"/>
                      <w:kern w:val="0"/>
                      <w:sz w:val="24"/>
                      <w:highlight w:val="none"/>
                    </w:rPr>
                    <w:t>3</w:t>
                  </w:r>
                </w:p>
              </w:tc>
              <w:tc>
                <w:tcPr>
                  <w:tcW w:w="717" w:type="pct"/>
                  <w:vAlign w:val="center"/>
                </w:tcPr>
                <w:p>
                  <w:pPr>
                    <w:widowControl/>
                    <w:jc w:val="left"/>
                    <w:rPr>
                      <w:rFonts w:cs="宋体" w:asciiTheme="minorEastAsia" w:hAnsiTheme="minorEastAsia" w:eastAsiaTheme="minorEastAsia"/>
                      <w:color w:val="000000"/>
                      <w:kern w:val="0"/>
                      <w:sz w:val="24"/>
                      <w:highlight w:val="none"/>
                    </w:rPr>
                  </w:pPr>
                  <w:r>
                    <w:rPr>
                      <w:rFonts w:hint="eastAsia" w:cs="宋体" w:asciiTheme="minorEastAsia" w:hAnsiTheme="minorEastAsia" w:eastAsiaTheme="minorEastAsia"/>
                      <w:color w:val="000000"/>
                      <w:kern w:val="0"/>
                      <w:sz w:val="24"/>
                      <w:highlight w:val="none"/>
                    </w:rPr>
                    <w:t>脆弱性(漏洞</w:t>
                  </w:r>
                  <w:r>
                    <w:rPr>
                      <w:rFonts w:cs="宋体" w:asciiTheme="minorEastAsia" w:hAnsiTheme="minorEastAsia" w:eastAsiaTheme="minorEastAsia"/>
                      <w:color w:val="000000"/>
                      <w:kern w:val="0"/>
                      <w:sz w:val="24"/>
                      <w:highlight w:val="none"/>
                    </w:rPr>
                    <w:t>）</w:t>
                  </w:r>
                  <w:r>
                    <w:rPr>
                      <w:rFonts w:hint="eastAsia" w:cs="宋体" w:asciiTheme="minorEastAsia" w:hAnsiTheme="minorEastAsia" w:eastAsiaTheme="minorEastAsia"/>
                      <w:color w:val="000000"/>
                      <w:kern w:val="0"/>
                      <w:sz w:val="24"/>
                      <w:highlight w:val="none"/>
                    </w:rPr>
                    <w:t>管理</w:t>
                  </w:r>
                </w:p>
              </w:tc>
              <w:tc>
                <w:tcPr>
                  <w:tcW w:w="3721" w:type="pct"/>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一、服务概述</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进行专业的漏洞管理，识别系统安全漏洞，借助漏洞管理平台，可以有效地追踪资产漏洞生命周期，清楚地掌握资产的脆弱性状况，实现漏洞全生命周期的可视、可控和可管。识别漏洞后提出切实可行的漏洞修复指导，输出可行的漏洞处置方案，我校审核通过后，协助我校对漏洞进行验证处置工作，对已修复后的漏洞进行复测，帮助</w:t>
                  </w:r>
                  <w:r>
                    <w:rPr>
                      <w:rFonts w:hint="eastAsia" w:asciiTheme="minorEastAsia" w:hAnsiTheme="minorEastAsia" w:eastAsiaTheme="minorEastAsia"/>
                      <w:sz w:val="24"/>
                      <w:highlight w:val="none"/>
                      <w:lang w:eastAsia="zh-CN"/>
                    </w:rPr>
                    <w:t>采购人</w:t>
                  </w:r>
                  <w:r>
                    <w:rPr>
                      <w:rFonts w:hint="eastAsia" w:asciiTheme="minorEastAsia" w:hAnsiTheme="minorEastAsia" w:eastAsiaTheme="minorEastAsia"/>
                      <w:sz w:val="24"/>
                      <w:highlight w:val="none"/>
                    </w:rPr>
                    <w:t>将漏洞的影响降到可接受范围内；</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具体服务内容：</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提供客观的修复优先级指导，不能以脆弱性危害等级作为唯一的修复优先级排序依据。排序依据包含但不限于资产重要性、漏洞等级以及威胁情报（漏洞被利用的可能性）三个维度（提供具备相关能力举证材料）</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 xml:space="preserve"> 提供脆弱性验证服务，针对发现的脆弱性问题进行验证，验证脆弱性在已有的安全体系发生的风险及分析发生后可造成的危害。针对已经验证的脆弱性，自动生成工单，安全专家跟进修复状态，各个处理进度透明，方便</w:t>
                  </w:r>
                  <w:r>
                    <w:rPr>
                      <w:rFonts w:hint="eastAsia" w:asciiTheme="minorEastAsia" w:hAnsiTheme="minorEastAsia" w:eastAsiaTheme="minorEastAsia"/>
                      <w:sz w:val="24"/>
                      <w:highlight w:val="none"/>
                      <w:lang w:eastAsia="zh-CN"/>
                    </w:rPr>
                    <w:t>采购人</w:t>
                  </w:r>
                  <w:r>
                    <w:rPr>
                      <w:rFonts w:hint="eastAsia" w:asciiTheme="minorEastAsia" w:hAnsiTheme="minorEastAsia" w:eastAsiaTheme="minorEastAsia"/>
                      <w:sz w:val="24"/>
                      <w:highlight w:val="none"/>
                    </w:rPr>
                    <w:t>清晰了解当前脆弱性的处置状态，将脆弱性处理工作可视化（提供具备相关能力举证材料）</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 xml:space="preserve"> 针对存在的漏洞提供修复建议，能够提供精准、易懂、可落地的漏洞修复方案（提供具备相关能力举证材料）</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针对服务平台生成的工单，招标方可按需催单，用户可在服务平台上采用邮件等方式提醒安全专家加快协助处置，督促投标方第一时间处理（提供具备相关能力举证材料）</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 xml:space="preserve"> 对发现的漏洞建立状态总览机制，自动化持续跟踪脆弱性情况，清晰直观地展示脆弱性的修复情况，遗留情况以及脆弱性对比情况，使得招标方可做到脆弱性的可视、可管、可控（提供具备相关能力举证材料）</w:t>
                  </w:r>
                </w:p>
                <w:p>
                  <w:pP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widowControl/>
                    <w:jc w:val="center"/>
                    <w:rPr>
                      <w:rFonts w:cs="宋体" w:asciiTheme="minorEastAsia" w:hAnsiTheme="minorEastAsia" w:eastAsiaTheme="minorEastAsia"/>
                      <w:bCs/>
                      <w:color w:val="000000"/>
                      <w:kern w:val="0"/>
                      <w:sz w:val="24"/>
                      <w:highlight w:val="none"/>
                    </w:rPr>
                  </w:pPr>
                  <w:r>
                    <w:rPr>
                      <w:rFonts w:cs="宋体" w:asciiTheme="minorEastAsia" w:hAnsiTheme="minorEastAsia" w:eastAsiaTheme="minorEastAsia"/>
                      <w:bCs/>
                      <w:color w:val="000000"/>
                      <w:kern w:val="0"/>
                      <w:sz w:val="24"/>
                      <w:highlight w:val="none"/>
                    </w:rPr>
                    <w:t>4</w:t>
                  </w:r>
                </w:p>
              </w:tc>
              <w:tc>
                <w:tcPr>
                  <w:tcW w:w="717" w:type="pct"/>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安全日志分析与响应服务</w:t>
                  </w:r>
                </w:p>
              </w:tc>
              <w:tc>
                <w:tcPr>
                  <w:tcW w:w="3721" w:type="pct"/>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一、服务概述</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对安全日志、流量进行分析研判并对发现的威胁进行定位、响应，及时采取措施降低威胁可能造成的影响，并做闭环处置安全事件。</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二、具体服务内容：</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对感知平台进行平台运行状况检查、安全探针状态检查、序列号检查、规则库检查、安全分析引擎检查；（提供具备相关能力举证材料）</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对日志进行内网脆弱性分析、尝试入侵行为分析、潜在威胁分析和通告；</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深度威胁分析和研判</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包括对漏洞利用攻击事件、Webshell上传事件、Web系统目录遍历攻击、SQL注入攻击、系统命令注入攻击、信息泄露攻击深度、口令暴力破解、Web明文传输、弱密码、勒索病毒事件、挖矿病毒事件、蠕虫病毒事件、僵尸网络攻击事件、SMB扫描事件、RDP暴破&amp;SMB暴破事件等事件进行深度分析研判；（提供具备相关能力举证材料）</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对内网脆弱性、入侵行为、潜伏威胁等安全问题进行威胁主动响应，如授权情况下调整相关设备策略，固化实际可行的病毒解决方案等。（提供具备相关能力举证材料）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widowControl/>
                    <w:jc w:val="center"/>
                    <w:rPr>
                      <w:rFonts w:cs="宋体" w:asciiTheme="minorEastAsia" w:hAnsiTheme="minorEastAsia" w:eastAsiaTheme="minorEastAsia"/>
                      <w:bCs/>
                      <w:color w:val="000000"/>
                      <w:kern w:val="0"/>
                      <w:sz w:val="24"/>
                      <w:highlight w:val="none"/>
                    </w:rPr>
                  </w:pPr>
                  <w:r>
                    <w:rPr>
                      <w:rFonts w:cs="宋体" w:asciiTheme="minorEastAsia" w:hAnsiTheme="minorEastAsia" w:eastAsiaTheme="minorEastAsia"/>
                      <w:bCs/>
                      <w:color w:val="000000"/>
                      <w:kern w:val="0"/>
                      <w:sz w:val="24"/>
                      <w:highlight w:val="none"/>
                    </w:rPr>
                    <w:t>5</w:t>
                  </w:r>
                </w:p>
              </w:tc>
              <w:tc>
                <w:tcPr>
                  <w:tcW w:w="717" w:type="pct"/>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应急响应服务</w:t>
                  </w:r>
                </w:p>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按需</w:t>
                  </w:r>
                </w:p>
              </w:tc>
              <w:tc>
                <w:tcPr>
                  <w:tcW w:w="3721" w:type="pct"/>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一、服务概述</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按照国家网络安全法、教育部、教育厅、学校发布的应急响应预案及处理流程，当发生黑客入侵、数据泄露、木马病毒等突发安全事件时，及时提供包括事件检测与分析、风险抑制、问题处置、快速恢复业务，及时止损，最大化降低安全事件带来的影响。包含但不限于WEB安全事件、恶意程序事件、意制造、传播恶意程序，或是因受到恶意程序的影响而导致的信息安全事件。</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二、具体服务内容：</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基于主动响应和被动响应流程，对业务的页面篡改、通报、断网、webshell、黑链等各类严重安全事件进行紧急响应和处置的解决方案。执行安全设备防护策略添加修改，完善安全防护策略。（提供具备相关能力举证材料）</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依托于安全防护组件和检测响应组件，实现入侵检测、0Day检测、后门检测、篡改检测、勒索病毒、挖矿病毒等安全检测，支持紧急电话、邮件、Web管理端、微信公众号等多种响应渠道和方式，结合云端安全专家团队和线下安全专家，对安全事件进行入侵影响抑制、入侵威胁清除、入侵原因分析、加固建议指导等服务实施。</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3.及时进行溯源分析排查，根据WEB安全事件、恶意程序事件、网络流量攻击、信息破坏事件等不同事件的定级和响应级别，提供专业的安全整改加固建议。</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4.入侵影响抑制：通过事件检测分析，提供抑制手段，降低入侵影响，协助快速恢复业务。</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5.入侵威胁清除：排查攻击路径，恶意文件清除。</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6.入侵原因分析：还原攻击路径，分析入侵事件原因。</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7.加固建议指导：结合现有安全防御体系，指导用户进行安全加固、提供整改建议、防止再次入侵。</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三、供应商服务要求:</w:t>
                  </w:r>
                </w:p>
                <w:p>
                  <w:pPr>
                    <w:rPr>
                      <w:rFonts w:eastAsia="Malgun Gothic" w:asciiTheme="minorEastAsia" w:hAnsiTheme="minorEastAsia"/>
                      <w:sz w:val="24"/>
                      <w:highlight w:val="none"/>
                    </w:rPr>
                  </w:pPr>
                  <w:r>
                    <w:rPr>
                      <w:rFonts w:hint="eastAsia" w:asciiTheme="minorEastAsia" w:hAnsiTheme="minorEastAsia" w:eastAsiaTheme="minorEastAsia"/>
                      <w:sz w:val="24"/>
                      <w:highlight w:val="none"/>
                    </w:rPr>
                    <w:t>提供7*24应急响应服务。安全事件要求应急团队须在5分钟内，对信息安全事件做出响应，并严格按照</w:t>
                  </w:r>
                  <w:r>
                    <w:rPr>
                      <w:rFonts w:hint="eastAsia" w:asciiTheme="minorEastAsia" w:hAnsiTheme="minorEastAsia" w:eastAsiaTheme="minorEastAsia"/>
                      <w:sz w:val="24"/>
                      <w:highlight w:val="none"/>
                      <w:lang w:eastAsia="zh-CN"/>
                    </w:rPr>
                    <w:t>采购人</w:t>
                  </w:r>
                  <w:r>
                    <w:rPr>
                      <w:rFonts w:hint="eastAsia" w:asciiTheme="minorEastAsia" w:hAnsiTheme="minorEastAsia" w:eastAsiaTheme="minorEastAsia"/>
                      <w:sz w:val="24"/>
                      <w:highlight w:val="none"/>
                    </w:rPr>
                    <w:t>信息安全等级要求迅速到达现场并解决问题，追根朔源，查找攻击源。其中一类、二类业务系统须1小时内到达现场。三类业务系统须2个小时内到达现场。一般性故障2小时内到现场，4小时内处理解决，紧急故障2小时内处理解决。每次故障处理完毕3个工作日内提供详细的《应急响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widowControl/>
                    <w:jc w:val="center"/>
                    <w:rPr>
                      <w:rFonts w:cs="宋体" w:asciiTheme="minorEastAsia" w:hAnsiTheme="minorEastAsia" w:eastAsiaTheme="minorEastAsia"/>
                      <w:bCs/>
                      <w:color w:val="000000"/>
                      <w:kern w:val="0"/>
                      <w:sz w:val="24"/>
                      <w:highlight w:val="none"/>
                    </w:rPr>
                  </w:pPr>
                  <w:r>
                    <w:rPr>
                      <w:rFonts w:cs="宋体" w:asciiTheme="minorEastAsia" w:hAnsiTheme="minorEastAsia" w:eastAsiaTheme="minorEastAsia"/>
                      <w:bCs/>
                      <w:color w:val="000000"/>
                      <w:kern w:val="0"/>
                      <w:sz w:val="24"/>
                      <w:highlight w:val="none"/>
                    </w:rPr>
                    <w:t>6</w:t>
                  </w:r>
                </w:p>
              </w:tc>
              <w:tc>
                <w:tcPr>
                  <w:tcW w:w="717" w:type="pct"/>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应急演练服务</w:t>
                  </w:r>
                </w:p>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（一年不少于2次）</w:t>
                  </w:r>
                </w:p>
              </w:tc>
              <w:tc>
                <w:tcPr>
                  <w:tcW w:w="3721" w:type="pct"/>
                  <w:vAlign w:val="center"/>
                </w:tcPr>
                <w:p>
                  <w:pPr>
                    <w:widowControl/>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根据要求定制可实施的“网络安全应急演练方案”，根据</w:t>
                  </w:r>
                  <w:r>
                    <w:rPr>
                      <w:rFonts w:hint="eastAsia" w:asciiTheme="minorEastAsia" w:hAnsiTheme="minorEastAsia" w:eastAsiaTheme="minorEastAsia"/>
                      <w:sz w:val="24"/>
                      <w:highlight w:val="none"/>
                      <w:lang w:eastAsia="zh-CN"/>
                    </w:rPr>
                    <w:t>采购人</w:t>
                  </w:r>
                  <w:r>
                    <w:rPr>
                      <w:rFonts w:hint="eastAsia" w:asciiTheme="minorEastAsia" w:hAnsiTheme="minorEastAsia" w:eastAsiaTheme="minorEastAsia"/>
                      <w:sz w:val="24"/>
                      <w:highlight w:val="none"/>
                    </w:rPr>
                    <w:t>现场实际环境设计并搭建应急演练演习环境，提前测试并验证演练环境涉及到设备的可用性及流畅性，协助</w:t>
                  </w:r>
                  <w:r>
                    <w:rPr>
                      <w:rFonts w:hint="eastAsia" w:asciiTheme="minorEastAsia" w:hAnsiTheme="minorEastAsia" w:eastAsiaTheme="minorEastAsia"/>
                      <w:sz w:val="24"/>
                      <w:highlight w:val="none"/>
                      <w:lang w:eastAsia="zh-CN"/>
                    </w:rPr>
                    <w:t>采购人</w:t>
                  </w:r>
                  <w:r>
                    <w:rPr>
                      <w:rFonts w:hint="eastAsia" w:asciiTheme="minorEastAsia" w:hAnsiTheme="minorEastAsia" w:eastAsiaTheme="minorEastAsia"/>
                      <w:sz w:val="24"/>
                      <w:highlight w:val="none"/>
                    </w:rPr>
                    <w:t>组织应急演练实施，</w:t>
                  </w:r>
                  <w:r>
                    <w:rPr>
                      <w:rFonts w:hint="eastAsia" w:cs="宋体" w:asciiTheme="minorEastAsia" w:hAnsiTheme="minorEastAsia" w:eastAsiaTheme="minorEastAsia"/>
                      <w:color w:val="000000"/>
                      <w:sz w:val="24"/>
                      <w:highlight w:val="none"/>
                    </w:rPr>
                    <w:t>结合</w:t>
                  </w:r>
                  <w:r>
                    <w:rPr>
                      <w:rFonts w:hint="eastAsia" w:asciiTheme="minorEastAsia" w:hAnsiTheme="minorEastAsia" w:eastAsiaTheme="minorEastAsia"/>
                      <w:sz w:val="24"/>
                      <w:highlight w:val="none"/>
                      <w:lang w:eastAsia="zh-CN"/>
                    </w:rPr>
                    <w:t>采购人</w:t>
                  </w:r>
                  <w:r>
                    <w:rPr>
                      <w:rFonts w:hint="eastAsia" w:cs="宋体" w:asciiTheme="minorEastAsia" w:hAnsiTheme="minorEastAsia" w:eastAsiaTheme="minorEastAsia"/>
                      <w:color w:val="000000"/>
                      <w:sz w:val="24"/>
                      <w:highlight w:val="none"/>
                    </w:rPr>
                    <w:t>网络安全要求制定对应的应急演练预案，</w:t>
                  </w:r>
                  <w:r>
                    <w:rPr>
                      <w:rFonts w:hint="eastAsia" w:asciiTheme="minorEastAsia" w:hAnsiTheme="minorEastAsia" w:eastAsiaTheme="minorEastAsia"/>
                      <w:sz w:val="24"/>
                      <w:highlight w:val="none"/>
                    </w:rPr>
                    <w:t>撰写应急演练总结报告，协助</w:t>
                  </w:r>
                  <w:r>
                    <w:rPr>
                      <w:rFonts w:hint="eastAsia" w:asciiTheme="minorEastAsia" w:hAnsiTheme="minorEastAsia" w:eastAsiaTheme="minorEastAsia"/>
                      <w:sz w:val="24"/>
                      <w:highlight w:val="none"/>
                      <w:lang w:eastAsia="zh-CN"/>
                    </w:rPr>
                    <w:t>采购人</w:t>
                  </w:r>
                  <w:r>
                    <w:rPr>
                      <w:rFonts w:hint="eastAsia" w:asciiTheme="minorEastAsia" w:hAnsiTheme="minorEastAsia" w:eastAsiaTheme="minorEastAsia"/>
                      <w:sz w:val="24"/>
                      <w:highlight w:val="none"/>
                    </w:rPr>
                    <w:t>完善专项网络安全应急处理流程。</w:t>
                  </w:r>
                </w:p>
                <w:p>
                  <w:pPr>
                    <w:widowControl/>
                    <w:jc w:val="left"/>
                    <w:rPr>
                      <w:rFonts w:cs="宋体" w:asciiTheme="minorEastAsia" w:hAnsiTheme="minorEastAsia" w:eastAsiaTheme="minorEastAsia"/>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widowControl/>
                    <w:jc w:val="center"/>
                    <w:rPr>
                      <w:rFonts w:cs="宋体" w:asciiTheme="minorEastAsia" w:hAnsiTheme="minorEastAsia" w:eastAsiaTheme="minorEastAsia"/>
                      <w:bCs/>
                      <w:color w:val="000000"/>
                      <w:kern w:val="0"/>
                      <w:sz w:val="24"/>
                      <w:highlight w:val="none"/>
                    </w:rPr>
                  </w:pPr>
                  <w:r>
                    <w:rPr>
                      <w:rFonts w:cs="宋体" w:asciiTheme="minorEastAsia" w:hAnsiTheme="minorEastAsia" w:eastAsiaTheme="minorEastAsia"/>
                      <w:bCs/>
                      <w:color w:val="000000"/>
                      <w:kern w:val="0"/>
                      <w:sz w:val="24"/>
                      <w:highlight w:val="none"/>
                    </w:rPr>
                    <w:t>7</w:t>
                  </w:r>
                </w:p>
              </w:tc>
              <w:tc>
                <w:tcPr>
                  <w:tcW w:w="717" w:type="pct"/>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重保现场值守服务</w:t>
                  </w:r>
                </w:p>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不少于10天</w:t>
                  </w:r>
                </w:p>
              </w:tc>
              <w:tc>
                <w:tcPr>
                  <w:tcW w:w="3721" w:type="pct"/>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一、服务概述：</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按照</w:t>
                  </w:r>
                  <w:r>
                    <w:rPr>
                      <w:rFonts w:hint="eastAsia" w:asciiTheme="minorEastAsia" w:hAnsiTheme="minorEastAsia" w:eastAsiaTheme="minorEastAsia"/>
                      <w:sz w:val="24"/>
                      <w:highlight w:val="none"/>
                      <w:lang w:eastAsia="zh-CN"/>
                    </w:rPr>
                    <w:t>采购人</w:t>
                  </w:r>
                  <w:r>
                    <w:rPr>
                      <w:rFonts w:hint="eastAsia" w:asciiTheme="minorEastAsia" w:hAnsiTheme="minorEastAsia" w:eastAsiaTheme="minorEastAsia"/>
                      <w:sz w:val="24"/>
                      <w:highlight w:val="none"/>
                    </w:rPr>
                    <w:t>要求在重要敏感时期实施现场值守，及时处理相关安全事件。</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二、具体服务内容：</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1.根据事件级别进行不同级别的响应方式，包括电话、现场等；协调其他外部资源进行处理；根据需要部署相关监测设备，在敏感时期进行安全风险监测；编制应急响应情况报告，说明事件原因、处置措施等；</w:t>
                  </w:r>
                </w:p>
                <w:p>
                  <w:pPr>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.当发生外部黑客入侵、数据泄露、木马病毒等突发安全事件时，提供包括事件检测与分析、风险抑制、问题处置、协助业务恢复的服务，能够协助用户快速止损，最大化降低安全事件带来的影响;</w:t>
                  </w:r>
                </w:p>
                <w:p>
                  <w:pPr>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.每次重保前1周内，需针对≥2</w:t>
                  </w:r>
                  <w:r>
                    <w:rPr>
                      <w:rFonts w:asciiTheme="minorEastAsia" w:hAnsiTheme="minorEastAsia" w:eastAsiaTheme="minorEastAsia"/>
                      <w:sz w:val="24"/>
                      <w:highlight w:val="none"/>
                    </w:rPr>
                    <w:t>00</w:t>
                  </w:r>
                  <w:r>
                    <w:rPr>
                      <w:rFonts w:hint="eastAsia" w:asciiTheme="minorEastAsia" w:hAnsiTheme="minorEastAsia" w:eastAsiaTheme="minorEastAsia"/>
                      <w:sz w:val="24"/>
                      <w:highlight w:val="none"/>
                    </w:rPr>
                    <w:t>个资产进行1次信息系统弱密码抽样筛查、数据中心主机操作系统基线核查，协助我校进行弱密码、操作系统策略不合规处理；</w:t>
                  </w:r>
                </w:p>
                <w:p>
                  <w:pPr>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.每次重保前1周内，需针对重要信息系统及网站(指定的50个Web资产)进行1次</w:t>
                  </w:r>
                  <w:r>
                    <w:rPr>
                      <w:rFonts w:hint="eastAsia" w:asciiTheme="minorEastAsia" w:hAnsiTheme="minorEastAsia" w:eastAsiaTheme="minorEastAsia"/>
                      <w:strike/>
                      <w:sz w:val="24"/>
                      <w:highlight w:val="none"/>
                    </w:rPr>
                    <w:t>进行</w:t>
                  </w:r>
                  <w:r>
                    <w:rPr>
                      <w:rFonts w:hint="eastAsia" w:asciiTheme="minorEastAsia" w:hAnsiTheme="minorEastAsia" w:eastAsiaTheme="minorEastAsia"/>
                      <w:sz w:val="24"/>
                      <w:highlight w:val="none"/>
                    </w:rPr>
                    <w:t>安全评估扫描，协助</w:t>
                  </w:r>
                  <w:r>
                    <w:rPr>
                      <w:rFonts w:hint="eastAsia" w:asciiTheme="minorEastAsia" w:hAnsiTheme="minorEastAsia" w:eastAsiaTheme="minorEastAsia"/>
                      <w:sz w:val="24"/>
                      <w:highlight w:val="none"/>
                      <w:lang w:eastAsia="zh-CN"/>
                    </w:rPr>
                    <w:t>采购人</w:t>
                  </w:r>
                  <w:r>
                    <w:rPr>
                      <w:rFonts w:hint="eastAsia" w:asciiTheme="minorEastAsia" w:hAnsiTheme="minorEastAsia" w:eastAsiaTheme="minorEastAsia"/>
                      <w:sz w:val="24"/>
                      <w:highlight w:val="none"/>
                    </w:rPr>
                    <w:t>发现和处理系统及Web漏洞；云端安全运营中心和安全专家团队有效协同7*24H持续性开展网络安全保障工作,服务通过云端系统7*24H持续监测+人工核验相结合的方式持续开展安全监测。</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三、供应商服务要求:</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提供7*24应急响应服务。</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安全事件要求应急团队须在5分钟内，对信息安全事件做出响应，并严格按照</w:t>
                  </w:r>
                  <w:r>
                    <w:rPr>
                      <w:rFonts w:hint="eastAsia" w:asciiTheme="minorEastAsia" w:hAnsiTheme="minorEastAsia" w:eastAsiaTheme="minorEastAsia"/>
                      <w:sz w:val="24"/>
                      <w:highlight w:val="none"/>
                      <w:lang w:eastAsia="zh-CN"/>
                    </w:rPr>
                    <w:t>采购人</w:t>
                  </w:r>
                  <w:r>
                    <w:rPr>
                      <w:rFonts w:hint="eastAsia" w:asciiTheme="minorEastAsia" w:hAnsiTheme="minorEastAsia" w:eastAsiaTheme="minorEastAsia"/>
                      <w:sz w:val="24"/>
                      <w:highlight w:val="none"/>
                    </w:rPr>
                    <w:t>信息安全等级要求迅速到达现场并解决问题，追根朔源，查找攻击源。其中一类、二类业务系统须1小时内到达现场。三类业务系统须2个小时内到达现场。一般性故障2小时内到现场，4小时内处理解决，紧急故障2小时内处理解决。每次故障处理完毕3个工作日内提供详细的《应急响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widowControl/>
                    <w:jc w:val="center"/>
                    <w:rPr>
                      <w:rFonts w:cs="宋体" w:asciiTheme="minorEastAsia" w:hAnsiTheme="minorEastAsia" w:eastAsiaTheme="minorEastAsia"/>
                      <w:bCs/>
                      <w:color w:val="000000"/>
                      <w:kern w:val="0"/>
                      <w:sz w:val="24"/>
                      <w:highlight w:val="none"/>
                    </w:rPr>
                  </w:pPr>
                  <w:r>
                    <w:rPr>
                      <w:rFonts w:cs="宋体" w:asciiTheme="minorEastAsia" w:hAnsiTheme="minorEastAsia" w:eastAsiaTheme="minorEastAsia"/>
                      <w:bCs/>
                      <w:color w:val="000000"/>
                      <w:kern w:val="0"/>
                      <w:sz w:val="24"/>
                      <w:highlight w:val="none"/>
                    </w:rPr>
                    <w:t>8</w:t>
                  </w:r>
                </w:p>
              </w:tc>
              <w:tc>
                <w:tcPr>
                  <w:tcW w:w="717" w:type="pct"/>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渗透测试服务</w:t>
                  </w:r>
                </w:p>
              </w:tc>
              <w:tc>
                <w:tcPr>
                  <w:tcW w:w="3721" w:type="pct"/>
                  <w:vAlign w:val="center"/>
                </w:tcPr>
                <w:p>
                  <w:pPr>
                    <w:widowControl/>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每年对学校信息系统（不少于</w:t>
                  </w: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个）进行模拟黑客攻击行为通过远程或本地方式对信息系统进行非破坏性的入侵测试，查找针对应用程序的各种漏洞，帮助学校理解应用系统当前的安全状况，发现在系统复杂结构中的最脆弱链路并针对安全隐患提出解决办法，切实保证信息系统安全；得到</w:t>
                  </w:r>
                  <w:r>
                    <w:rPr>
                      <w:rFonts w:hint="eastAsia" w:asciiTheme="minorEastAsia" w:hAnsiTheme="minorEastAsia" w:eastAsiaTheme="minorEastAsia"/>
                      <w:sz w:val="24"/>
                      <w:highlight w:val="none"/>
                      <w:lang w:eastAsia="zh-CN"/>
                    </w:rPr>
                    <w:t>采购人</w:t>
                  </w:r>
                  <w:r>
                    <w:rPr>
                      <w:rFonts w:hint="eastAsia" w:asciiTheme="minorEastAsia" w:hAnsiTheme="minorEastAsia" w:eastAsiaTheme="minorEastAsia"/>
                      <w:sz w:val="24"/>
                      <w:highlight w:val="none"/>
                    </w:rPr>
                    <w:t>授权后方可开始实施渗透工作。</w:t>
                  </w:r>
                </w:p>
                <w:p>
                  <w:pPr>
                    <w:widowControl/>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渗透测试结束后提供《渗透测试报告》报告应该阐明招标方业务系统中存在的安全隐患以及专业的漏洞风险处置建议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widowControl/>
                    <w:jc w:val="center"/>
                    <w:rPr>
                      <w:rFonts w:cs="宋体" w:asciiTheme="minorEastAsia" w:hAnsiTheme="minorEastAsia" w:eastAsiaTheme="minorEastAsia"/>
                      <w:bCs/>
                      <w:color w:val="000000"/>
                      <w:kern w:val="0"/>
                      <w:sz w:val="24"/>
                      <w:highlight w:val="none"/>
                    </w:rPr>
                  </w:pPr>
                  <w:r>
                    <w:rPr>
                      <w:rFonts w:cs="宋体" w:asciiTheme="minorEastAsia" w:hAnsiTheme="minorEastAsia" w:eastAsiaTheme="minorEastAsia"/>
                      <w:bCs/>
                      <w:color w:val="000000"/>
                      <w:kern w:val="0"/>
                      <w:sz w:val="24"/>
                      <w:highlight w:val="none"/>
                    </w:rPr>
                    <w:t>9</w:t>
                  </w:r>
                </w:p>
              </w:tc>
              <w:tc>
                <w:tcPr>
                  <w:tcW w:w="717" w:type="pct"/>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网络安全培训服务</w:t>
                  </w:r>
                </w:p>
              </w:tc>
              <w:tc>
                <w:tcPr>
                  <w:tcW w:w="3721" w:type="pct"/>
                  <w:vAlign w:val="center"/>
                </w:tcPr>
                <w:p>
                  <w:pPr>
                    <w:widowControl/>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通过全员安全意识的理论培训和案例分析以及关键行为上的最佳实践指导，让信息安全“人防”保障有效支撑业务高效稳定运行。培训内容包括普通员工的上网安全、邮件安全、通信安全等常见的安全意识内容。保证学校全体在职人员年度人均培训时间不少于4个学时且信息化管理和技术人员人均培训时间不少于8个学时。</w:t>
                  </w:r>
                </w:p>
                <w:p>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 xml:space="preserve"> 提供不少于5天的CISP课程培训（含教材），并提供CISP考试报名服务。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widowControl/>
                    <w:jc w:val="center"/>
                    <w:rPr>
                      <w:rFonts w:cs="宋体" w:asciiTheme="minorEastAsia" w:hAnsiTheme="minorEastAsia" w:eastAsiaTheme="minorEastAsia"/>
                      <w:bCs/>
                      <w:color w:val="000000"/>
                      <w:kern w:val="0"/>
                      <w:sz w:val="24"/>
                      <w:highlight w:val="none"/>
                    </w:rPr>
                  </w:pPr>
                  <w:r>
                    <w:rPr>
                      <w:rFonts w:cs="宋体" w:asciiTheme="minorEastAsia" w:hAnsiTheme="minorEastAsia" w:eastAsiaTheme="minorEastAsia"/>
                      <w:bCs/>
                      <w:color w:val="000000"/>
                      <w:kern w:val="0"/>
                      <w:sz w:val="24"/>
                      <w:highlight w:val="none"/>
                    </w:rPr>
                    <w:t>10</w:t>
                  </w:r>
                </w:p>
              </w:tc>
              <w:tc>
                <w:tcPr>
                  <w:tcW w:w="717" w:type="pct"/>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高级威胁及未知威胁分析服务</w:t>
                  </w:r>
                </w:p>
              </w:tc>
              <w:tc>
                <w:tcPr>
                  <w:tcW w:w="3721" w:type="pct"/>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根据</w:t>
                  </w:r>
                  <w:r>
                    <w:rPr>
                      <w:rFonts w:hint="eastAsia" w:asciiTheme="minorEastAsia" w:hAnsiTheme="minorEastAsia" w:eastAsiaTheme="minorEastAsia"/>
                      <w:sz w:val="24"/>
                      <w:highlight w:val="none"/>
                      <w:lang w:eastAsia="zh-CN"/>
                    </w:rPr>
                    <w:t>采购人</w:t>
                  </w:r>
                  <w:r>
                    <w:rPr>
                      <w:rFonts w:hint="eastAsia" w:asciiTheme="minorEastAsia" w:hAnsiTheme="minorEastAsia" w:eastAsiaTheme="minorEastAsia"/>
                      <w:sz w:val="24"/>
                      <w:highlight w:val="none"/>
                    </w:rPr>
                    <w:t>资产清单，采用不同手段对资产进行全面的高级/未知威胁分析，避免或降低高级威胁利用造成的影响，提供不限于人工智能、大数据、容器等技术的检测手段，且支持无特征检测技术，有效应对恶意代码及其变种（提供服务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vAlign w:val="center"/>
                </w:tcPr>
                <w:p>
                  <w:pPr>
                    <w:widowControl/>
                    <w:jc w:val="center"/>
                    <w:rPr>
                      <w:rFonts w:cs="宋体" w:asciiTheme="minorEastAsia" w:hAnsiTheme="minorEastAsia" w:eastAsiaTheme="minorEastAsia"/>
                      <w:bCs/>
                      <w:color w:val="000000"/>
                      <w:kern w:val="0"/>
                      <w:sz w:val="24"/>
                      <w:highlight w:val="none"/>
                    </w:rPr>
                  </w:pPr>
                  <w:r>
                    <w:rPr>
                      <w:rFonts w:hint="eastAsia" w:cs="宋体" w:asciiTheme="minorEastAsia" w:hAnsiTheme="minorEastAsia" w:eastAsiaTheme="minorEastAsia"/>
                      <w:bCs/>
                      <w:color w:val="000000"/>
                      <w:kern w:val="0"/>
                      <w:sz w:val="24"/>
                      <w:highlight w:val="none"/>
                    </w:rPr>
                    <w:t>服务要求</w:t>
                  </w:r>
                </w:p>
              </w:tc>
              <w:tc>
                <w:tcPr>
                  <w:tcW w:w="3721" w:type="pct"/>
                  <w:vAlign w:val="center"/>
                </w:tcPr>
                <w:p>
                  <w:pPr>
                    <w:widowControl/>
                    <w:jc w:val="left"/>
                    <w:rPr>
                      <w:rFonts w:cs="宋体" w:asciiTheme="minorEastAsia" w:hAnsiTheme="minorEastAsia" w:eastAsiaTheme="minorEastAsia"/>
                      <w:color w:val="000000"/>
                      <w:kern w:val="0"/>
                      <w:sz w:val="24"/>
                      <w:highlight w:val="none"/>
                    </w:rPr>
                  </w:pPr>
                  <w:r>
                    <w:rPr>
                      <w:rFonts w:hint="eastAsia" w:asciiTheme="minorEastAsia" w:hAnsiTheme="minorEastAsia" w:eastAsiaTheme="minorEastAsia"/>
                      <w:bCs/>
                      <w:sz w:val="24"/>
                      <w:highlight w:val="none"/>
                    </w:rPr>
                    <w:t>★</w:t>
                  </w:r>
                  <w:r>
                    <w:rPr>
                      <w:rFonts w:hint="eastAsia" w:cs="宋体" w:asciiTheme="minorEastAsia" w:hAnsiTheme="minorEastAsia" w:eastAsiaTheme="minorEastAsia"/>
                      <w:color w:val="000000"/>
                      <w:kern w:val="0"/>
                      <w:sz w:val="24"/>
                      <w:highlight w:val="none"/>
                    </w:rPr>
                    <w:t>提供7*24应急响应服务。</w:t>
                  </w:r>
                </w:p>
                <w:p>
                  <w:pPr>
                    <w:widowControl/>
                    <w:jc w:val="left"/>
                    <w:rPr>
                      <w:rFonts w:cs="宋体" w:asciiTheme="minorEastAsia" w:hAnsiTheme="minorEastAsia" w:eastAsiaTheme="minorEastAsia"/>
                      <w:color w:val="000000"/>
                      <w:kern w:val="0"/>
                      <w:sz w:val="24"/>
                      <w:highlight w:val="none"/>
                    </w:rPr>
                  </w:pPr>
                  <w:r>
                    <w:rPr>
                      <w:rFonts w:hint="eastAsia" w:cs="宋体" w:asciiTheme="minorEastAsia" w:hAnsiTheme="minorEastAsia" w:eastAsiaTheme="minorEastAsia"/>
                      <w:color w:val="000000"/>
                      <w:kern w:val="0"/>
                      <w:sz w:val="24"/>
                      <w:highlight w:val="none"/>
                    </w:rPr>
                    <w:t>对信息安全事件实时响应并解决问题，追根朔源，查找攻击源。其中一类、二类业务系统须1小时内到达现场。三类业务系统须2个小时内到达现场。一般性故障2小时内到现场，4小时内处理解决，紧急故障2小时内处理解决。每次故障处理完毕3个工作日内提供详细的《应急响应报告》。</w:t>
                  </w:r>
                </w:p>
              </w:tc>
            </w:tr>
          </w:tbl>
          <w:p>
            <w:pPr>
              <w:spacing w:line="400" w:lineRule="atLeast"/>
              <w:ind w:firstLine="480" w:firstLineChars="200"/>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5000" w:type="pct"/>
            <w:tcBorders>
              <w:bottom w:val="single" w:color="auto" w:sz="4" w:space="0"/>
            </w:tcBorders>
          </w:tcPr>
          <w:p>
            <w:pPr>
              <w:spacing w:after="156" w:afterLines="50"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系统集成任务</w:t>
            </w:r>
          </w:p>
          <w:p>
            <w:pPr>
              <w:tabs>
                <w:tab w:val="left" w:pos="1455"/>
              </w:tabs>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包含但不限于：按学校要求做好相关设备集成的技术支持。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NWQzZGU4ZGZjYzdkN2Y5MTM5NDYwMmY3ZWI5OTAifQ=="/>
  </w:docVars>
  <w:rsids>
    <w:rsidRoot w:val="00000000"/>
    <w:rsid w:val="1DDF6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autoSpaceDE w:val="0"/>
      <w:autoSpaceDN w:val="0"/>
      <w:jc w:val="both"/>
    </w:pPr>
    <w:rPr>
      <w:rFonts w:ascii="宋体" w:hAnsi="Times New Roman" w:eastAsia="宋体" w:cs="Times New Roman"/>
      <w:kern w:val="2"/>
      <w:szCs w:val="24"/>
      <w:lang w:val="en-US" w:eastAsia="ko-KR"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方案正文"/>
    <w:basedOn w:val="1"/>
    <w:qFormat/>
    <w:uiPriority w:val="0"/>
    <w:pPr>
      <w:widowControl/>
      <w:wordWrap/>
      <w:autoSpaceDE/>
      <w:autoSpaceDN/>
      <w:spacing w:line="288" w:lineRule="auto"/>
      <w:ind w:firstLine="200" w:firstLineChars="200"/>
    </w:pPr>
    <w:rPr>
      <w:rFonts w:hAnsi="宋体" w:cs="宋体"/>
      <w:color w:val="000000"/>
      <w:kern w:val="0"/>
      <w:sz w:val="21"/>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2022-10-21T08:30:29Z</dcterms:created>
  <dc:creator>赵子育</dc:creator>
  <cp:lastModifiedBy>WPS_1526261955</cp:lastModifiedBy>
  <dcterms:modified xsi:type="dcterms:W3CDTF">2022-10-21T08:32:33Z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E8001804818146728122F87FAC45E22E</vt:lpwstr>
  </property>
</Properties>
</file>