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heme="minorEastAsia" w:hAnsiTheme="minorEastAsia" w:eastAsiaTheme="minorEastAsia" w:cstheme="minorEastAsia"/>
          <w:b/>
          <w:bCs/>
          <w:sz w:val="28"/>
          <w:szCs w:val="28"/>
        </w:rPr>
      </w:pPr>
      <w:bookmarkStart w:id="0" w:name="OLE_LINK9"/>
      <w:r>
        <w:rPr>
          <w:rFonts w:hint="eastAsia" w:asciiTheme="minorEastAsia" w:hAnsiTheme="minorEastAsia" w:eastAsiaTheme="minorEastAsia" w:cstheme="minorEastAsia"/>
          <w:b/>
          <w:bCs/>
          <w:sz w:val="28"/>
          <w:szCs w:val="28"/>
        </w:rPr>
        <w:t>政府采购项目</w:t>
      </w:r>
    </w:p>
    <w:p>
      <w:pPr>
        <w:adjustRightInd w:val="0"/>
        <w:snapToGrid w:val="0"/>
        <w:spacing w:line="360" w:lineRule="auto"/>
        <w:jc w:val="left"/>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项目编号：</w:t>
      </w:r>
      <w:r>
        <w:rPr>
          <w:rFonts w:hint="eastAsia" w:asciiTheme="minorEastAsia" w:hAnsiTheme="minorEastAsia" w:eastAsiaTheme="minorEastAsia" w:cstheme="minorEastAsia"/>
          <w:b/>
          <w:bCs/>
          <w:sz w:val="28"/>
          <w:szCs w:val="28"/>
          <w:lang w:eastAsia="zh-CN"/>
        </w:rPr>
        <w:t>SXWZ2022ZB-SKD-135</w:t>
      </w:r>
    </w:p>
    <w:p>
      <w:pPr>
        <w:adjustRightInd w:val="0"/>
        <w:snapToGrid w:val="0"/>
        <w:spacing w:line="360" w:lineRule="auto"/>
        <w:rPr>
          <w:rFonts w:asciiTheme="minorEastAsia" w:hAnsiTheme="minorEastAsia" w:eastAsiaTheme="minorEastAsia" w:cstheme="minorEastAsia"/>
          <w:b/>
          <w:bCs/>
          <w:sz w:val="56"/>
          <w:szCs w:val="56"/>
        </w:rPr>
      </w:pPr>
    </w:p>
    <w:p>
      <w:pPr>
        <w:adjustRightInd w:val="0"/>
        <w:snapToGrid w:val="0"/>
        <w:spacing w:line="360" w:lineRule="auto"/>
        <w:jc w:val="center"/>
        <w:rPr>
          <w:rFonts w:hint="eastAsia" w:ascii="宋体" w:eastAsia="宋体" w:cs="Times New Roman"/>
          <w:b/>
          <w:bCs/>
          <w:sz w:val="48"/>
          <w:szCs w:val="48"/>
          <w:lang w:eastAsia="zh-CN"/>
        </w:rPr>
      </w:pPr>
      <w:r>
        <w:rPr>
          <w:rFonts w:hint="eastAsia" w:ascii="宋体" w:eastAsia="宋体" w:cs="Times New Roman"/>
          <w:b/>
          <w:bCs/>
          <w:sz w:val="48"/>
          <w:szCs w:val="48"/>
          <w:lang w:eastAsia="zh-CN"/>
        </w:rPr>
        <w:t>陕西科技大学</w:t>
      </w:r>
    </w:p>
    <w:p>
      <w:pPr>
        <w:adjustRightInd w:val="0"/>
        <w:snapToGrid w:val="0"/>
        <w:spacing w:line="360" w:lineRule="auto"/>
        <w:jc w:val="center"/>
        <w:rPr>
          <w:rFonts w:hint="eastAsia" w:ascii="宋体" w:eastAsia="宋体" w:cs="Times New Roman"/>
          <w:b/>
          <w:bCs/>
          <w:sz w:val="48"/>
          <w:szCs w:val="48"/>
          <w:lang w:eastAsia="zh-CN"/>
        </w:rPr>
      </w:pPr>
      <w:r>
        <w:rPr>
          <w:rFonts w:hint="eastAsia" w:ascii="宋体" w:eastAsia="宋体" w:cs="Times New Roman"/>
          <w:b/>
          <w:bCs/>
          <w:sz w:val="48"/>
          <w:szCs w:val="48"/>
          <w:lang w:eastAsia="zh-CN"/>
        </w:rPr>
        <w:t>实训楼有线无线网络建设项目</w:t>
      </w:r>
    </w:p>
    <w:p>
      <w:pPr>
        <w:adjustRightInd w:val="0"/>
        <w:snapToGrid w:val="0"/>
        <w:spacing w:line="360" w:lineRule="auto"/>
        <w:jc w:val="center"/>
        <w:rPr>
          <w:rFonts w:asciiTheme="minorEastAsia" w:hAnsiTheme="minorEastAsia" w:eastAsiaTheme="minorEastAsia" w:cstheme="minorEastAsia"/>
          <w:b/>
          <w:bCs/>
          <w:sz w:val="56"/>
          <w:szCs w:val="56"/>
        </w:rPr>
      </w:pPr>
    </w:p>
    <w:p>
      <w:pPr>
        <w:adjustRightInd w:val="0"/>
        <w:snapToGrid w:val="0"/>
        <w:spacing w:line="360" w:lineRule="auto"/>
        <w:jc w:val="left"/>
        <w:rPr>
          <w:rFonts w:asciiTheme="minorEastAsia" w:hAnsiTheme="minorEastAsia" w:eastAsiaTheme="minorEastAsia" w:cstheme="minorEastAsia"/>
          <w:b/>
          <w:bCs/>
          <w:sz w:val="18"/>
          <w:szCs w:val="18"/>
        </w:rPr>
      </w:pPr>
    </w:p>
    <w:p>
      <w:pPr>
        <w:adjustRightInd w:val="0"/>
        <w:snapToGrid w:val="0"/>
        <w:spacing w:line="360" w:lineRule="auto"/>
        <w:jc w:val="left"/>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rPr>
        <w:drawing>
          <wp:anchor distT="0" distB="0" distL="114300" distR="114300" simplePos="0" relativeHeight="251663360" behindDoc="1" locked="0" layoutInCell="1" allowOverlap="1">
            <wp:simplePos x="0" y="0"/>
            <wp:positionH relativeFrom="column">
              <wp:posOffset>1746250</wp:posOffset>
            </wp:positionH>
            <wp:positionV relativeFrom="paragraph">
              <wp:posOffset>139065</wp:posOffset>
            </wp:positionV>
            <wp:extent cx="2312670" cy="1447800"/>
            <wp:effectExtent l="0" t="0" r="11430" b="0"/>
            <wp:wrapTight wrapText="bothSides">
              <wp:wrapPolygon>
                <wp:start x="0" y="0"/>
                <wp:lineTo x="0" y="21316"/>
                <wp:lineTo x="21351" y="21316"/>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21"/>
                    <a:stretch>
                      <a:fillRect/>
                    </a:stretch>
                  </pic:blipFill>
                  <pic:spPr>
                    <a:xfrm>
                      <a:off x="0" y="0"/>
                      <a:ext cx="2312670" cy="1447800"/>
                    </a:xfrm>
                    <a:prstGeom prst="rect">
                      <a:avLst/>
                    </a:prstGeom>
                    <a:noFill/>
                    <a:ln w="9525">
                      <a:noFill/>
                    </a:ln>
                  </pic:spPr>
                </pic:pic>
              </a:graphicData>
            </a:graphic>
          </wp:anchor>
        </w:drawing>
      </w:r>
    </w:p>
    <w:p>
      <w:pPr>
        <w:adjustRightInd w:val="0"/>
        <w:snapToGrid w:val="0"/>
        <w:spacing w:line="360" w:lineRule="auto"/>
        <w:jc w:val="left"/>
        <w:rPr>
          <w:rFonts w:asciiTheme="minorEastAsia" w:hAnsiTheme="minorEastAsia" w:eastAsiaTheme="minorEastAsia" w:cstheme="minorEastAsia"/>
          <w:b/>
          <w:bCs/>
          <w:sz w:val="18"/>
          <w:szCs w:val="18"/>
        </w:rPr>
      </w:pPr>
    </w:p>
    <w:p>
      <w:pPr>
        <w:adjustRightInd w:val="0"/>
        <w:snapToGrid w:val="0"/>
        <w:spacing w:line="360" w:lineRule="auto"/>
        <w:jc w:val="left"/>
        <w:rPr>
          <w:rFonts w:asciiTheme="minorEastAsia" w:hAnsiTheme="minorEastAsia" w:eastAsiaTheme="minorEastAsia" w:cstheme="minorEastAsia"/>
          <w:b/>
          <w:bCs/>
          <w:sz w:val="18"/>
          <w:szCs w:val="18"/>
        </w:rPr>
      </w:pPr>
    </w:p>
    <w:p>
      <w:pPr>
        <w:tabs>
          <w:tab w:val="left" w:pos="0"/>
        </w:tabs>
        <w:adjustRightInd w:val="0"/>
        <w:snapToGrid w:val="0"/>
        <w:spacing w:line="360" w:lineRule="auto"/>
        <w:jc w:val="center"/>
        <w:rPr>
          <w:rFonts w:asciiTheme="minorEastAsia" w:hAnsiTheme="minorEastAsia" w:eastAsiaTheme="minorEastAsia" w:cstheme="minorEastAsia"/>
          <w:b/>
          <w:bCs/>
          <w:sz w:val="84"/>
          <w:szCs w:val="84"/>
        </w:rPr>
      </w:pPr>
    </w:p>
    <w:p>
      <w:pPr>
        <w:tabs>
          <w:tab w:val="left" w:pos="0"/>
        </w:tabs>
        <w:adjustRightInd w:val="0"/>
        <w:snapToGrid w:val="0"/>
        <w:spacing w:line="360" w:lineRule="auto"/>
        <w:rPr>
          <w:rFonts w:asciiTheme="minorEastAsia" w:hAnsiTheme="minorEastAsia" w:eastAsiaTheme="minorEastAsia" w:cstheme="minorEastAsia"/>
          <w:b/>
          <w:bCs/>
          <w:sz w:val="84"/>
          <w:szCs w:val="84"/>
        </w:rPr>
      </w:pPr>
    </w:p>
    <w:p>
      <w:pPr>
        <w:tabs>
          <w:tab w:val="left" w:pos="0"/>
        </w:tabs>
        <w:adjustRightInd w:val="0"/>
        <w:snapToGrid w:val="0"/>
        <w:spacing w:line="360" w:lineRule="auto"/>
        <w:jc w:val="center"/>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84"/>
          <w:szCs w:val="84"/>
        </w:rPr>
        <w:t>招标文件</w:t>
      </w:r>
    </w:p>
    <w:p>
      <w:pPr>
        <w:adjustRightInd w:val="0"/>
        <w:snapToGrid w:val="0"/>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采 购 人：</w:t>
      </w:r>
      <w:r>
        <w:rPr>
          <w:rFonts w:hint="eastAsia" w:asciiTheme="minorEastAsia" w:hAnsiTheme="minorEastAsia" w:eastAsiaTheme="minorEastAsia" w:cstheme="minorEastAsia"/>
          <w:b/>
          <w:bCs/>
          <w:sz w:val="28"/>
          <w:szCs w:val="28"/>
          <w:lang w:eastAsia="zh-CN"/>
        </w:rPr>
        <w:t>陕西科技大学</w:t>
      </w:r>
    </w:p>
    <w:p>
      <w:pPr>
        <w:adjustRightInd w:val="0"/>
        <w:snapToGrid w:val="0"/>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代理机构：陕西万泽招标有限公司</w:t>
      </w:r>
    </w:p>
    <w:p>
      <w:pPr>
        <w:adjustRightInd w:val="0"/>
        <w:snapToGrid w:val="0"/>
        <w:spacing w:line="360" w:lineRule="auto"/>
        <w:ind w:firstLine="3654" w:firstLineChars="13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二〇二二年</w:t>
      </w:r>
      <w:r>
        <w:rPr>
          <w:rFonts w:hint="eastAsia" w:asciiTheme="minorEastAsia" w:hAnsiTheme="minorEastAsia" w:eastAsiaTheme="minorEastAsia" w:cstheme="minorEastAsia"/>
          <w:b/>
          <w:bCs/>
          <w:sz w:val="28"/>
          <w:szCs w:val="28"/>
          <w:lang w:eastAsia="zh-CN"/>
        </w:rPr>
        <w:t>七</w:t>
      </w:r>
      <w:r>
        <w:rPr>
          <w:rFonts w:hint="eastAsia" w:asciiTheme="minorEastAsia" w:hAnsiTheme="minorEastAsia" w:eastAsiaTheme="minorEastAsia" w:cstheme="minorEastAsia"/>
          <w:b/>
          <w:bCs/>
          <w:sz w:val="28"/>
          <w:szCs w:val="28"/>
        </w:rPr>
        <w:t>月</w:t>
      </w:r>
    </w:p>
    <w:p>
      <w:pPr>
        <w:adjustRightInd w:val="0"/>
        <w:snapToGrid w:val="0"/>
        <w:spacing w:line="600" w:lineRule="auto"/>
        <w:rPr>
          <w:rFonts w:asciiTheme="minorEastAsia" w:hAnsiTheme="minorEastAsia" w:eastAsiaTheme="minorEastAsia" w:cstheme="minorEastAsia"/>
          <w:b/>
          <w:bCs/>
          <w:sz w:val="36"/>
          <w:szCs w:val="36"/>
        </w:rPr>
        <w:sectPr>
          <w:headerReference r:id="rId3" w:type="default"/>
          <w:footerReference r:id="rId4" w:type="default"/>
          <w:pgSz w:w="11906" w:h="16838"/>
          <w:pgMar w:top="1440" w:right="1202" w:bottom="1440" w:left="1406" w:header="851" w:footer="992" w:gutter="0"/>
          <w:cols w:space="0" w:num="1"/>
          <w:docGrid w:type="lines" w:linePitch="312" w:charSpace="0"/>
        </w:sectPr>
      </w:pPr>
    </w:p>
    <w:p>
      <w:pPr>
        <w:pStyle w:val="18"/>
        <w:tabs>
          <w:tab w:val="right" w:leader="dot" w:pos="8306"/>
        </w:tabs>
        <w:spacing w:line="360"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目 录</w:t>
      </w:r>
    </w:p>
    <w:p>
      <w:pPr>
        <w:pStyle w:val="18"/>
        <w:tabs>
          <w:tab w:val="right" w:leader="dot" w:pos="8306"/>
        </w:tabs>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"1-2" \h \u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_Toc21359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第一部分  公开招标公告</w:t>
      </w:r>
      <w:r>
        <w:tab/>
      </w:r>
      <w:r>
        <w:fldChar w:fldCharType="begin"/>
      </w:r>
      <w:r>
        <w:instrText xml:space="preserve"> PAGEREF _Toc21359 \h </w:instrText>
      </w:r>
      <w:r>
        <w:fldChar w:fldCharType="separate"/>
      </w:r>
      <w:r>
        <w:t>3</w:t>
      </w:r>
      <w:r>
        <w:fldChar w:fldCharType="end"/>
      </w:r>
      <w:r>
        <w:rPr>
          <w:rFonts w:hint="eastAsia" w:asciiTheme="minorEastAsia" w:hAnsiTheme="minorEastAsia" w:eastAsiaTheme="minorEastAsia" w:cstheme="minorEastAsia"/>
          <w:szCs w:val="24"/>
        </w:rPr>
        <w:fldChar w:fldCharType="end"/>
      </w:r>
    </w:p>
    <w:p>
      <w:pPr>
        <w:pStyle w:val="18"/>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_Toc20096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第二部分  供应商须知前附表</w:t>
      </w:r>
      <w:r>
        <w:tab/>
      </w:r>
      <w:r>
        <w:fldChar w:fldCharType="begin"/>
      </w:r>
      <w:r>
        <w:instrText xml:space="preserve"> PAGEREF _Toc20096 \h </w:instrText>
      </w:r>
      <w:r>
        <w:fldChar w:fldCharType="separate"/>
      </w:r>
      <w:r>
        <w:t>6</w:t>
      </w:r>
      <w:r>
        <w:fldChar w:fldCharType="end"/>
      </w:r>
      <w:r>
        <w:rPr>
          <w:rFonts w:hint="eastAsia" w:asciiTheme="minorEastAsia" w:hAnsiTheme="minorEastAsia" w:eastAsiaTheme="minorEastAsia" w:cstheme="minorEastAsia"/>
          <w:szCs w:val="24"/>
        </w:rPr>
        <w:fldChar w:fldCharType="end"/>
      </w:r>
    </w:p>
    <w:p>
      <w:pPr>
        <w:pStyle w:val="18"/>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_Toc10932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第三部分  供应商须知</w:t>
      </w:r>
      <w:r>
        <w:tab/>
      </w:r>
      <w:r>
        <w:fldChar w:fldCharType="begin"/>
      </w:r>
      <w:r>
        <w:instrText xml:space="preserve"> PAGEREF _Toc10932 \h </w:instrText>
      </w:r>
      <w:r>
        <w:fldChar w:fldCharType="separate"/>
      </w:r>
      <w:r>
        <w:t>10</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_Toc4559 </w:instrText>
      </w:r>
      <w:r>
        <w:rPr>
          <w:rFonts w:hint="eastAsia" w:asciiTheme="minorEastAsia" w:hAnsiTheme="minorEastAsia" w:eastAsiaTheme="minorEastAsia" w:cstheme="minorEastAsia"/>
          <w:szCs w:val="24"/>
        </w:rPr>
        <w:fldChar w:fldCharType="separate"/>
      </w:r>
      <w:r>
        <w:rPr>
          <w:rFonts w:hint="eastAsia" w:cs="Times New Roman" w:asciiTheme="minorEastAsia" w:hAnsiTheme="minorEastAsia" w:eastAsiaTheme="minorEastAsia"/>
          <w:bCs/>
          <w:kern w:val="0"/>
          <w:szCs w:val="32"/>
        </w:rPr>
        <w:t xml:space="preserve">一、 </w:t>
      </w:r>
      <w:r>
        <w:rPr>
          <w:rFonts w:hint="eastAsia" w:asciiTheme="minorEastAsia" w:hAnsiTheme="minorEastAsia" w:eastAsiaTheme="minorEastAsia" w:cstheme="minorEastAsia"/>
          <w:bCs/>
          <w:kern w:val="0"/>
          <w:szCs w:val="32"/>
        </w:rPr>
        <w:t>总 则</w:t>
      </w:r>
      <w:r>
        <w:tab/>
      </w:r>
      <w:r>
        <w:fldChar w:fldCharType="begin"/>
      </w:r>
      <w:r>
        <w:instrText xml:space="preserve"> PAGEREF _Toc4559 \h </w:instrText>
      </w:r>
      <w:r>
        <w:fldChar w:fldCharType="separate"/>
      </w:r>
      <w:r>
        <w:t>10</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_Toc32136 </w:instrText>
      </w:r>
      <w:r>
        <w:rPr>
          <w:rFonts w:hint="eastAsia" w:asciiTheme="minorEastAsia" w:hAnsiTheme="minorEastAsia" w:eastAsiaTheme="minorEastAsia" w:cstheme="minorEastAsia"/>
          <w:szCs w:val="24"/>
        </w:rPr>
        <w:fldChar w:fldCharType="separate"/>
      </w:r>
      <w:r>
        <w:rPr>
          <w:rFonts w:hint="eastAsia" w:cs="Times New Roman" w:asciiTheme="minorEastAsia" w:hAnsiTheme="minorEastAsia" w:eastAsiaTheme="minorEastAsia"/>
          <w:bCs/>
          <w:kern w:val="0"/>
          <w:szCs w:val="32"/>
        </w:rPr>
        <w:t xml:space="preserve">二、 </w:t>
      </w:r>
      <w:r>
        <w:rPr>
          <w:rFonts w:hint="eastAsia" w:asciiTheme="minorEastAsia" w:hAnsiTheme="minorEastAsia" w:eastAsiaTheme="minorEastAsia" w:cstheme="minorEastAsia"/>
          <w:bCs/>
          <w:kern w:val="0"/>
          <w:szCs w:val="32"/>
        </w:rPr>
        <w:t>招标文件</w:t>
      </w:r>
      <w:r>
        <w:tab/>
      </w:r>
      <w:r>
        <w:fldChar w:fldCharType="begin"/>
      </w:r>
      <w:r>
        <w:instrText xml:space="preserve"> PAGEREF _Toc32136 \h </w:instrText>
      </w:r>
      <w:r>
        <w:fldChar w:fldCharType="separate"/>
      </w:r>
      <w:r>
        <w:t>13</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_Toc6132 </w:instrText>
      </w:r>
      <w:r>
        <w:rPr>
          <w:rFonts w:hint="eastAsia" w:asciiTheme="minorEastAsia" w:hAnsiTheme="minorEastAsia" w:eastAsiaTheme="minorEastAsia" w:cstheme="minorEastAsia"/>
          <w:szCs w:val="24"/>
        </w:rPr>
        <w:fldChar w:fldCharType="separate"/>
      </w:r>
      <w:r>
        <w:rPr>
          <w:rFonts w:hint="eastAsia" w:cs="Times New Roman" w:asciiTheme="minorEastAsia" w:hAnsiTheme="minorEastAsia" w:eastAsiaTheme="minorEastAsia"/>
          <w:bCs/>
          <w:kern w:val="0"/>
          <w:szCs w:val="32"/>
        </w:rPr>
        <w:t xml:space="preserve">三、 </w:t>
      </w:r>
      <w:r>
        <w:rPr>
          <w:rFonts w:hint="eastAsia" w:asciiTheme="minorEastAsia" w:hAnsiTheme="minorEastAsia" w:eastAsiaTheme="minorEastAsia" w:cstheme="minorEastAsia"/>
          <w:bCs/>
          <w:kern w:val="0"/>
          <w:szCs w:val="32"/>
        </w:rPr>
        <w:t>投标文件</w:t>
      </w:r>
      <w:r>
        <w:tab/>
      </w:r>
      <w:r>
        <w:fldChar w:fldCharType="begin"/>
      </w:r>
      <w:r>
        <w:instrText xml:space="preserve"> PAGEREF _Toc6132 \h </w:instrText>
      </w:r>
      <w:r>
        <w:fldChar w:fldCharType="separate"/>
      </w:r>
      <w:r>
        <w:t>15</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_Toc18177 </w:instrText>
      </w:r>
      <w:r>
        <w:rPr>
          <w:rFonts w:hint="eastAsia" w:asciiTheme="minorEastAsia" w:hAnsiTheme="minorEastAsia" w:eastAsiaTheme="minorEastAsia" w:cstheme="minorEastAsia"/>
          <w:szCs w:val="24"/>
        </w:rPr>
        <w:fldChar w:fldCharType="separate"/>
      </w:r>
      <w:r>
        <w:rPr>
          <w:rFonts w:hint="eastAsia" w:cs="Times New Roman" w:asciiTheme="minorEastAsia" w:hAnsiTheme="minorEastAsia" w:eastAsiaTheme="minorEastAsia"/>
          <w:bCs/>
          <w:kern w:val="0"/>
          <w:szCs w:val="32"/>
        </w:rPr>
        <w:t xml:space="preserve">四、 </w:t>
      </w:r>
      <w:r>
        <w:rPr>
          <w:rFonts w:hint="eastAsia" w:asciiTheme="minorEastAsia" w:hAnsiTheme="minorEastAsia" w:eastAsiaTheme="minorEastAsia" w:cstheme="minorEastAsia"/>
          <w:bCs/>
          <w:kern w:val="0"/>
          <w:szCs w:val="32"/>
        </w:rPr>
        <w:t>投标文件的递交</w:t>
      </w:r>
      <w:r>
        <w:tab/>
      </w:r>
      <w:r>
        <w:fldChar w:fldCharType="begin"/>
      </w:r>
      <w:r>
        <w:instrText xml:space="preserve"> PAGEREF _Toc18177 \h </w:instrText>
      </w:r>
      <w:r>
        <w:fldChar w:fldCharType="separate"/>
      </w:r>
      <w:r>
        <w:t>18</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_Toc2119 </w:instrText>
      </w:r>
      <w:r>
        <w:rPr>
          <w:rFonts w:hint="eastAsia" w:asciiTheme="minorEastAsia" w:hAnsiTheme="minorEastAsia" w:eastAsiaTheme="minorEastAsia" w:cstheme="minorEastAsia"/>
          <w:szCs w:val="24"/>
        </w:rPr>
        <w:fldChar w:fldCharType="separate"/>
      </w:r>
      <w:r>
        <w:rPr>
          <w:rFonts w:hint="eastAsia" w:cs="Times New Roman" w:asciiTheme="minorEastAsia" w:hAnsiTheme="minorEastAsia" w:eastAsiaTheme="minorEastAsia"/>
          <w:bCs/>
          <w:kern w:val="0"/>
          <w:szCs w:val="32"/>
        </w:rPr>
        <w:t xml:space="preserve">五、 </w:t>
      </w:r>
      <w:r>
        <w:rPr>
          <w:rFonts w:hint="eastAsia" w:asciiTheme="minorEastAsia" w:hAnsiTheme="minorEastAsia" w:eastAsiaTheme="minorEastAsia" w:cstheme="minorEastAsia"/>
          <w:bCs/>
          <w:kern w:val="0"/>
          <w:szCs w:val="32"/>
        </w:rPr>
        <w:t>开标、评审、定标</w:t>
      </w:r>
      <w:r>
        <w:tab/>
      </w:r>
      <w:r>
        <w:fldChar w:fldCharType="begin"/>
      </w:r>
      <w:r>
        <w:instrText xml:space="preserve"> PAGEREF _Toc2119 \h </w:instrText>
      </w:r>
      <w:r>
        <w:fldChar w:fldCharType="separate"/>
      </w:r>
      <w:r>
        <w:t>18</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_Toc1632 </w:instrText>
      </w:r>
      <w:r>
        <w:rPr>
          <w:rFonts w:hint="eastAsia" w:asciiTheme="minorEastAsia" w:hAnsiTheme="minorEastAsia" w:eastAsiaTheme="minorEastAsia" w:cstheme="minorEastAsia"/>
          <w:szCs w:val="24"/>
        </w:rPr>
        <w:fldChar w:fldCharType="separate"/>
      </w:r>
      <w:r>
        <w:rPr>
          <w:rFonts w:hint="eastAsia" w:cs="Times New Roman" w:asciiTheme="minorEastAsia" w:hAnsiTheme="minorEastAsia" w:eastAsiaTheme="minorEastAsia"/>
          <w:bCs/>
          <w:kern w:val="0"/>
          <w:szCs w:val="32"/>
        </w:rPr>
        <w:t xml:space="preserve">六、 </w:t>
      </w:r>
      <w:r>
        <w:rPr>
          <w:rFonts w:hint="eastAsia" w:asciiTheme="minorEastAsia" w:hAnsiTheme="minorEastAsia" w:eastAsiaTheme="minorEastAsia" w:cstheme="minorEastAsia"/>
          <w:bCs/>
          <w:kern w:val="0"/>
          <w:szCs w:val="32"/>
        </w:rPr>
        <w:t>签订合同</w:t>
      </w:r>
      <w:r>
        <w:tab/>
      </w:r>
      <w:r>
        <w:fldChar w:fldCharType="begin"/>
      </w:r>
      <w:r>
        <w:instrText xml:space="preserve"> PAGEREF _Toc1632 \h </w:instrText>
      </w:r>
      <w:r>
        <w:fldChar w:fldCharType="separate"/>
      </w:r>
      <w:r>
        <w:t>22</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_Toc4168 </w:instrText>
      </w:r>
      <w:r>
        <w:rPr>
          <w:rFonts w:hint="eastAsia" w:asciiTheme="minorEastAsia" w:hAnsiTheme="minorEastAsia" w:eastAsiaTheme="minorEastAsia" w:cstheme="minorEastAsia"/>
          <w:szCs w:val="24"/>
        </w:rPr>
        <w:fldChar w:fldCharType="separate"/>
      </w:r>
      <w:r>
        <w:rPr>
          <w:rFonts w:hint="eastAsia" w:cs="Times New Roman" w:asciiTheme="minorEastAsia" w:hAnsiTheme="minorEastAsia" w:eastAsiaTheme="minorEastAsia"/>
          <w:bCs/>
          <w:kern w:val="0"/>
          <w:szCs w:val="32"/>
        </w:rPr>
        <w:t xml:space="preserve">七、 </w:t>
      </w:r>
      <w:r>
        <w:rPr>
          <w:rFonts w:hint="eastAsia" w:asciiTheme="minorEastAsia" w:hAnsiTheme="minorEastAsia" w:eastAsiaTheme="minorEastAsia" w:cstheme="minorEastAsia"/>
          <w:bCs/>
          <w:kern w:val="0"/>
          <w:szCs w:val="32"/>
        </w:rPr>
        <w:t>代理服务费</w:t>
      </w:r>
      <w:r>
        <w:tab/>
      </w:r>
      <w:r>
        <w:fldChar w:fldCharType="begin"/>
      </w:r>
      <w:r>
        <w:instrText xml:space="preserve"> PAGEREF _Toc4168 \h </w:instrText>
      </w:r>
      <w:r>
        <w:fldChar w:fldCharType="separate"/>
      </w:r>
      <w:r>
        <w:t>23</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_Toc18472 </w:instrText>
      </w:r>
      <w:r>
        <w:rPr>
          <w:rFonts w:hint="eastAsia" w:asciiTheme="minorEastAsia" w:hAnsiTheme="minorEastAsia" w:eastAsiaTheme="minorEastAsia" w:cstheme="minorEastAsia"/>
          <w:szCs w:val="24"/>
        </w:rPr>
        <w:fldChar w:fldCharType="separate"/>
      </w:r>
      <w:r>
        <w:rPr>
          <w:rFonts w:hint="eastAsia" w:cs="Times New Roman" w:asciiTheme="minorEastAsia" w:hAnsiTheme="minorEastAsia" w:eastAsiaTheme="minorEastAsia"/>
          <w:bCs/>
          <w:kern w:val="0"/>
          <w:szCs w:val="32"/>
        </w:rPr>
        <w:t xml:space="preserve">八、 </w:t>
      </w:r>
      <w:r>
        <w:rPr>
          <w:rFonts w:hint="eastAsia" w:asciiTheme="minorEastAsia" w:hAnsiTheme="minorEastAsia" w:eastAsiaTheme="minorEastAsia" w:cstheme="minorEastAsia"/>
          <w:bCs/>
          <w:kern w:val="0"/>
          <w:szCs w:val="32"/>
        </w:rPr>
        <w:t>质疑和投诉</w:t>
      </w:r>
      <w:r>
        <w:tab/>
      </w:r>
      <w:r>
        <w:fldChar w:fldCharType="begin"/>
      </w:r>
      <w:r>
        <w:instrText xml:space="preserve"> PAGEREF _Toc18472 \h </w:instrText>
      </w:r>
      <w:r>
        <w:fldChar w:fldCharType="separate"/>
      </w:r>
      <w:r>
        <w:t>23</w:t>
      </w:r>
      <w:r>
        <w:fldChar w:fldCharType="end"/>
      </w:r>
      <w:r>
        <w:rPr>
          <w:rFonts w:hint="eastAsia" w:asciiTheme="minorEastAsia" w:hAnsiTheme="minorEastAsia" w:eastAsiaTheme="minorEastAsia" w:cstheme="minorEastAsia"/>
          <w:szCs w:val="24"/>
        </w:rPr>
        <w:fldChar w:fldCharType="end"/>
      </w:r>
    </w:p>
    <w:p>
      <w:pPr>
        <w:pStyle w:val="18"/>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_Toc14641 </w:instrText>
      </w:r>
      <w:r>
        <w:rPr>
          <w:rFonts w:hint="eastAsia" w:asciiTheme="minorEastAsia" w:hAnsiTheme="minorEastAsia" w:eastAsiaTheme="minorEastAsia" w:cstheme="minorEastAsia"/>
          <w:szCs w:val="24"/>
        </w:rPr>
        <w:fldChar w:fldCharType="separate"/>
      </w:r>
      <w:r>
        <w:rPr>
          <w:rFonts w:asciiTheme="minorEastAsia" w:hAnsiTheme="minorEastAsia" w:eastAsiaTheme="minorEastAsia" w:cstheme="minorEastAsia"/>
          <w:szCs w:val="36"/>
        </w:rPr>
        <w:t xml:space="preserve">第四部分 </w:t>
      </w:r>
      <w:r>
        <w:rPr>
          <w:rFonts w:hint="eastAsia" w:asciiTheme="minorEastAsia" w:hAnsiTheme="minorEastAsia" w:eastAsiaTheme="minorEastAsia" w:cstheme="minorEastAsia"/>
          <w:szCs w:val="36"/>
        </w:rPr>
        <w:t>评分标准</w:t>
      </w:r>
      <w:r>
        <w:tab/>
      </w:r>
      <w:r>
        <w:fldChar w:fldCharType="begin"/>
      </w:r>
      <w:r>
        <w:instrText xml:space="preserve"> PAGEREF _Toc14641 \h </w:instrText>
      </w:r>
      <w:r>
        <w:fldChar w:fldCharType="separate"/>
      </w:r>
      <w:r>
        <w:t>26</w:t>
      </w:r>
      <w:r>
        <w:fldChar w:fldCharType="end"/>
      </w:r>
      <w:r>
        <w:rPr>
          <w:rFonts w:hint="eastAsia" w:asciiTheme="minorEastAsia" w:hAnsiTheme="minorEastAsia" w:eastAsiaTheme="minorEastAsia" w:cstheme="minorEastAsia"/>
          <w:szCs w:val="24"/>
        </w:rPr>
        <w:fldChar w:fldCharType="end"/>
      </w:r>
    </w:p>
    <w:p>
      <w:pPr>
        <w:pStyle w:val="18"/>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_Toc4041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第五部分  商务条款与采购要求</w:t>
      </w:r>
      <w:r>
        <w:tab/>
      </w:r>
      <w:r>
        <w:fldChar w:fldCharType="begin"/>
      </w:r>
      <w:r>
        <w:instrText xml:space="preserve"> PAGEREF _Toc4041 \h </w:instrText>
      </w:r>
      <w:r>
        <w:fldChar w:fldCharType="separate"/>
      </w:r>
      <w:r>
        <w:t>28</w:t>
      </w:r>
      <w:r>
        <w:fldChar w:fldCharType="end"/>
      </w:r>
      <w:r>
        <w:rPr>
          <w:rFonts w:hint="eastAsia" w:asciiTheme="minorEastAsia" w:hAnsiTheme="minorEastAsia" w:eastAsiaTheme="minorEastAsia" w:cstheme="minorEastAsia"/>
          <w:szCs w:val="24"/>
        </w:rPr>
        <w:fldChar w:fldCharType="end"/>
      </w:r>
    </w:p>
    <w:p>
      <w:pPr>
        <w:pStyle w:val="18"/>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_Toc29652 </w:instrText>
      </w:r>
      <w:r>
        <w:rPr>
          <w:rFonts w:hint="eastAsia" w:asciiTheme="minorEastAsia" w:hAnsiTheme="minorEastAsia" w:eastAsiaTheme="minorEastAsia" w:cstheme="minorEastAsia"/>
          <w:szCs w:val="24"/>
        </w:rPr>
        <w:fldChar w:fldCharType="separate"/>
      </w:r>
      <w:r>
        <w:rPr>
          <w:rFonts w:hint="eastAsia" w:ascii="宋体" w:hAnsi="宋体" w:eastAsia="宋体" w:cs="宋体"/>
          <w:bCs/>
          <w:kern w:val="44"/>
          <w:szCs w:val="44"/>
          <w:highlight w:val="none"/>
          <w:lang w:val="en-US" w:eastAsia="zh-CN" w:bidi="ar-SA"/>
        </w:rPr>
        <w:t>第六部分  合同条款</w:t>
      </w:r>
      <w:r>
        <w:tab/>
      </w:r>
      <w:r>
        <w:fldChar w:fldCharType="begin"/>
      </w:r>
      <w:r>
        <w:instrText xml:space="preserve"> PAGEREF _Toc29652 \h </w:instrText>
      </w:r>
      <w:r>
        <w:fldChar w:fldCharType="separate"/>
      </w:r>
      <w:r>
        <w:t>40</w:t>
      </w:r>
      <w:r>
        <w:fldChar w:fldCharType="end"/>
      </w:r>
      <w:r>
        <w:rPr>
          <w:rFonts w:hint="eastAsia" w:asciiTheme="minorEastAsia" w:hAnsiTheme="minorEastAsia" w:eastAsiaTheme="minorEastAsia" w:cstheme="minorEastAsia"/>
          <w:szCs w:val="24"/>
        </w:rPr>
        <w:fldChar w:fldCharType="end"/>
      </w:r>
    </w:p>
    <w:p>
      <w:pPr>
        <w:pStyle w:val="18"/>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_Toc8556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第七部分  投标文件格式</w:t>
      </w:r>
      <w:r>
        <w:tab/>
      </w:r>
      <w:r>
        <w:fldChar w:fldCharType="begin"/>
      </w:r>
      <w:r>
        <w:instrText xml:space="preserve"> PAGEREF _Toc8556 \h </w:instrText>
      </w:r>
      <w:r>
        <w:fldChar w:fldCharType="separate"/>
      </w:r>
      <w:r>
        <w:t>44</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_Toc6124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第一部分  报价函</w:t>
      </w:r>
      <w:r>
        <w:tab/>
      </w:r>
      <w:r>
        <w:fldChar w:fldCharType="begin"/>
      </w:r>
      <w:r>
        <w:instrText xml:space="preserve"> PAGEREF _Toc6124 \h </w:instrText>
      </w:r>
      <w:r>
        <w:fldChar w:fldCharType="separate"/>
      </w:r>
      <w:r>
        <w:t>46</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_Toc20806 </w:instrText>
      </w:r>
      <w:r>
        <w:rPr>
          <w:rFonts w:hint="eastAsia" w:asciiTheme="minorEastAsia" w:hAnsiTheme="minorEastAsia" w:eastAsiaTheme="minorEastAsia" w:cstheme="minorEastAsia"/>
          <w:szCs w:val="24"/>
        </w:rPr>
        <w:fldChar w:fldCharType="separate"/>
      </w:r>
      <w:r>
        <w:rPr>
          <w:rFonts w:hint="eastAsia" w:ascii="宋体" w:hAnsi="宋体" w:cs="宋体"/>
          <w:szCs w:val="36"/>
        </w:rPr>
        <w:t xml:space="preserve">第二部分  </w:t>
      </w:r>
      <w:r>
        <w:rPr>
          <w:rFonts w:hint="eastAsia" w:ascii="宋体" w:hAnsi="宋体" w:cs="宋体"/>
          <w:szCs w:val="36"/>
          <w:lang w:eastAsia="zh-CN"/>
        </w:rPr>
        <w:t>报价一览表</w:t>
      </w:r>
      <w:r>
        <w:tab/>
      </w:r>
      <w:r>
        <w:fldChar w:fldCharType="begin"/>
      </w:r>
      <w:r>
        <w:instrText xml:space="preserve"> PAGEREF _Toc20806 \h </w:instrText>
      </w:r>
      <w:r>
        <w:fldChar w:fldCharType="separate"/>
      </w:r>
      <w:r>
        <w:t>47</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_Toc16024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 xml:space="preserve">第三部分  </w:t>
      </w:r>
      <w:r>
        <w:rPr>
          <w:rFonts w:hint="eastAsia" w:asciiTheme="minorEastAsia" w:hAnsiTheme="minorEastAsia" w:eastAsiaTheme="minorEastAsia" w:cstheme="minorEastAsia"/>
          <w:szCs w:val="36"/>
          <w:lang w:eastAsia="zh-CN"/>
        </w:rPr>
        <w:t>商务响应说明</w:t>
      </w:r>
      <w:r>
        <w:tab/>
      </w:r>
      <w:r>
        <w:fldChar w:fldCharType="begin"/>
      </w:r>
      <w:r>
        <w:instrText xml:space="preserve"> PAGEREF _Toc16024 \h </w:instrText>
      </w:r>
      <w:r>
        <w:fldChar w:fldCharType="separate"/>
      </w:r>
      <w:r>
        <w:t>50</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_Toc6838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 xml:space="preserve">第四部分  </w:t>
      </w:r>
      <w:r>
        <w:rPr>
          <w:rFonts w:hint="eastAsia" w:asciiTheme="minorEastAsia" w:hAnsiTheme="minorEastAsia" w:eastAsiaTheme="minorEastAsia" w:cstheme="minorEastAsia"/>
          <w:szCs w:val="36"/>
          <w:lang w:eastAsia="zh-CN"/>
        </w:rPr>
        <w:t>无重大违法记录声明</w:t>
      </w:r>
      <w:r>
        <w:tab/>
      </w:r>
      <w:r>
        <w:fldChar w:fldCharType="begin"/>
      </w:r>
      <w:r>
        <w:instrText xml:space="preserve"> PAGEREF _Toc6838 \h </w:instrText>
      </w:r>
      <w:r>
        <w:fldChar w:fldCharType="separate"/>
      </w:r>
      <w:r>
        <w:t>51</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_Toc2445 </w:instrText>
      </w:r>
      <w:r>
        <w:rPr>
          <w:rFonts w:hint="eastAsia" w:asciiTheme="minorEastAsia" w:hAnsiTheme="minorEastAsia" w:eastAsiaTheme="minorEastAsia" w:cstheme="minorEastAsia"/>
          <w:szCs w:val="24"/>
        </w:rPr>
        <w:fldChar w:fldCharType="separate"/>
      </w:r>
      <w:r>
        <w:rPr>
          <w:rFonts w:hint="eastAsia" w:ascii="宋体" w:hAnsi="宋体" w:cs="宋体"/>
          <w:szCs w:val="36"/>
        </w:rPr>
        <w:t xml:space="preserve">第五部分  </w:t>
      </w:r>
      <w:r>
        <w:rPr>
          <w:rFonts w:hint="eastAsia" w:ascii="宋体" w:hAnsi="宋体" w:cs="宋体"/>
          <w:szCs w:val="36"/>
          <w:lang w:eastAsia="zh-CN"/>
        </w:rPr>
        <w:t>供应商资质要求</w:t>
      </w:r>
      <w:r>
        <w:tab/>
      </w:r>
      <w:r>
        <w:fldChar w:fldCharType="begin"/>
      </w:r>
      <w:r>
        <w:instrText xml:space="preserve"> PAGEREF _Toc2445 \h </w:instrText>
      </w:r>
      <w:r>
        <w:fldChar w:fldCharType="separate"/>
      </w:r>
      <w:r>
        <w:t>52</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_Toc9510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 xml:space="preserve">第六部分  </w:t>
      </w:r>
      <w:r>
        <w:rPr>
          <w:rFonts w:hint="eastAsia" w:asciiTheme="minorEastAsia" w:hAnsiTheme="minorEastAsia" w:eastAsiaTheme="minorEastAsia" w:cstheme="minorEastAsia"/>
          <w:szCs w:val="36"/>
          <w:lang w:eastAsia="zh-CN"/>
        </w:rPr>
        <w:t>实施方案</w:t>
      </w:r>
      <w:r>
        <w:rPr>
          <w:rFonts w:hint="eastAsia" w:asciiTheme="minorEastAsia" w:hAnsiTheme="minorEastAsia" w:eastAsiaTheme="minorEastAsia" w:cstheme="minorEastAsia"/>
          <w:szCs w:val="36"/>
        </w:rPr>
        <w:t>与技术组织方案</w:t>
      </w:r>
      <w:r>
        <w:tab/>
      </w:r>
      <w:r>
        <w:fldChar w:fldCharType="begin"/>
      </w:r>
      <w:r>
        <w:instrText xml:space="preserve"> PAGEREF _Toc9510 \h </w:instrText>
      </w:r>
      <w:r>
        <w:fldChar w:fldCharType="separate"/>
      </w:r>
      <w:r>
        <w:t>54</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_Toc1266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第七部分  售后服务及培训方案</w:t>
      </w:r>
      <w:r>
        <w:tab/>
      </w:r>
      <w:r>
        <w:fldChar w:fldCharType="begin"/>
      </w:r>
      <w:r>
        <w:instrText xml:space="preserve"> PAGEREF _Toc1266 \h </w:instrText>
      </w:r>
      <w:r>
        <w:fldChar w:fldCharType="separate"/>
      </w:r>
      <w:r>
        <w:t>55</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_Toc19708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第八部分  业绩一览表</w:t>
      </w:r>
      <w:r>
        <w:tab/>
      </w:r>
      <w:r>
        <w:fldChar w:fldCharType="begin"/>
      </w:r>
      <w:r>
        <w:instrText xml:space="preserve"> PAGEREF _Toc19708 \h </w:instrText>
      </w:r>
      <w:r>
        <w:fldChar w:fldCharType="separate"/>
      </w:r>
      <w:r>
        <w:t>56</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_Toc260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第九部分  供应商认为有必要说明的其他问题</w:t>
      </w:r>
      <w:r>
        <w:tab/>
      </w:r>
      <w:r>
        <w:fldChar w:fldCharType="begin"/>
      </w:r>
      <w:r>
        <w:instrText xml:space="preserve"> PAGEREF _Toc260 \h </w:instrText>
      </w:r>
      <w:r>
        <w:fldChar w:fldCharType="separate"/>
      </w:r>
      <w:r>
        <w:t>57</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_Toc14632 </w:instrText>
      </w:r>
      <w:r>
        <w:rPr>
          <w:rFonts w:hint="eastAsia" w:asciiTheme="minorEastAsia" w:hAnsiTheme="minorEastAsia" w:eastAsiaTheme="minorEastAsia" w:cstheme="minorEastAsia"/>
          <w:szCs w:val="24"/>
        </w:rPr>
        <w:fldChar w:fldCharType="separate"/>
      </w:r>
      <w:r>
        <w:rPr>
          <w:rFonts w:hint="eastAsia"/>
        </w:rPr>
        <w:t>附件一、封袋正面标识式样</w:t>
      </w:r>
      <w:r>
        <w:tab/>
      </w:r>
      <w:r>
        <w:fldChar w:fldCharType="begin"/>
      </w:r>
      <w:r>
        <w:instrText xml:space="preserve"> PAGEREF _Toc14632 \h </w:instrText>
      </w:r>
      <w:r>
        <w:fldChar w:fldCharType="separate"/>
      </w:r>
      <w:r>
        <w:t>58</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_Toc27124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rPr>
        <w:t>附件二、中小企业申明</w:t>
      </w:r>
      <w:r>
        <w:tab/>
      </w:r>
      <w:r>
        <w:fldChar w:fldCharType="begin"/>
      </w:r>
      <w:r>
        <w:instrText xml:space="preserve"> PAGEREF _Toc27124 \h </w:instrText>
      </w:r>
      <w:r>
        <w:fldChar w:fldCharType="separate"/>
      </w:r>
      <w:r>
        <w:t>60</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_Toc2579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rPr>
        <w:t>附件三、残疾人福利性单位声明</w:t>
      </w:r>
      <w:r>
        <w:tab/>
      </w:r>
      <w:r>
        <w:fldChar w:fldCharType="begin"/>
      </w:r>
      <w:r>
        <w:instrText xml:space="preserve"> PAGEREF _Toc2579 \h </w:instrText>
      </w:r>
      <w:r>
        <w:fldChar w:fldCharType="separate"/>
      </w:r>
      <w:r>
        <w:t>61</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_Toc6048 </w:instrText>
      </w:r>
      <w:r>
        <w:rPr>
          <w:rFonts w:hint="eastAsia" w:asciiTheme="minorEastAsia" w:hAnsiTheme="minorEastAsia" w:eastAsiaTheme="minorEastAsia" w:cstheme="minorEastAsia"/>
          <w:szCs w:val="24"/>
        </w:rPr>
        <w:fldChar w:fldCharType="separate"/>
      </w:r>
      <w:r>
        <w:rPr>
          <w:rFonts w:hint="eastAsia"/>
        </w:rPr>
        <w:t>附件四、监狱企业证明文件</w:t>
      </w:r>
      <w:r>
        <w:tab/>
      </w:r>
      <w:r>
        <w:fldChar w:fldCharType="begin"/>
      </w:r>
      <w:r>
        <w:instrText xml:space="preserve"> PAGEREF _Toc6048 \h </w:instrText>
      </w:r>
      <w:r>
        <w:fldChar w:fldCharType="separate"/>
      </w:r>
      <w:r>
        <w:t>61</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_Toc21743 </w:instrText>
      </w:r>
      <w:r>
        <w:rPr>
          <w:rFonts w:hint="eastAsia" w:asciiTheme="minorEastAsia" w:hAnsiTheme="minorEastAsia" w:eastAsiaTheme="minorEastAsia" w:cstheme="minorEastAsia"/>
          <w:szCs w:val="24"/>
        </w:rPr>
        <w:fldChar w:fldCharType="separate"/>
      </w:r>
      <w:r>
        <w:rPr>
          <w:rFonts w:hint="eastAsia" w:ascii="宋体" w:hAnsi="宋体" w:cs="宋体"/>
        </w:rPr>
        <w:t>附件五、“节能产品”，“环境标志产品”证明材料</w:t>
      </w:r>
      <w:r>
        <w:tab/>
      </w:r>
      <w:r>
        <w:fldChar w:fldCharType="begin"/>
      </w:r>
      <w:r>
        <w:instrText xml:space="preserve"> PAGEREF _Toc21743 \h </w:instrText>
      </w:r>
      <w:r>
        <w:fldChar w:fldCharType="separate"/>
      </w:r>
      <w:r>
        <w:t>61</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_Toc7181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rPr>
        <w:t>附件六、质疑函样本</w:t>
      </w:r>
      <w:r>
        <w:tab/>
      </w:r>
      <w:r>
        <w:fldChar w:fldCharType="begin"/>
      </w:r>
      <w:r>
        <w:instrText xml:space="preserve"> PAGEREF _Toc7181 \h </w:instrText>
      </w:r>
      <w:r>
        <w:fldChar w:fldCharType="separate"/>
      </w:r>
      <w:r>
        <w:t>62</w:t>
      </w:r>
      <w:r>
        <w:fldChar w:fldCharType="end"/>
      </w:r>
      <w:r>
        <w:rPr>
          <w:rFonts w:hint="eastAsia" w:asciiTheme="minorEastAsia" w:hAnsiTheme="minorEastAsia" w:eastAsiaTheme="minorEastAsia" w:cstheme="minorEastAsia"/>
          <w:szCs w:val="24"/>
        </w:rPr>
        <w:fldChar w:fldCharType="end"/>
      </w:r>
    </w:p>
    <w:p>
      <w:pPr>
        <w:pStyle w:val="19"/>
        <w:tabs>
          <w:tab w:val="right" w:leader="dot" w:pos="8306"/>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_Toc30404 </w:instrText>
      </w:r>
      <w:r>
        <w:rPr>
          <w:rFonts w:hint="eastAsia"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rPr>
        <w:t>附件七、保证金退还账户信息确认表</w:t>
      </w:r>
      <w:r>
        <w:tab/>
      </w:r>
      <w:r>
        <w:fldChar w:fldCharType="begin"/>
      </w:r>
      <w:r>
        <w:instrText xml:space="preserve"> PAGEREF _Toc30404 \h </w:instrText>
      </w:r>
      <w:r>
        <w:fldChar w:fldCharType="separate"/>
      </w:r>
      <w:r>
        <w:t>63</w:t>
      </w:r>
      <w:r>
        <w:fldChar w:fldCharType="end"/>
      </w:r>
      <w:r>
        <w:rPr>
          <w:rFonts w:hint="eastAsia" w:asciiTheme="minorEastAsia" w:hAnsiTheme="minorEastAsia" w:eastAsiaTheme="minorEastAsia" w:cstheme="minorEastAsia"/>
          <w:szCs w:val="24"/>
        </w:rPr>
        <w:fldChar w:fldCharType="end"/>
      </w:r>
    </w:p>
    <w:p>
      <w:pPr>
        <w:pStyle w:val="3"/>
        <w:spacing w:line="300" w:lineRule="auto"/>
        <w:rPr>
          <w:rFonts w:asciiTheme="minorEastAsia" w:hAnsiTheme="minorEastAsia" w:eastAsiaTheme="minorEastAsia" w:cstheme="minorEastAsia"/>
          <w:szCs w:val="24"/>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szCs w:val="24"/>
        </w:rPr>
        <w:fldChar w:fldCharType="end"/>
      </w:r>
      <w:bookmarkStart w:id="232" w:name="_GoBack"/>
      <w:bookmarkEnd w:id="232"/>
    </w:p>
    <w:p>
      <w:pPr>
        <w:pStyle w:val="3"/>
        <w:spacing w:before="156" w:beforeLines="50" w:after="156" w:afterLines="50" w:line="240" w:lineRule="auto"/>
        <w:rPr>
          <w:rFonts w:asciiTheme="minorEastAsia" w:hAnsiTheme="minorEastAsia" w:eastAsiaTheme="minorEastAsia" w:cstheme="minorEastAsia"/>
          <w:sz w:val="36"/>
          <w:szCs w:val="36"/>
        </w:rPr>
      </w:pPr>
      <w:bookmarkStart w:id="1" w:name="_Toc21359"/>
      <w:bookmarkStart w:id="2" w:name="_Toc19428"/>
      <w:bookmarkStart w:id="3" w:name="_Toc3711"/>
      <w:bookmarkStart w:id="4" w:name="_Toc26575"/>
      <w:bookmarkStart w:id="5" w:name="_Toc22714"/>
      <w:bookmarkStart w:id="6" w:name="_Toc9001"/>
      <w:r>
        <w:rPr>
          <w:rFonts w:hint="eastAsia" w:asciiTheme="minorEastAsia" w:hAnsiTheme="minorEastAsia" w:eastAsiaTheme="minorEastAsia" w:cstheme="minorEastAsia"/>
          <w:sz w:val="36"/>
          <w:szCs w:val="36"/>
        </w:rPr>
        <w:t>第一部分  公开招标公告</w:t>
      </w:r>
      <w:bookmarkEnd w:id="1"/>
      <w:bookmarkEnd w:id="2"/>
      <w:bookmarkEnd w:id="3"/>
      <w:bookmarkEnd w:id="4"/>
      <w:bookmarkEnd w:id="5"/>
      <w:bookmarkEnd w:id="6"/>
    </w:p>
    <w:p>
      <w:pPr>
        <w:widowControl/>
        <w:wordWrap w:val="0"/>
        <w:snapToGrid w:val="0"/>
        <w:spacing w:line="288" w:lineRule="auto"/>
        <w:ind w:right="-92" w:rightChars="-44" w:firstLine="480" w:firstLineChars="200"/>
        <w:jc w:val="left"/>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kern w:val="0"/>
          <w:sz w:val="24"/>
          <w:szCs w:val="24"/>
        </w:rPr>
        <w:t>陕西万泽招标有限公司受</w:t>
      </w:r>
      <w:r>
        <w:rPr>
          <w:rFonts w:hint="eastAsia" w:asciiTheme="minorEastAsia" w:hAnsiTheme="minorEastAsia" w:eastAsiaTheme="minorEastAsia" w:cstheme="minorEastAsia"/>
          <w:kern w:val="0"/>
          <w:sz w:val="24"/>
          <w:szCs w:val="24"/>
          <w:lang w:eastAsia="zh-CN"/>
        </w:rPr>
        <w:t>陕西科技大学</w:t>
      </w:r>
      <w:r>
        <w:rPr>
          <w:rFonts w:hint="eastAsia" w:asciiTheme="minorEastAsia" w:hAnsiTheme="minorEastAsia" w:eastAsiaTheme="minorEastAsia" w:cstheme="minorEastAsia"/>
          <w:kern w:val="0"/>
          <w:sz w:val="24"/>
          <w:szCs w:val="24"/>
        </w:rPr>
        <w:t>的委托，按照政府采购程序，就</w:t>
      </w:r>
      <w:r>
        <w:rPr>
          <w:rFonts w:hint="eastAsia" w:ascii="宋体" w:hAnsi="宋体" w:cs="宋体"/>
          <w:kern w:val="0"/>
          <w:sz w:val="24"/>
          <w:szCs w:val="24"/>
          <w:lang w:eastAsia="zh-CN"/>
        </w:rPr>
        <w:t>陕西科技大学实训楼有线无线网络建设项目</w:t>
      </w:r>
      <w:r>
        <w:rPr>
          <w:rFonts w:hint="eastAsia" w:asciiTheme="minorEastAsia" w:hAnsiTheme="minorEastAsia" w:eastAsiaTheme="minorEastAsia" w:cstheme="minorEastAsia"/>
          <w:kern w:val="0"/>
          <w:sz w:val="24"/>
          <w:szCs w:val="24"/>
        </w:rPr>
        <w:t>进行公开招标，欢迎符合资格条件的、有能力提供本次项目所需货物、服务或工程的供货商参加投标。</w:t>
      </w:r>
    </w:p>
    <w:p>
      <w:pPr>
        <w:widowControl/>
        <w:numPr>
          <w:ilvl w:val="0"/>
          <w:numId w:val="1"/>
        </w:numPr>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项目名称：</w:t>
      </w:r>
      <w:r>
        <w:rPr>
          <w:rFonts w:hint="eastAsia" w:asciiTheme="minorEastAsia" w:hAnsiTheme="minorEastAsia" w:eastAsiaTheme="minorEastAsia" w:cstheme="minorEastAsia"/>
          <w:kern w:val="0"/>
          <w:sz w:val="24"/>
          <w:szCs w:val="24"/>
          <w:lang w:eastAsia="zh-CN"/>
        </w:rPr>
        <w:t>陕西科技大学实训楼有线无线网络建设项目</w:t>
      </w:r>
    </w:p>
    <w:p>
      <w:pPr>
        <w:widowControl/>
        <w:numPr>
          <w:ilvl w:val="0"/>
          <w:numId w:val="1"/>
        </w:numPr>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项目编号：</w:t>
      </w:r>
      <w:r>
        <w:rPr>
          <w:rFonts w:hint="eastAsia" w:asciiTheme="minorEastAsia" w:hAnsiTheme="minorEastAsia" w:eastAsiaTheme="minorEastAsia" w:cstheme="minorEastAsia"/>
          <w:kern w:val="0"/>
          <w:sz w:val="24"/>
          <w:szCs w:val="24"/>
          <w:lang w:eastAsia="zh-CN"/>
        </w:rPr>
        <w:t>SXWZ2022ZB-SKD-135</w:t>
      </w:r>
    </w:p>
    <w:p>
      <w:pPr>
        <w:widowControl/>
        <w:numPr>
          <w:ilvl w:val="0"/>
          <w:numId w:val="1"/>
        </w:numPr>
        <w:wordWrap w:val="0"/>
        <w:snapToGrid w:val="0"/>
        <w:spacing w:line="288" w:lineRule="auto"/>
        <w:ind w:firstLine="480" w:firstLineChars="200"/>
        <w:jc w:val="left"/>
        <w:rPr>
          <w:rFonts w:asciiTheme="minorEastAsia" w:hAnsiTheme="minorEastAsia" w:eastAsiaTheme="minorEastAsia" w:cstheme="minorEastAsia"/>
          <w:kern w:val="0"/>
          <w:sz w:val="24"/>
          <w:szCs w:val="24"/>
        </w:rPr>
      </w:pPr>
      <w:bookmarkStart w:id="7" w:name="OLE_LINK2"/>
      <w:r>
        <w:rPr>
          <w:rFonts w:hint="eastAsia" w:asciiTheme="minorEastAsia" w:hAnsiTheme="minorEastAsia" w:eastAsiaTheme="minorEastAsia" w:cstheme="minorEastAsia"/>
          <w:kern w:val="0"/>
          <w:sz w:val="24"/>
          <w:szCs w:val="24"/>
        </w:rPr>
        <w:t>采购人名称：</w:t>
      </w:r>
      <w:r>
        <w:rPr>
          <w:rFonts w:hint="eastAsia" w:asciiTheme="minorEastAsia" w:hAnsiTheme="minorEastAsia" w:eastAsiaTheme="minorEastAsia" w:cstheme="minorEastAsia"/>
          <w:kern w:val="0"/>
          <w:sz w:val="24"/>
          <w:szCs w:val="24"/>
          <w:lang w:eastAsia="zh-CN"/>
        </w:rPr>
        <w:t>陕西科技大学</w:t>
      </w:r>
    </w:p>
    <w:p>
      <w:pPr>
        <w:widowControl/>
        <w:wordWrap w:val="0"/>
        <w:snapToGrid w:val="0"/>
        <w:spacing w:line="288" w:lineRule="auto"/>
        <w:ind w:firstLine="960" w:firstLineChars="4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地址：</w:t>
      </w:r>
      <w:r>
        <w:rPr>
          <w:rFonts w:hint="eastAsia" w:asciiTheme="minorEastAsia" w:hAnsiTheme="minorEastAsia" w:eastAsiaTheme="minorEastAsia" w:cstheme="minorEastAsia"/>
          <w:kern w:val="0"/>
          <w:sz w:val="24"/>
          <w:szCs w:val="24"/>
          <w:lang w:eastAsia="zh-CN"/>
        </w:rPr>
        <w:t>西安市未央区大学园区</w:t>
      </w:r>
    </w:p>
    <w:p>
      <w:pPr>
        <w:widowControl/>
        <w:numPr>
          <w:ilvl w:val="0"/>
          <w:numId w:val="0"/>
        </w:numPr>
        <w:tabs>
          <w:tab w:val="left" w:pos="1620"/>
        </w:tabs>
        <w:wordWrap w:val="0"/>
        <w:snapToGrid w:val="0"/>
        <w:spacing w:line="288" w:lineRule="auto"/>
        <w:ind w:firstLine="960" w:firstLineChars="4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联系方式：</w:t>
      </w:r>
      <w:r>
        <w:rPr>
          <w:rFonts w:hint="eastAsia" w:asciiTheme="minorEastAsia" w:hAnsiTheme="minorEastAsia" w:eastAsiaTheme="minorEastAsia" w:cstheme="minorEastAsia"/>
          <w:kern w:val="0"/>
          <w:sz w:val="24"/>
          <w:szCs w:val="24"/>
          <w:lang w:eastAsia="zh-CN"/>
        </w:rPr>
        <w:t>029-</w:t>
      </w:r>
      <w:bookmarkEnd w:id="7"/>
      <w:r>
        <w:rPr>
          <w:rFonts w:hint="eastAsia" w:asciiTheme="minorEastAsia" w:hAnsiTheme="minorEastAsia" w:eastAsiaTheme="minorEastAsia" w:cstheme="minorEastAsia"/>
          <w:kern w:val="0"/>
          <w:sz w:val="24"/>
          <w:szCs w:val="24"/>
          <w:lang w:eastAsia="zh-CN"/>
        </w:rPr>
        <w:t>8616837</w:t>
      </w:r>
      <w:r>
        <w:rPr>
          <w:rFonts w:hint="eastAsia" w:asciiTheme="minorEastAsia" w:hAnsiTheme="minorEastAsia" w:eastAsiaTheme="minorEastAsia" w:cstheme="minorEastAsia"/>
          <w:kern w:val="0"/>
          <w:sz w:val="24"/>
          <w:szCs w:val="24"/>
          <w:lang w:val="en-US" w:eastAsia="zh-CN"/>
        </w:rPr>
        <w:t>6</w:t>
      </w:r>
    </w:p>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采购代理机构名称：陕西万泽招标有限公司</w:t>
      </w:r>
    </w:p>
    <w:p>
      <w:pPr>
        <w:widowControl/>
        <w:wordWrap w:val="0"/>
        <w:snapToGrid w:val="0"/>
        <w:spacing w:line="288" w:lineRule="auto"/>
        <w:ind w:firstLine="960" w:firstLineChars="4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地址：西安市莲湖区西关正街英达大厦1507室</w:t>
      </w:r>
    </w:p>
    <w:p>
      <w:pPr>
        <w:widowControl/>
        <w:wordWrap w:val="0"/>
        <w:snapToGrid w:val="0"/>
        <w:spacing w:line="288" w:lineRule="auto"/>
        <w:ind w:firstLine="960" w:firstLineChars="4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联系方式：029-88319689-80</w:t>
      </w:r>
      <w:r>
        <w:rPr>
          <w:rFonts w:hint="eastAsia" w:asciiTheme="minorEastAsia" w:hAnsiTheme="minorEastAsia" w:eastAsiaTheme="minorEastAsia" w:cstheme="minorEastAsia"/>
          <w:kern w:val="0"/>
          <w:sz w:val="24"/>
          <w:szCs w:val="24"/>
          <w:lang w:val="en-US" w:eastAsia="zh-CN"/>
        </w:rPr>
        <w:t>6</w:t>
      </w:r>
    </w:p>
    <w:p>
      <w:pPr>
        <w:widowControl/>
        <w:numPr>
          <w:ilvl w:val="0"/>
          <w:numId w:val="1"/>
        </w:numPr>
        <w:tabs>
          <w:tab w:val="left" w:pos="1620"/>
        </w:tabs>
        <w:wordWrap w:val="0"/>
        <w:snapToGrid w:val="0"/>
        <w:spacing w:line="288"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采购内容和要求：</w:t>
      </w:r>
    </w:p>
    <w:p>
      <w:pPr>
        <w:spacing w:line="360" w:lineRule="auto"/>
        <w:ind w:firstLine="960" w:firstLineChars="400"/>
        <w:outlineLvl w:val="9"/>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采购内容：</w:t>
      </w:r>
      <w:r>
        <w:rPr>
          <w:rFonts w:hint="eastAsia" w:asciiTheme="minorEastAsia" w:hAnsiTheme="minorEastAsia" w:eastAsiaTheme="minorEastAsia" w:cstheme="minorEastAsia"/>
          <w:kern w:val="0"/>
          <w:sz w:val="24"/>
          <w:szCs w:val="24"/>
          <w:lang w:eastAsia="zh-CN"/>
        </w:rPr>
        <w:t>实训楼有线无线网络建设项目</w:t>
      </w:r>
    </w:p>
    <w:p>
      <w:pPr>
        <w:spacing w:line="360" w:lineRule="auto"/>
        <w:ind w:firstLine="960" w:firstLineChars="400"/>
        <w:outlineLvl w:val="9"/>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采购预算：</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175万元</w:t>
      </w:r>
    </w:p>
    <w:p>
      <w:pPr>
        <w:spacing w:line="360" w:lineRule="auto"/>
        <w:ind w:firstLine="960" w:firstLineChars="400"/>
        <w:outlineLvl w:val="9"/>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项目性质：财政资金</w:t>
      </w:r>
    </w:p>
    <w:p>
      <w:pPr>
        <w:spacing w:line="360" w:lineRule="auto"/>
        <w:ind w:firstLine="960" w:firstLineChars="400"/>
        <w:outlineLvl w:val="9"/>
        <w:rPr>
          <w:rFonts w:hint="default"/>
          <w:b w:val="0"/>
          <w:bCs w:val="0"/>
          <w:lang w:val="en-US" w:eastAsia="zh-CN"/>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项目用途：自用</w:t>
      </w:r>
    </w:p>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供应商资质要求：</w:t>
      </w:r>
    </w:p>
    <w:p>
      <w:pPr>
        <w:snapToGrid w:val="0"/>
        <w:spacing w:line="288" w:lineRule="auto"/>
        <w:ind w:firstLine="480" w:firstLineChars="200"/>
        <w:jc w:val="left"/>
        <w:rPr>
          <w:rFonts w:ascii="宋体" w:hAnsi="宋体" w:cs="宋体"/>
          <w:bCs/>
          <w:sz w:val="24"/>
          <w:szCs w:val="24"/>
        </w:rPr>
      </w:pPr>
      <w:r>
        <w:rPr>
          <w:rFonts w:hint="eastAsia" w:ascii="宋体" w:hAnsi="宋体" w:cs="宋体"/>
          <w:bCs/>
          <w:sz w:val="24"/>
          <w:szCs w:val="24"/>
        </w:rPr>
        <w:t>符合《中华人民共和国政府采购法》第二十二条规定，并提供以下材料：</w:t>
      </w:r>
    </w:p>
    <w:p>
      <w:pPr>
        <w:numPr>
          <w:ilvl w:val="0"/>
          <w:numId w:val="2"/>
        </w:num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具有独立承担民事责任能力的法人、其他组织或自然人，并出具合法有效的营业执照或事业单位法人证书等国家规定的相关证明，自然人参与的提供其身份证明；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2、社会保障资金缴纳证明：供应商提供本单位2022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3、税收缴纳证明：供应商提供本单位2022年1月至今已缴纳的至少一个月纳税证明或完税证明，依法免税的单位应提供相关证明材料； </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 xml:space="preserve">4、财务状况证明：提供本单位经会计师事务所审计的2020年或2021年任意一年的财务审计报告或在开标日期前六个月内其基本开户银行出具的资信证明；  </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5、供应商应出具参加本次政府采购活动前3年内在经营活动中没有重大违法违纪，以及未被列入失信被执行人、重大税收违法案件当事人名单、政府采购严重违法失信行为记录名单的书面声明；</w:t>
      </w:r>
    </w:p>
    <w:p>
      <w:pPr>
        <w:pStyle w:val="2"/>
        <w:spacing w:line="360" w:lineRule="auto"/>
        <w:ind w:firstLine="480" w:firstLineChars="200"/>
        <w:rPr>
          <w:rFonts w:hint="eastAsia" w:ascii="宋体" w:hAnsi="宋体" w:cs="宋体"/>
          <w:bCs/>
          <w:sz w:val="24"/>
          <w:szCs w:val="24"/>
        </w:rPr>
      </w:pPr>
      <w:r>
        <w:rPr>
          <w:rFonts w:hint="eastAsia" w:ascii="宋体" w:hAnsi="宋体" w:cs="宋体"/>
          <w:bCs/>
          <w:sz w:val="24"/>
          <w:szCs w:val="24"/>
        </w:rPr>
        <w:t>6、非法定代表人参加投标，须提供法定代表人授权委托书及被授权人身份证原件；法定代表人参加投标时,只须提供法定代表人身份证原件；</w:t>
      </w:r>
    </w:p>
    <w:p>
      <w:pPr>
        <w:pStyle w:val="2"/>
        <w:spacing w:line="360" w:lineRule="auto"/>
        <w:ind w:firstLine="480" w:firstLineChars="200"/>
        <w:rPr>
          <w:rFonts w:hint="eastAsia" w:ascii="宋体" w:hAnsi="宋体" w:cs="宋体"/>
          <w:bCs/>
          <w:sz w:val="24"/>
          <w:szCs w:val="24"/>
        </w:rPr>
      </w:pPr>
      <w:r>
        <w:rPr>
          <w:rFonts w:hint="eastAsia" w:ascii="宋体" w:hAnsi="宋体" w:cs="宋体"/>
          <w:bCs/>
          <w:sz w:val="24"/>
          <w:szCs w:val="24"/>
        </w:rPr>
        <w:t>7、供应商须提供投标保证金汇款凭证或担保机构出具的保函；</w:t>
      </w:r>
    </w:p>
    <w:p>
      <w:pPr>
        <w:widowControl/>
        <w:numPr>
          <w:ilvl w:val="0"/>
          <w:numId w:val="0"/>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宋体" w:hAnsi="宋体" w:cs="宋体"/>
          <w:bCs/>
          <w:sz w:val="24"/>
          <w:szCs w:val="24"/>
        </w:rPr>
        <w:t>8、本项目不接受联合体投标。</w:t>
      </w:r>
    </w:p>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采购项目需要落实的政府采购政策：</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依据《中华人民共和国政府采购法》和《中华人民共和国政府采购法实施条例》的有关规定，落实政府采购“优先购买节能环保产品、扶持小微企业、监狱企业、福利企业” 等相关政策。</w:t>
      </w:r>
    </w:p>
    <w:p>
      <w:pPr>
        <w:numPr>
          <w:ilvl w:val="0"/>
          <w:numId w:val="3"/>
        </w:numPr>
        <w:snapToGrid w:val="0"/>
        <w:spacing w:line="288" w:lineRule="auto"/>
        <w:ind w:firstLine="480" w:firstLineChars="200"/>
        <w:rPr>
          <w:rFonts w:hint="eastAsia" w:ascii="宋体" w:hAnsi="宋体" w:cs="宋体"/>
          <w:sz w:val="24"/>
          <w:szCs w:val="24"/>
        </w:rPr>
      </w:pPr>
      <w:r>
        <w:rPr>
          <w:rFonts w:hint="eastAsia" w:ascii="宋体" w:hAnsi="宋体" w:cs="宋体"/>
          <w:color w:val="000000"/>
          <w:sz w:val="24"/>
          <w:szCs w:val="24"/>
        </w:rPr>
        <w:t>《政府采购促进中小企业发展管理办法》（财库〔2020〕46号）</w:t>
      </w:r>
      <w:r>
        <w:rPr>
          <w:rFonts w:hint="eastAsia" w:ascii="宋体" w:hAnsi="宋体" w:cs="宋体"/>
          <w:sz w:val="24"/>
          <w:szCs w:val="24"/>
        </w:rPr>
        <w:t>；</w:t>
      </w:r>
    </w:p>
    <w:p>
      <w:pPr>
        <w:numPr>
          <w:ilvl w:val="0"/>
          <w:numId w:val="3"/>
        </w:numPr>
        <w:snapToGrid w:val="0"/>
        <w:spacing w:line="288" w:lineRule="auto"/>
        <w:ind w:firstLine="480" w:firstLineChars="200"/>
        <w:rPr>
          <w:rFonts w:ascii="宋体" w:hAnsi="宋体" w:cs="宋体"/>
          <w:sz w:val="24"/>
          <w:szCs w:val="24"/>
        </w:rPr>
      </w:pPr>
      <w:r>
        <w:rPr>
          <w:rFonts w:hint="eastAsia" w:ascii="宋体" w:hAnsi="宋体" w:cs="宋体"/>
          <w:color w:val="000000"/>
          <w:sz w:val="24"/>
          <w:szCs w:val="24"/>
        </w:rPr>
        <w:t>《</w:t>
      </w:r>
      <w:r>
        <w:rPr>
          <w:rFonts w:hint="eastAsia" w:ascii="宋体" w:hAnsi="宋体" w:cs="宋体"/>
          <w:color w:val="000000"/>
          <w:sz w:val="24"/>
          <w:szCs w:val="24"/>
          <w:lang w:eastAsia="zh-CN"/>
        </w:rPr>
        <w:t>财政部关于进一步加大政府采购支持中小企业力度的通知</w:t>
      </w:r>
      <w:r>
        <w:rPr>
          <w:rFonts w:hint="eastAsia" w:ascii="宋体" w:hAnsi="宋体" w:cs="宋体"/>
          <w:color w:val="000000"/>
          <w:sz w:val="24"/>
          <w:szCs w:val="24"/>
        </w:rPr>
        <w:t>》（财库〔202</w:t>
      </w:r>
      <w:r>
        <w:rPr>
          <w:rFonts w:hint="eastAsia" w:ascii="宋体" w:hAnsi="宋体" w:cs="宋体"/>
          <w:color w:val="000000"/>
          <w:sz w:val="24"/>
          <w:szCs w:val="24"/>
          <w:lang w:val="en-US" w:eastAsia="zh-CN"/>
        </w:rPr>
        <w:t>2</w:t>
      </w:r>
      <w:r>
        <w:rPr>
          <w:rFonts w:hint="eastAsia" w:ascii="宋体" w:hAnsi="宋体" w:cs="宋体"/>
          <w:color w:val="000000"/>
          <w:sz w:val="24"/>
          <w:szCs w:val="24"/>
        </w:rPr>
        <w:t>〕</w:t>
      </w:r>
      <w:r>
        <w:rPr>
          <w:rFonts w:hint="eastAsia" w:ascii="宋体" w:hAnsi="宋体" w:cs="宋体"/>
          <w:color w:val="000000"/>
          <w:sz w:val="24"/>
          <w:szCs w:val="24"/>
          <w:lang w:val="en-US" w:eastAsia="zh-CN"/>
        </w:rPr>
        <w:t>19</w:t>
      </w:r>
      <w:r>
        <w:rPr>
          <w:rFonts w:hint="eastAsia" w:ascii="宋体" w:hAnsi="宋体" w:cs="宋体"/>
          <w:color w:val="000000"/>
          <w:sz w:val="24"/>
          <w:szCs w:val="24"/>
        </w:rPr>
        <w:t>号）</w:t>
      </w:r>
      <w:r>
        <w:rPr>
          <w:rFonts w:hint="eastAsia" w:ascii="宋体" w:hAnsi="宋体" w:cs="宋体"/>
          <w:sz w:val="24"/>
          <w:szCs w:val="24"/>
        </w:rPr>
        <w:t>；</w:t>
      </w:r>
    </w:p>
    <w:p>
      <w:pPr>
        <w:snapToGrid w:val="0"/>
        <w:spacing w:line="288" w:lineRule="auto"/>
        <w:ind w:firstLine="480" w:firstLineChars="20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 xml:space="preserve">、《财政部 司法部关于政府采购支持监狱企业发展有关问题的通知》（财库〔2014〕68号）； </w:t>
      </w:r>
    </w:p>
    <w:p>
      <w:pPr>
        <w:snapToGrid w:val="0"/>
        <w:spacing w:line="288" w:lineRule="auto"/>
        <w:ind w:firstLine="480" w:firstLineChars="20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 xml:space="preserve">、《国务院办公厅关于建立政府强制采购节能产品制度的通知》（国办发〔2007〕51号）； </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5</w:t>
      </w:r>
      <w:r>
        <w:rPr>
          <w:rFonts w:hint="eastAsia" w:ascii="宋体" w:hAnsi="宋体" w:cs="宋体"/>
          <w:color w:val="000000"/>
          <w:sz w:val="24"/>
          <w:szCs w:val="24"/>
        </w:rPr>
        <w:t>、《财政部发展改革委生态环境部市场监督总局关于调整优化节能产品、环境标志产品政府采购执行机制的通知》（财库[2019]9号）；</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6</w:t>
      </w:r>
      <w:r>
        <w:rPr>
          <w:rFonts w:hint="eastAsia" w:ascii="宋体" w:hAnsi="宋体" w:cs="宋体"/>
          <w:color w:val="000000"/>
          <w:sz w:val="24"/>
          <w:szCs w:val="24"/>
        </w:rPr>
        <w:t>、《市场监督总局关于发布参与实施政府采购节能产品、环境标志产品认证机构名录的公告》（2019年第16号）；</w:t>
      </w:r>
    </w:p>
    <w:p>
      <w:pPr>
        <w:snapToGrid w:val="0"/>
        <w:spacing w:line="288" w:lineRule="auto"/>
        <w:ind w:firstLine="480" w:firstLineChars="200"/>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、《三部门联合发布关于促进残疾人就业政府采购政策的通知》（财库〔2017〕141号）。</w:t>
      </w:r>
    </w:p>
    <w:p>
      <w:pPr>
        <w:widowControl/>
        <w:numPr>
          <w:ilvl w:val="0"/>
          <w:numId w:val="0"/>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宋体" w:hAnsi="宋体" w:cs="宋体"/>
          <w:sz w:val="24"/>
          <w:szCs w:val="24"/>
          <w:lang w:val="en-US" w:eastAsia="zh-CN"/>
        </w:rPr>
        <w:t>8</w:t>
      </w:r>
      <w:r>
        <w:rPr>
          <w:rFonts w:hint="eastAsia" w:ascii="宋体" w:hAnsi="宋体" w:cs="宋体"/>
          <w:sz w:val="24"/>
          <w:szCs w:val="24"/>
        </w:rPr>
        <w:t>、陕西省财政厅关于印发《陕西省中小企业政府采购信用融资办法》（陕财办采〔2018〕23号）。</w:t>
      </w:r>
    </w:p>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公开招标文件发售：</w:t>
      </w:r>
    </w:p>
    <w:p>
      <w:pPr>
        <w:widowControl/>
        <w:wordWrap w:val="0"/>
        <w:snapToGrid w:val="0"/>
        <w:spacing w:line="288" w:lineRule="auto"/>
        <w:ind w:firstLine="480" w:firstLineChars="200"/>
        <w:jc w:val="left"/>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kern w:val="0"/>
          <w:sz w:val="24"/>
          <w:szCs w:val="24"/>
        </w:rPr>
        <w:t>1、发售时间：</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07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日起至202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07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19</w:t>
      </w:r>
      <w:r>
        <w:rPr>
          <w:rFonts w:hint="eastAsia" w:asciiTheme="minorEastAsia" w:hAnsiTheme="minorEastAsia" w:eastAsiaTheme="minorEastAsia" w:cstheme="minorEastAsia"/>
          <w:sz w:val="24"/>
          <w:szCs w:val="24"/>
        </w:rPr>
        <w:t>日止</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（上午09:00～12:00，下午14:00～17:00发售,法定节假日除外）</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2、发售地点：西安市莲湖区西关正街英达大厦1507室</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3、文件售价：</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00元/</w:t>
      </w:r>
      <w:r>
        <w:rPr>
          <w:rFonts w:hint="eastAsia" w:asciiTheme="minorEastAsia" w:hAnsiTheme="minorEastAsia" w:eastAsiaTheme="minorEastAsia" w:cstheme="minorEastAsia"/>
          <w:kern w:val="0"/>
          <w:sz w:val="24"/>
          <w:szCs w:val="24"/>
          <w:lang w:eastAsia="zh-CN"/>
        </w:rPr>
        <w:t>套</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现金购买，</w:t>
      </w:r>
      <w:r>
        <w:rPr>
          <w:rFonts w:hint="eastAsia" w:asciiTheme="minorEastAsia" w:hAnsiTheme="minorEastAsia" w:eastAsiaTheme="minorEastAsia" w:cstheme="minorEastAsia"/>
          <w:kern w:val="0"/>
          <w:sz w:val="24"/>
          <w:szCs w:val="24"/>
        </w:rPr>
        <w:t>售后不退，谢绝邮寄。</w:t>
      </w:r>
    </w:p>
    <w:p>
      <w:pPr>
        <w:widowControl/>
        <w:wordWrap w:val="0"/>
        <w:snapToGrid w:val="0"/>
        <w:spacing w:line="288" w:lineRule="auto"/>
        <w:ind w:right="-199" w:rightChars="-95"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注：购买招标文件时请携带单位介绍信原件、身份证原件及复印件加盖公章。</w:t>
      </w:r>
    </w:p>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投标文件递交截止时间及开标时间和地点：</w:t>
      </w:r>
    </w:p>
    <w:p>
      <w:pPr>
        <w:widowControl/>
        <w:tabs>
          <w:tab w:val="left" w:pos="0"/>
        </w:tabs>
        <w:wordWrap w:val="0"/>
        <w:snapToGrid w:val="0"/>
        <w:spacing w:line="288" w:lineRule="auto"/>
        <w:ind w:firstLine="480" w:firstLineChars="200"/>
        <w:jc w:val="left"/>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kern w:val="0"/>
          <w:sz w:val="24"/>
          <w:szCs w:val="24"/>
        </w:rPr>
        <w:t>1、投标文件递交截止时间：202</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sz w:val="24"/>
          <w:szCs w:val="24"/>
          <w:lang w:val="en-US" w:eastAsia="zh-CN"/>
        </w:rPr>
        <w:t>08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02</w:t>
      </w:r>
      <w:r>
        <w:rPr>
          <w:rFonts w:hint="eastAsia" w:asciiTheme="minorEastAsia" w:hAnsiTheme="minorEastAsia" w:eastAsiaTheme="minorEastAsia" w:cstheme="minorEastAsia"/>
          <w:sz w:val="24"/>
          <w:szCs w:val="24"/>
        </w:rPr>
        <w:t>日14:</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kern w:val="0"/>
          <w:sz w:val="24"/>
          <w:szCs w:val="24"/>
        </w:rPr>
        <w:t>（北京时间）；</w:t>
      </w:r>
    </w:p>
    <w:p>
      <w:pPr>
        <w:widowControl/>
        <w:tabs>
          <w:tab w:val="left" w:pos="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2、开标时间：202</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sz w:val="24"/>
          <w:szCs w:val="24"/>
          <w:lang w:val="en-US" w:eastAsia="zh-CN"/>
        </w:rPr>
        <w:t>08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02</w:t>
      </w:r>
      <w:r>
        <w:rPr>
          <w:rFonts w:hint="eastAsia" w:asciiTheme="minorEastAsia" w:hAnsiTheme="minorEastAsia" w:eastAsiaTheme="minorEastAsia" w:cstheme="minorEastAsia"/>
          <w:sz w:val="24"/>
          <w:szCs w:val="24"/>
        </w:rPr>
        <w:t>日14:</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kern w:val="0"/>
          <w:sz w:val="24"/>
          <w:szCs w:val="24"/>
        </w:rPr>
        <w:t>（北京时间）；</w:t>
      </w:r>
    </w:p>
    <w:p>
      <w:pPr>
        <w:widowControl/>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3、开标地点：西安市莲湖区西关正街英达大厦</w:t>
      </w:r>
      <w:r>
        <w:rPr>
          <w:rFonts w:hint="eastAsia" w:asciiTheme="minorEastAsia" w:hAnsiTheme="minorEastAsia" w:eastAsiaTheme="minorEastAsia" w:cstheme="minorEastAsia"/>
          <w:kern w:val="0"/>
          <w:sz w:val="24"/>
          <w:szCs w:val="24"/>
          <w:lang w:val="en-US" w:eastAsia="zh-CN"/>
        </w:rPr>
        <w:t>1503</w:t>
      </w:r>
      <w:r>
        <w:rPr>
          <w:rFonts w:hint="eastAsia" w:asciiTheme="minorEastAsia" w:hAnsiTheme="minorEastAsia" w:eastAsiaTheme="minorEastAsia" w:cstheme="minorEastAsia"/>
          <w:kern w:val="0"/>
          <w:sz w:val="24"/>
          <w:szCs w:val="24"/>
        </w:rPr>
        <w:t>会议室</w:t>
      </w:r>
    </w:p>
    <w:p>
      <w:pPr>
        <w:widowControl/>
        <w:numPr>
          <w:ilvl w:val="0"/>
          <w:numId w:val="1"/>
        </w:numPr>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其它应说明的事项：</w:t>
      </w:r>
    </w:p>
    <w:p>
      <w:pPr>
        <w:widowControl/>
        <w:numPr>
          <w:ilvl w:val="0"/>
          <w:numId w:val="4"/>
        </w:numPr>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采购项目联系人：张刘艳  郝思思</w:t>
      </w:r>
      <w:r>
        <w:rPr>
          <w:rFonts w:hint="eastAsia" w:asciiTheme="minorEastAsia" w:hAnsiTheme="minorEastAsia" w:eastAsiaTheme="minorEastAsia" w:cstheme="minorEastAsia"/>
          <w:kern w:val="0"/>
          <w:sz w:val="24"/>
          <w:szCs w:val="24"/>
          <w:lang w:val="en-US" w:eastAsia="zh-CN"/>
        </w:rPr>
        <w:t xml:space="preserve">  于晓晶</w:t>
      </w:r>
    </w:p>
    <w:p>
      <w:pPr>
        <w:widowControl/>
        <w:wordWrap w:val="0"/>
        <w:snapToGrid w:val="0"/>
        <w:spacing w:line="288" w:lineRule="auto"/>
        <w:ind w:firstLine="960" w:firstLineChars="4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联系方式（电话/传真）：029-88319689-80</w:t>
      </w:r>
      <w:r>
        <w:rPr>
          <w:rFonts w:hint="eastAsia" w:asciiTheme="minorEastAsia" w:hAnsiTheme="minorEastAsia" w:eastAsiaTheme="minorEastAsia" w:cstheme="minorEastAsia"/>
          <w:kern w:val="0"/>
          <w:sz w:val="24"/>
          <w:szCs w:val="24"/>
          <w:lang w:val="en-US" w:eastAsia="zh-CN"/>
        </w:rPr>
        <w:t>6</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2、采购代理机构开户名称：陕西万泽招标有限公司</w:t>
      </w:r>
    </w:p>
    <w:p>
      <w:pPr>
        <w:widowControl/>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3、开户行名称：西安银行朝阳门支行</w:t>
      </w:r>
    </w:p>
    <w:p>
      <w:pPr>
        <w:widowControl/>
        <w:tabs>
          <w:tab w:val="left" w:pos="0"/>
        </w:tabs>
        <w:wordWrap w:val="0"/>
        <w:snapToGrid w:val="0"/>
        <w:spacing w:line="288" w:lineRule="auto"/>
        <w:ind w:firstLine="960" w:firstLineChars="4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账      号：211011580000015489</w:t>
      </w:r>
    </w:p>
    <w:p>
      <w:pPr>
        <w:pStyle w:val="21"/>
        <w:snapToGrid w:val="0"/>
        <w:spacing w:before="0" w:beforeAutospacing="0" w:after="0" w:afterAutospacing="0" w:line="288" w:lineRule="auto"/>
        <w:ind w:firstLine="420" w:firstLineChars="175"/>
        <w:rPr>
          <w:rFonts w:asciiTheme="minorEastAsia" w:hAnsiTheme="minorEastAsia" w:eastAsiaTheme="minorEastAsia" w:cstheme="minorEastAsia"/>
        </w:rPr>
      </w:pPr>
      <w:r>
        <w:rPr>
          <w:rFonts w:hint="eastAsia" w:asciiTheme="minorEastAsia" w:hAnsiTheme="minorEastAsia" w:eastAsiaTheme="minorEastAsia" w:cstheme="minorEastAsia"/>
        </w:rPr>
        <w:t>十一、公告期自发布起五个工作日。</w:t>
      </w:r>
    </w:p>
    <w:p>
      <w:pPr>
        <w:widowControl/>
        <w:tabs>
          <w:tab w:val="left" w:pos="1620"/>
        </w:tabs>
        <w:snapToGrid w:val="0"/>
        <w:spacing w:line="288" w:lineRule="auto"/>
        <w:ind w:firstLine="420" w:firstLineChars="175"/>
        <w:jc w:val="righ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陕西万泽招标有限公司</w:t>
      </w:r>
    </w:p>
    <w:p>
      <w:pPr>
        <w:widowControl/>
        <w:tabs>
          <w:tab w:val="left" w:pos="1620"/>
        </w:tabs>
        <w:snapToGrid w:val="0"/>
        <w:spacing w:line="288" w:lineRule="auto"/>
        <w:ind w:firstLine="420" w:firstLineChars="175"/>
        <w:jc w:val="righ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202</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lang w:val="en-US" w:eastAsia="zh-CN"/>
        </w:rPr>
        <w:t>07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日</w:t>
      </w:r>
    </w:p>
    <w:p>
      <w:pPr>
        <w:spacing w:before="312" w:beforeLines="100" w:after="156" w:afterLines="50" w:line="600" w:lineRule="exact"/>
        <w:rPr>
          <w:rFonts w:asciiTheme="minorEastAsia" w:hAnsiTheme="minorEastAsia" w:eastAsiaTheme="minorEastAsia" w:cstheme="minorEastAsia"/>
          <w:sz w:val="36"/>
          <w:szCs w:val="36"/>
        </w:rPr>
      </w:pPr>
      <w:bookmarkStart w:id="8" w:name="_Toc3710"/>
      <w:bookmarkStart w:id="9" w:name="_Toc11268"/>
      <w:bookmarkStart w:id="10" w:name="_Toc11512"/>
      <w:bookmarkStart w:id="11" w:name="_Toc30089"/>
      <w:bookmarkStart w:id="12" w:name="_Toc438048787"/>
      <w:bookmarkStart w:id="13" w:name="_Toc10977"/>
    </w:p>
    <w:p>
      <w:pP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br w:type="page"/>
      </w:r>
    </w:p>
    <w:p>
      <w:pPr>
        <w:pStyle w:val="3"/>
        <w:spacing w:before="312" w:beforeLines="100" w:after="156" w:afterLines="50" w:line="600" w:lineRule="exact"/>
        <w:rPr>
          <w:rFonts w:asciiTheme="minorEastAsia" w:hAnsiTheme="minorEastAsia" w:eastAsiaTheme="minorEastAsia" w:cstheme="minorEastAsia"/>
          <w:sz w:val="36"/>
          <w:szCs w:val="36"/>
        </w:rPr>
      </w:pPr>
      <w:bookmarkStart w:id="14" w:name="_Toc20096"/>
      <w:r>
        <w:rPr>
          <w:rFonts w:hint="eastAsia" w:asciiTheme="minorEastAsia" w:hAnsiTheme="minorEastAsia" w:eastAsiaTheme="minorEastAsia" w:cstheme="minorEastAsia"/>
          <w:sz w:val="36"/>
          <w:szCs w:val="36"/>
        </w:rPr>
        <w:t>第二部分  供应商须知前附表</w:t>
      </w:r>
      <w:bookmarkEnd w:id="8"/>
      <w:bookmarkEnd w:id="9"/>
      <w:bookmarkEnd w:id="10"/>
      <w:bookmarkEnd w:id="11"/>
      <w:bookmarkEnd w:id="12"/>
      <w:bookmarkEnd w:id="13"/>
      <w:bookmarkEnd w:id="14"/>
    </w:p>
    <w:tbl>
      <w:tblPr>
        <w:tblStyle w:val="24"/>
        <w:tblpPr w:leftFromText="180" w:rightFromText="180" w:vertAnchor="text" w:horzAnchor="page" w:tblpX="1717" w:tblpY="527"/>
        <w:tblOverlap w:val="never"/>
        <w:tblW w:w="91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49"/>
        <w:gridCol w:w="897"/>
        <w:gridCol w:w="78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0" w:hRule="atLeast"/>
        </w:trPr>
        <w:tc>
          <w:tcPr>
            <w:tcW w:w="349" w:type="dxa"/>
          </w:tcPr>
          <w:p>
            <w:pPr>
              <w:spacing w:before="156" w:beforeLines="50" w:line="360" w:lineRule="auto"/>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897" w:type="dxa"/>
            <w:vAlign w:val="center"/>
          </w:tcPr>
          <w:p>
            <w:pPr>
              <w:spacing w:before="156" w:beforeLines="50" w:line="360" w:lineRule="auto"/>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条款</w:t>
            </w:r>
          </w:p>
        </w:tc>
        <w:tc>
          <w:tcPr>
            <w:tcW w:w="7894" w:type="dxa"/>
          </w:tcPr>
          <w:p>
            <w:pPr>
              <w:spacing w:before="156" w:beforeLines="50" w:line="360" w:lineRule="auto"/>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before="156" w:beforeLines="50" w:line="360" w:lineRule="auto"/>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1</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p>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w:t>
            </w:r>
          </w:p>
        </w:tc>
        <w:tc>
          <w:tcPr>
            <w:tcW w:w="7894" w:type="dxa"/>
            <w:vAlign w:val="center"/>
          </w:tcPr>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eastAsia="zh-CN"/>
              </w:rPr>
              <w:t>陕西科技大学实训楼有线无线网络建设项目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trPr>
        <w:tc>
          <w:tcPr>
            <w:tcW w:w="349" w:type="dxa"/>
            <w:vAlign w:val="center"/>
          </w:tcPr>
          <w:p>
            <w:pPr>
              <w:spacing w:before="156" w:beforeLines="50" w:line="360" w:lineRule="auto"/>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2</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采购人</w:t>
            </w:r>
          </w:p>
        </w:tc>
        <w:tc>
          <w:tcPr>
            <w:tcW w:w="7894" w:type="dxa"/>
            <w:vAlign w:val="center"/>
          </w:tcPr>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lang w:eastAsia="zh-CN"/>
              </w:rPr>
              <w:t>陕西科技大学</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地  址：</w:t>
            </w:r>
            <w:r>
              <w:rPr>
                <w:rFonts w:hint="eastAsia" w:asciiTheme="minorEastAsia" w:hAnsiTheme="minorEastAsia" w:eastAsiaTheme="minorEastAsia" w:cstheme="minorEastAsia"/>
                <w:sz w:val="21"/>
                <w:szCs w:val="21"/>
                <w:lang w:eastAsia="zh-CN"/>
              </w:rPr>
              <w:t>西安市未央区大学园区</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联系方式：</w:t>
            </w:r>
            <w:r>
              <w:rPr>
                <w:rFonts w:hint="eastAsia" w:asciiTheme="minorEastAsia" w:hAnsiTheme="minorEastAsia" w:eastAsiaTheme="minorEastAsia" w:cstheme="minorEastAsia"/>
                <w:sz w:val="21"/>
                <w:szCs w:val="21"/>
                <w:lang w:eastAsia="zh-CN"/>
              </w:rPr>
              <w:t>029-8616837</w:t>
            </w:r>
            <w:r>
              <w:rPr>
                <w:rFonts w:hint="eastAsia" w:asciiTheme="minorEastAsia" w:hAnsiTheme="minorEastAsia" w:eastAsiaTheme="minorEastAsia" w:cstheme="minorEastAsia"/>
                <w:sz w:val="21"/>
                <w:szCs w:val="21"/>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60" w:hRule="atLeast"/>
        </w:trPr>
        <w:tc>
          <w:tcPr>
            <w:tcW w:w="349" w:type="dxa"/>
            <w:tcBorders>
              <w:top w:val="single" w:color="auto" w:sz="4" w:space="0"/>
              <w:bottom w:val="single" w:color="auto" w:sz="4" w:space="0"/>
            </w:tcBorders>
            <w:vAlign w:val="center"/>
          </w:tcPr>
          <w:p>
            <w:pPr>
              <w:spacing w:before="156" w:beforeLines="50" w:line="360" w:lineRule="auto"/>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3</w:t>
            </w:r>
          </w:p>
        </w:tc>
        <w:tc>
          <w:tcPr>
            <w:tcW w:w="89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采购代理机构</w:t>
            </w:r>
          </w:p>
        </w:tc>
        <w:tc>
          <w:tcPr>
            <w:tcW w:w="7894" w:type="dxa"/>
            <w:tcBorders>
              <w:top w:val="single" w:color="auto" w:sz="4" w:space="0"/>
              <w:bottom w:val="single" w:color="auto" w:sz="4" w:space="0"/>
            </w:tcBorders>
            <w:vAlign w:val="center"/>
          </w:tcPr>
          <w:p>
            <w:p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采购代理机构：陕西万泽招标有限公司</w:t>
            </w:r>
          </w:p>
          <w:p>
            <w:p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        址：西安市莲湖区西关正街英达大厦1507室</w:t>
            </w:r>
          </w:p>
          <w:p>
            <w:pPr>
              <w:spacing w:line="36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联   系   人：张刘艳 郝思思</w:t>
            </w:r>
            <w:r>
              <w:rPr>
                <w:rFonts w:hint="eastAsia" w:asciiTheme="minorEastAsia" w:hAnsiTheme="minorEastAsia" w:eastAsiaTheme="minorEastAsia" w:cstheme="minorEastAsia"/>
                <w:sz w:val="21"/>
                <w:szCs w:val="21"/>
                <w:lang w:val="en-US" w:eastAsia="zh-CN"/>
              </w:rPr>
              <w:t xml:space="preserve"> 于晓晶</w:t>
            </w:r>
          </w:p>
          <w:p>
            <w:pPr>
              <w:spacing w:line="360" w:lineRule="auto"/>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电        话：029-88319689</w:t>
            </w:r>
            <w:r>
              <w:rPr>
                <w:rFonts w:hint="eastAsia" w:asciiTheme="minorEastAsia" w:hAnsiTheme="minorEastAsia" w:eastAsiaTheme="minorEastAsia" w:cstheme="minorEastAsia"/>
                <w:sz w:val="21"/>
                <w:szCs w:val="21"/>
                <w:lang w:val="en-US" w:eastAsia="zh-CN"/>
              </w:rPr>
              <w:t>-806</w:t>
            </w:r>
          </w:p>
          <w:p>
            <w:pPr>
              <w:spacing w:line="360" w:lineRule="auto"/>
              <w:jc w:val="left"/>
              <w:rPr>
                <w:sz w:val="21"/>
                <w:szCs w:val="21"/>
              </w:rPr>
            </w:pPr>
            <w:r>
              <w:rPr>
                <w:rFonts w:hint="eastAsia" w:asciiTheme="minorEastAsia" w:hAnsiTheme="minorEastAsia" w:eastAsiaTheme="minorEastAsia" w:cstheme="minorEastAsia"/>
                <w:sz w:val="21"/>
                <w:szCs w:val="21"/>
              </w:rPr>
              <w:t>邮        箱：</w:t>
            </w:r>
            <w:r>
              <w:rPr>
                <w:sz w:val="21"/>
                <w:szCs w:val="21"/>
              </w:rPr>
              <w:fldChar w:fldCharType="begin"/>
            </w:r>
            <w:r>
              <w:rPr>
                <w:sz w:val="21"/>
                <w:szCs w:val="21"/>
              </w:rPr>
              <w:instrText xml:space="preserve"> HYPERLINK "mailto:sxwzzb123@163.com" </w:instrText>
            </w:r>
            <w:r>
              <w:rPr>
                <w:sz w:val="21"/>
                <w:szCs w:val="21"/>
              </w:rPr>
              <w:fldChar w:fldCharType="separate"/>
            </w:r>
            <w:r>
              <w:rPr>
                <w:rStyle w:val="31"/>
                <w:rFonts w:hint="eastAsia" w:asciiTheme="minorEastAsia" w:hAnsiTheme="minorEastAsia" w:eastAsiaTheme="minorEastAsia" w:cstheme="minorEastAsia"/>
                <w:color w:val="auto"/>
                <w:sz w:val="21"/>
                <w:szCs w:val="21"/>
              </w:rPr>
              <w:t>sxwzzb123@163.com</w:t>
            </w:r>
            <w:r>
              <w:rPr>
                <w:rStyle w:val="31"/>
                <w:rFonts w:hint="eastAsia" w:asciiTheme="minorEastAsia" w:hAnsiTheme="minorEastAsia" w:eastAsiaTheme="minorEastAsia" w:cstheme="minorEastAsia"/>
                <w:color w:val="auto"/>
                <w:sz w:val="21"/>
                <w:szCs w:val="21"/>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before="156" w:beforeLines="50"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联合体形式</w:t>
            </w:r>
          </w:p>
        </w:tc>
        <w:tc>
          <w:tcPr>
            <w:tcW w:w="7894" w:type="dxa"/>
            <w:vAlign w:val="center"/>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897" w:type="dxa"/>
            <w:vAlign w:val="center"/>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备选方案</w:t>
            </w:r>
          </w:p>
        </w:tc>
        <w:tc>
          <w:tcPr>
            <w:tcW w:w="7894" w:type="dxa"/>
            <w:vAlign w:val="center"/>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打包</w:t>
            </w:r>
          </w:p>
        </w:tc>
        <w:tc>
          <w:tcPr>
            <w:tcW w:w="7894" w:type="dxa"/>
            <w:vAlign w:val="center"/>
          </w:tcPr>
          <w:p>
            <w:p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本次采购采用</w:t>
            </w:r>
            <w:r>
              <w:rPr>
                <w:rFonts w:hint="eastAsia" w:asciiTheme="minorEastAsia" w:hAnsiTheme="minorEastAsia" w:eastAsiaTheme="minorEastAsia" w:cstheme="minorEastAsia"/>
                <w:sz w:val="21"/>
                <w:szCs w:val="21"/>
                <w:lang w:eastAsia="zh-CN"/>
              </w:rPr>
              <w:t>整体打包</w:t>
            </w:r>
            <w:r>
              <w:rPr>
                <w:rFonts w:hint="eastAsia" w:asciiTheme="minorEastAsia" w:hAnsiTheme="minorEastAsia" w:eastAsiaTheme="minorEastAsia" w:cstheme="minorEastAsia"/>
                <w:sz w:val="21"/>
                <w:szCs w:val="21"/>
              </w:rPr>
              <w:t>方式，供应商可根据自身的资质情况和经营范围对本项目进行投标，不得将其自行分解或只对本次项目中的品目进行不完全投标，任何不完全的投标将按无效投标处理。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w:t>
            </w:r>
          </w:p>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有效期</w:t>
            </w:r>
          </w:p>
        </w:tc>
        <w:tc>
          <w:tcPr>
            <w:tcW w:w="7894" w:type="dxa"/>
            <w:vAlign w:val="center"/>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w:t>
            </w:r>
            <w:r>
              <w:rPr>
                <w:rFonts w:hint="eastAsia" w:asciiTheme="minorEastAsia" w:hAnsiTheme="minorEastAsia" w:eastAsiaTheme="minorEastAsia" w:cstheme="minorEastAsia"/>
                <w:sz w:val="21"/>
                <w:szCs w:val="21"/>
                <w:lang w:val="en-US" w:eastAsia="zh-CN"/>
              </w:rPr>
              <w:t>代表</w:t>
            </w:r>
            <w:r>
              <w:rPr>
                <w:rFonts w:hint="eastAsia" w:asciiTheme="minorEastAsia" w:hAnsiTheme="minorEastAsia" w:eastAsiaTheme="minorEastAsia" w:cstheme="minorEastAsia"/>
                <w:sz w:val="21"/>
                <w:szCs w:val="21"/>
              </w:rPr>
              <w:t>人授权书及投标文件</w:t>
            </w:r>
            <w:r>
              <w:rPr>
                <w:rFonts w:hint="eastAsia" w:asciiTheme="minorEastAsia" w:hAnsiTheme="minorEastAsia" w:eastAsiaTheme="minorEastAsia" w:cstheme="minorEastAsia"/>
                <w:sz w:val="21"/>
                <w:szCs w:val="21"/>
                <w:lang w:val="en-US" w:eastAsia="zh-CN"/>
              </w:rPr>
              <w:t>有效期</w:t>
            </w:r>
            <w:r>
              <w:rPr>
                <w:rFonts w:hint="eastAsia" w:asciiTheme="minorEastAsia" w:hAnsiTheme="minorEastAsia" w:eastAsiaTheme="minorEastAsia" w:cstheme="minorEastAsia"/>
                <w:sz w:val="21"/>
                <w:szCs w:val="21"/>
              </w:rPr>
              <w:t>从开标之日起</w:t>
            </w:r>
            <w:r>
              <w:rPr>
                <w:rFonts w:hint="eastAsia" w:asciiTheme="minorEastAsia" w:hAnsiTheme="minorEastAsia" w:eastAsiaTheme="minorEastAsia" w:cstheme="minorEastAsia"/>
                <w:sz w:val="21"/>
                <w:szCs w:val="21"/>
                <w:lang w:val="en-US" w:eastAsia="zh-CN"/>
              </w:rPr>
              <w:t>90</w:t>
            </w:r>
            <w:r>
              <w:rPr>
                <w:rFonts w:hint="eastAsia" w:asciiTheme="minorEastAsia" w:hAnsiTheme="minorEastAsia" w:eastAsiaTheme="minorEastAsia" w:cstheme="minorEastAsia"/>
                <w:sz w:val="21"/>
                <w:szCs w:val="21"/>
              </w:rPr>
              <w:t>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4"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897" w:type="dxa"/>
            <w:vAlign w:val="center"/>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资格要求</w:t>
            </w:r>
          </w:p>
        </w:tc>
        <w:tc>
          <w:tcPr>
            <w:tcW w:w="7894" w:type="dxa"/>
          </w:tcPr>
          <w:p>
            <w:pPr>
              <w:numPr>
                <w:ilvl w:val="0"/>
                <w:numId w:val="0"/>
              </w:numPr>
              <w:snapToGrid w:val="0"/>
              <w:spacing w:line="360" w:lineRule="auto"/>
              <w:ind w:firstLine="420" w:firstLineChars="200"/>
              <w:jc w:val="left"/>
              <w:rPr>
                <w:rFonts w:ascii="宋体" w:hAnsi="宋体" w:cs="宋体"/>
                <w:bCs/>
                <w:kern w:val="0"/>
                <w:sz w:val="21"/>
                <w:szCs w:val="21"/>
              </w:rPr>
            </w:pPr>
            <w:r>
              <w:rPr>
                <w:rFonts w:hint="eastAsia" w:ascii="宋体" w:hAnsi="宋体" w:cs="宋体"/>
                <w:bCs/>
                <w:kern w:val="0"/>
                <w:sz w:val="21"/>
                <w:szCs w:val="21"/>
                <w:lang w:val="en-US" w:eastAsia="zh-CN"/>
              </w:rPr>
              <w:t>1、</w:t>
            </w:r>
            <w:r>
              <w:rPr>
                <w:rFonts w:hint="eastAsia" w:ascii="宋体" w:hAnsi="宋体" w:cs="宋体"/>
                <w:bCs/>
                <w:kern w:val="0"/>
                <w:sz w:val="21"/>
                <w:szCs w:val="21"/>
              </w:rPr>
              <w:t>具有独立承担民事责任能力的法人、其他组织或自然人，并出具合法有效的营业执照或事业单位法人证书等国家规定的相关证明，自然人参与的提供其身份证明；</w:t>
            </w:r>
          </w:p>
          <w:p>
            <w:pPr>
              <w:snapToGrid w:val="0"/>
              <w:spacing w:line="360" w:lineRule="auto"/>
              <w:ind w:firstLine="420" w:firstLineChars="200"/>
              <w:jc w:val="left"/>
              <w:rPr>
                <w:rFonts w:ascii="宋体" w:hAnsi="宋体" w:cs="宋体"/>
                <w:bCs/>
                <w:kern w:val="0"/>
                <w:sz w:val="21"/>
                <w:szCs w:val="21"/>
              </w:rPr>
            </w:pPr>
            <w:r>
              <w:rPr>
                <w:rFonts w:hint="eastAsia" w:ascii="宋体" w:hAnsi="宋体" w:cs="宋体"/>
                <w:bCs/>
                <w:kern w:val="0"/>
                <w:sz w:val="21"/>
                <w:szCs w:val="21"/>
              </w:rPr>
              <w:t>2、社会保障资金缴纳证明：供应商提供本单位2022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60" w:lineRule="auto"/>
              <w:ind w:firstLine="420" w:firstLineChars="200"/>
              <w:jc w:val="left"/>
              <w:rPr>
                <w:rFonts w:ascii="宋体" w:hAnsi="宋体" w:cs="宋体"/>
                <w:bCs/>
                <w:kern w:val="0"/>
                <w:sz w:val="21"/>
                <w:szCs w:val="21"/>
              </w:rPr>
            </w:pPr>
            <w:r>
              <w:rPr>
                <w:rFonts w:hint="eastAsia" w:ascii="宋体" w:hAnsi="宋体" w:cs="宋体"/>
                <w:bCs/>
                <w:kern w:val="0"/>
                <w:sz w:val="21"/>
                <w:szCs w:val="21"/>
              </w:rPr>
              <w:t>3、税收缴纳证明：供应商提供本单位2022年1月至今已缴纳的至少一个月纳税证明或完税证明，依法免税的单位应提供相关证明材料； </w:t>
            </w:r>
          </w:p>
          <w:p>
            <w:pPr>
              <w:snapToGrid w:val="0"/>
              <w:spacing w:line="360" w:lineRule="auto"/>
              <w:ind w:firstLine="420" w:firstLineChars="200"/>
              <w:jc w:val="left"/>
              <w:rPr>
                <w:rFonts w:ascii="宋体" w:hAnsi="宋体" w:cs="宋体"/>
                <w:bCs/>
                <w:kern w:val="0"/>
                <w:sz w:val="21"/>
                <w:szCs w:val="21"/>
              </w:rPr>
            </w:pPr>
            <w:r>
              <w:rPr>
                <w:rFonts w:hint="eastAsia" w:ascii="宋体" w:hAnsi="宋体" w:cs="宋体"/>
                <w:bCs/>
                <w:kern w:val="0"/>
                <w:sz w:val="21"/>
                <w:szCs w:val="21"/>
              </w:rPr>
              <w:t xml:space="preserve">4、财务状况证明：提供本单位经会计师事务所审计的2020年或2021年任意一年的财务审计报告或在开标日期前六个月内其基本开户银行出具的资信证明；  </w:t>
            </w:r>
          </w:p>
          <w:p>
            <w:pPr>
              <w:snapToGrid w:val="0"/>
              <w:spacing w:line="360" w:lineRule="auto"/>
              <w:ind w:firstLine="420" w:firstLineChars="200"/>
              <w:jc w:val="left"/>
              <w:rPr>
                <w:rFonts w:ascii="宋体" w:hAnsi="宋体" w:cs="宋体"/>
                <w:bCs/>
                <w:kern w:val="0"/>
                <w:sz w:val="21"/>
                <w:szCs w:val="21"/>
              </w:rPr>
            </w:pPr>
            <w:r>
              <w:rPr>
                <w:rFonts w:hint="eastAsia" w:ascii="宋体" w:hAnsi="宋体" w:cs="宋体"/>
                <w:bCs/>
                <w:kern w:val="0"/>
                <w:sz w:val="21"/>
                <w:szCs w:val="21"/>
              </w:rPr>
              <w:t>5、供应商应出具参加本次政府采购活动前3年内在经营活动中没有重大违法违纪，以及未被列入失信被执行人、重大税收违法案件当事人名单、政府采购严重违法失信行为记录名单的书面声明；</w:t>
            </w:r>
          </w:p>
          <w:p>
            <w:pPr>
              <w:pStyle w:val="2"/>
              <w:spacing w:line="360" w:lineRule="auto"/>
              <w:ind w:firstLine="420" w:firstLineChars="200"/>
              <w:rPr>
                <w:rFonts w:hint="eastAsia" w:ascii="宋体" w:hAnsi="宋体" w:cs="宋体"/>
                <w:bCs/>
                <w:sz w:val="21"/>
                <w:szCs w:val="21"/>
              </w:rPr>
            </w:pPr>
            <w:r>
              <w:rPr>
                <w:rFonts w:hint="eastAsia" w:ascii="宋体" w:hAnsi="宋体" w:cs="宋体"/>
                <w:bCs/>
                <w:sz w:val="21"/>
                <w:szCs w:val="21"/>
              </w:rPr>
              <w:t>6、非法定代表人参加投标，须提供法定代表人授权委托书及被授权人身份证原件；法定代表人参加投标时,只须提供法定代表人身份证原件；</w:t>
            </w:r>
          </w:p>
          <w:p>
            <w:pPr>
              <w:pStyle w:val="2"/>
              <w:spacing w:line="360" w:lineRule="auto"/>
              <w:ind w:firstLine="420" w:firstLineChars="200"/>
              <w:rPr>
                <w:rFonts w:hint="eastAsia" w:ascii="宋体" w:hAnsi="宋体" w:cs="宋体"/>
                <w:bCs/>
                <w:sz w:val="21"/>
                <w:szCs w:val="21"/>
              </w:rPr>
            </w:pPr>
            <w:r>
              <w:rPr>
                <w:rFonts w:hint="eastAsia" w:ascii="宋体" w:hAnsi="宋体" w:cs="宋体"/>
                <w:bCs/>
                <w:sz w:val="21"/>
                <w:szCs w:val="21"/>
              </w:rPr>
              <w:t>7、供应商须提供投标保证金汇款凭证或担保机构出具的保函；</w:t>
            </w:r>
          </w:p>
          <w:p>
            <w:pPr>
              <w:pStyle w:val="2"/>
              <w:spacing w:line="360" w:lineRule="auto"/>
              <w:ind w:firstLine="420" w:firstLineChars="200"/>
              <w:rPr>
                <w:rFonts w:hint="eastAsia" w:ascii="宋体" w:hAnsi="宋体" w:cs="宋体"/>
                <w:bCs/>
                <w:sz w:val="21"/>
                <w:szCs w:val="21"/>
              </w:rPr>
            </w:pPr>
            <w:r>
              <w:rPr>
                <w:rFonts w:hint="eastAsia" w:ascii="宋体" w:hAnsi="宋体" w:cs="宋体"/>
                <w:bCs/>
                <w:sz w:val="21"/>
                <w:szCs w:val="21"/>
              </w:rPr>
              <w:t>8、本项目不接受联合体投标。</w:t>
            </w:r>
          </w:p>
          <w:p>
            <w:pPr>
              <w:spacing w:line="360" w:lineRule="auto"/>
              <w:ind w:firstLine="367" w:firstLineChars="17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none"/>
              </w:rPr>
              <w:t>以上项为资格审查必备资质。评审时，根据供应商响应文件中提供的上述资格证明文件（复印件加盖</w:t>
            </w:r>
            <w:r>
              <w:rPr>
                <w:rFonts w:hint="eastAsia" w:asciiTheme="minorEastAsia" w:hAnsiTheme="minorEastAsia" w:eastAsiaTheme="minorEastAsia" w:cstheme="minorEastAsia"/>
                <w:color w:val="auto"/>
                <w:sz w:val="21"/>
                <w:szCs w:val="21"/>
                <w:highlight w:val="none"/>
              </w:rPr>
              <w:t>公章，</w:t>
            </w:r>
            <w:r>
              <w:rPr>
                <w:rFonts w:hint="eastAsia" w:asciiTheme="minorEastAsia" w:hAnsiTheme="minorEastAsia" w:eastAsiaTheme="minorEastAsia" w:cstheme="minorEastAsia"/>
                <w:b/>
                <w:bCs/>
                <w:color w:val="auto"/>
                <w:sz w:val="21"/>
                <w:szCs w:val="21"/>
                <w:highlight w:val="none"/>
                <w:lang w:eastAsia="zh-CN"/>
              </w:rPr>
              <w:t>现场递交原件</w:t>
            </w:r>
            <w:r>
              <w:rPr>
                <w:rFonts w:hint="eastAsia" w:asciiTheme="minorEastAsia" w:hAnsiTheme="minorEastAsia" w:eastAsiaTheme="minorEastAsia" w:cstheme="minorEastAsia"/>
                <w:color w:val="auto"/>
                <w:sz w:val="21"/>
                <w:szCs w:val="21"/>
                <w:highlight w:val="none"/>
              </w:rPr>
              <w:t>）进行资</w:t>
            </w:r>
            <w:r>
              <w:rPr>
                <w:rFonts w:hint="eastAsia" w:asciiTheme="minorEastAsia" w:hAnsiTheme="minorEastAsia" w:eastAsiaTheme="minorEastAsia" w:cstheme="minorEastAsia"/>
                <w:sz w:val="21"/>
                <w:szCs w:val="21"/>
                <w:highlight w:val="none"/>
              </w:rPr>
              <w:t>格审查，未通过资格审查的，其响</w:t>
            </w:r>
            <w:r>
              <w:rPr>
                <w:rFonts w:hint="eastAsia" w:asciiTheme="minorEastAsia" w:hAnsiTheme="minorEastAsia" w:eastAsiaTheme="minorEastAsia" w:cstheme="minorEastAsia"/>
                <w:sz w:val="21"/>
                <w:szCs w:val="21"/>
                <w:highlight w:val="none"/>
                <w:lang w:val="en-US" w:eastAsia="zh-CN"/>
              </w:rPr>
              <w:t>投标</w:t>
            </w:r>
            <w:r>
              <w:rPr>
                <w:rFonts w:hint="eastAsia" w:asciiTheme="minorEastAsia" w:hAnsiTheme="minorEastAsia" w:eastAsiaTheme="minorEastAsia" w:cstheme="minorEastAsia"/>
                <w:sz w:val="21"/>
                <w:szCs w:val="21"/>
                <w:highlight w:val="none"/>
              </w:rPr>
              <w:t>文件将按无效投标文件处理。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86"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投标保证金缴纳</w:t>
            </w:r>
          </w:p>
        </w:tc>
        <w:tc>
          <w:tcPr>
            <w:tcW w:w="7894" w:type="dxa"/>
          </w:tcPr>
          <w:p>
            <w:pPr>
              <w:spacing w:line="500" w:lineRule="exact"/>
              <w:jc w:val="left"/>
              <w:rPr>
                <w:rFonts w:hint="eastAsia"/>
                <w:sz w:val="21"/>
                <w:szCs w:val="21"/>
              </w:rPr>
            </w:pPr>
            <w:r>
              <w:rPr>
                <w:b/>
                <w:bCs/>
                <w:sz w:val="21"/>
                <w:szCs w:val="21"/>
              </w:rPr>
              <w:t xml:space="preserve"> </w:t>
            </w:r>
            <w:r>
              <w:rPr>
                <w:rFonts w:hint="eastAsia"/>
                <w:b/>
                <w:bCs/>
                <w:sz w:val="21"/>
                <w:szCs w:val="21"/>
                <w:lang w:eastAsia="zh-CN"/>
              </w:rPr>
              <w:t>投标保证金</w:t>
            </w:r>
            <w:r>
              <w:rPr>
                <w:rFonts w:hint="eastAsia" w:eastAsia="宋体"/>
                <w:b/>
                <w:bCs/>
                <w:sz w:val="21"/>
                <w:szCs w:val="21"/>
                <w:lang w:val="en-US" w:eastAsia="zh-CN"/>
              </w:rPr>
              <w:t xml:space="preserve"> </w:t>
            </w:r>
            <w:r>
              <w:rPr>
                <w:rFonts w:hint="eastAsia" w:eastAsia="宋体"/>
                <w:b/>
                <w:bCs/>
                <w:sz w:val="21"/>
                <w:szCs w:val="21"/>
                <w:lang w:eastAsia="zh-CN"/>
              </w:rPr>
              <w:t>：人民币</w:t>
            </w:r>
            <w:r>
              <w:rPr>
                <w:rFonts w:hint="eastAsia" w:eastAsia="宋体"/>
                <w:b/>
                <w:bCs/>
                <w:sz w:val="21"/>
                <w:szCs w:val="21"/>
                <w:lang w:val="en-US" w:eastAsia="zh-CN"/>
              </w:rPr>
              <w:t>叁万伍仟元整</w:t>
            </w:r>
            <w:r>
              <w:rPr>
                <w:rFonts w:hint="eastAsia" w:eastAsia="宋体"/>
                <w:b/>
                <w:bCs/>
                <w:sz w:val="21"/>
                <w:szCs w:val="21"/>
                <w:lang w:eastAsia="zh-CN"/>
              </w:rPr>
              <w:t>（¥</w:t>
            </w:r>
            <w:r>
              <w:rPr>
                <w:rFonts w:hint="eastAsia" w:eastAsia="宋体"/>
                <w:b/>
                <w:bCs/>
                <w:sz w:val="21"/>
                <w:szCs w:val="21"/>
                <w:lang w:val="en-US" w:eastAsia="zh-CN"/>
              </w:rPr>
              <w:t>35000.00</w:t>
            </w:r>
            <w:r>
              <w:rPr>
                <w:rFonts w:hint="eastAsia" w:eastAsia="宋体"/>
                <w:b/>
                <w:bCs/>
                <w:sz w:val="21"/>
                <w:szCs w:val="21"/>
                <w:lang w:eastAsia="zh-CN"/>
              </w:rPr>
              <w:t>元）</w:t>
            </w:r>
          </w:p>
          <w:p>
            <w:pPr>
              <w:spacing w:line="360" w:lineRule="auto"/>
              <w:ind w:firstLine="369" w:firstLineChars="175"/>
              <w:jc w:val="left"/>
              <w:rPr>
                <w:rFonts w:ascii="宋体" w:hAnsi="宋体" w:cs="宋体"/>
                <w:b/>
                <w:bCs/>
                <w:sz w:val="21"/>
                <w:szCs w:val="21"/>
              </w:rPr>
            </w:pPr>
            <w:r>
              <w:rPr>
                <w:rFonts w:hint="eastAsia" w:ascii="宋体" w:hAnsi="宋体" w:cs="宋体"/>
                <w:b/>
                <w:bCs/>
                <w:sz w:val="21"/>
                <w:szCs w:val="21"/>
              </w:rPr>
              <w:t>投标保证金应当以银行转账（</w:t>
            </w:r>
            <w:r>
              <w:rPr>
                <w:rFonts w:hint="eastAsia" w:ascii="宋体" w:hAnsi="宋体" w:cs="宋体"/>
                <w:b/>
                <w:bCs/>
                <w:sz w:val="21"/>
                <w:szCs w:val="21"/>
                <w:lang w:eastAsia="zh-CN"/>
              </w:rPr>
              <w:t>公户</w:t>
            </w:r>
            <w:r>
              <w:rPr>
                <w:rFonts w:hint="eastAsia" w:ascii="宋体" w:hAnsi="宋体" w:cs="宋体"/>
                <w:b/>
                <w:bCs/>
                <w:sz w:val="21"/>
                <w:szCs w:val="21"/>
              </w:rPr>
              <w:t>）、支票、汇票、本票或者金融机构、担保机构出具的保函等非现金形式提交（注投标保证金须以供应商名称汇款），且应在开标前致电代理机构财务部门确认投标保证金到账情况。</w:t>
            </w:r>
          </w:p>
          <w:p>
            <w:pPr>
              <w:spacing w:line="360" w:lineRule="auto"/>
              <w:ind w:firstLine="367" w:firstLineChars="17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户名：陕西万泽招标有限公司</w:t>
            </w:r>
          </w:p>
          <w:p>
            <w:pPr>
              <w:spacing w:line="360" w:lineRule="auto"/>
              <w:ind w:firstLine="367" w:firstLineChars="17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开户行名称：西安银行朝阳门支行</w:t>
            </w:r>
          </w:p>
          <w:p>
            <w:pPr>
              <w:spacing w:line="360" w:lineRule="auto"/>
              <w:ind w:firstLine="367" w:firstLineChars="17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账号：211011580000015489</w:t>
            </w:r>
          </w:p>
          <w:p>
            <w:pPr>
              <w:spacing w:line="360" w:lineRule="auto"/>
              <w:ind w:firstLine="367" w:firstLineChars="17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咨询电话：苏老师 029-88319689-808</w:t>
            </w:r>
          </w:p>
          <w:p>
            <w:p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转账摘要：</w:t>
            </w:r>
            <w:r>
              <w:rPr>
                <w:rFonts w:hint="eastAsia" w:asciiTheme="minorEastAsia" w:hAnsiTheme="minorEastAsia" w:eastAsiaTheme="minorEastAsia" w:cstheme="minorEastAsia"/>
                <w:b/>
                <w:bCs/>
                <w:sz w:val="21"/>
                <w:szCs w:val="21"/>
                <w:lang w:eastAsia="zh-CN"/>
              </w:rPr>
              <w:t>陕西科技大学</w:t>
            </w:r>
            <w:r>
              <w:rPr>
                <w:rFonts w:hint="eastAsia" w:asciiTheme="minorEastAsia" w:hAnsiTheme="minorEastAsia" w:eastAsiaTheme="minorEastAsia" w:cstheme="minorEastAsia"/>
                <w:b/>
                <w:bCs/>
                <w:sz w:val="21"/>
                <w:szCs w:val="21"/>
                <w:lang w:val="en-US" w:eastAsia="zh-CN"/>
              </w:rPr>
              <w:t>SKD</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lang w:val="en-US" w:eastAsia="zh-CN"/>
              </w:rPr>
              <w:t>135</w:t>
            </w:r>
            <w:r>
              <w:rPr>
                <w:rFonts w:hint="eastAsia" w:asciiTheme="minorEastAsia" w:hAnsiTheme="minorEastAsia" w:eastAsiaTheme="minorEastAsia" w:cstheme="minorEastAsia"/>
                <w:b/>
                <w:bCs/>
                <w:sz w:val="21"/>
                <w:szCs w:val="21"/>
              </w:rPr>
              <w:t>投标保证金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4"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投标货币及报价</w:t>
            </w:r>
          </w:p>
        </w:tc>
        <w:tc>
          <w:tcPr>
            <w:tcW w:w="7894" w:type="dxa"/>
            <w:vAlign w:val="center"/>
          </w:tcPr>
          <w:p>
            <w:pPr>
              <w:numPr>
                <w:ilvl w:val="0"/>
                <w:numId w:val="5"/>
              </w:numPr>
              <w:spacing w:line="360" w:lineRule="auto"/>
              <w:ind w:firstLine="0"/>
              <w:jc w:val="left"/>
              <w:rPr>
                <w:sz w:val="21"/>
                <w:szCs w:val="21"/>
              </w:rPr>
            </w:pPr>
            <w:r>
              <w:rPr>
                <w:rFonts w:hint="eastAsia"/>
                <w:sz w:val="21"/>
                <w:szCs w:val="21"/>
              </w:rPr>
              <w:t>供应商应当根据招标文件的要求和范围，以人民币为货币，以元为报价单位，保留小数点后两位（不进行四舍五入）。</w:t>
            </w:r>
          </w:p>
          <w:p>
            <w:pPr>
              <w:numPr>
                <w:ilvl w:val="0"/>
                <w:numId w:val="5"/>
              </w:numPr>
              <w:spacing w:line="360" w:lineRule="auto"/>
              <w:ind w:firstLine="0"/>
              <w:jc w:val="left"/>
              <w:rPr>
                <w:sz w:val="21"/>
                <w:szCs w:val="21"/>
              </w:rPr>
            </w:pPr>
            <w:r>
              <w:rPr>
                <w:rFonts w:hint="eastAsia"/>
                <w:sz w:val="21"/>
                <w:szCs w:val="21"/>
              </w:rPr>
              <w:t>供应商应在投标报价表中标明完成本次招标所要求的货物、服务且验收合格的所有费用，包括产品费、安装调试费、运杂费（含保险）、仓储保管费、技术培训费、检测费、施工费、运输费、人工费、税金及进口产品国家按现行税收政策征收的一切税费等。投标报价表中标明本次货物、服务的所有单项价格和总价，任何有选择的报价将不予接受，否则按无效投标处理。</w:t>
            </w:r>
          </w:p>
          <w:p>
            <w:pPr>
              <w:numPr>
                <w:ilvl w:val="0"/>
                <w:numId w:val="5"/>
              </w:numPr>
              <w:spacing w:line="360" w:lineRule="auto"/>
              <w:ind w:firstLine="0"/>
              <w:jc w:val="left"/>
              <w:rPr>
                <w:color w:val="auto"/>
                <w:sz w:val="21"/>
                <w:szCs w:val="21"/>
              </w:rPr>
            </w:pPr>
            <w:r>
              <w:rPr>
                <w:rFonts w:hint="eastAsia"/>
                <w:color w:val="auto"/>
                <w:sz w:val="21"/>
                <w:szCs w:val="21"/>
              </w:rPr>
              <w:t>供应商应在投标文件中的投标报价一览表上，标明所投产品的总报价、交货期、质保期等，并由法定代表人或被授权人代表签署；任何有选择的报价不予接受。</w:t>
            </w:r>
          </w:p>
          <w:p>
            <w:pPr>
              <w:numPr>
                <w:ilvl w:val="0"/>
                <w:numId w:val="5"/>
              </w:numPr>
              <w:spacing w:line="360" w:lineRule="auto"/>
              <w:ind w:firstLine="0"/>
              <w:jc w:val="left"/>
              <w:rPr>
                <w:sz w:val="21"/>
                <w:szCs w:val="21"/>
              </w:rPr>
            </w:pPr>
            <w:r>
              <w:rPr>
                <w:rFonts w:hint="eastAsia"/>
                <w:sz w:val="21"/>
                <w:szCs w:val="21"/>
              </w:rPr>
              <w:t>供应商对投标报价若有说明应在投标报价一览表显著处注明，只有开标时唱出的报价优惠承诺才会在评标时予以考虑。</w:t>
            </w:r>
          </w:p>
          <w:p>
            <w:pPr>
              <w:numPr>
                <w:ilvl w:val="0"/>
                <w:numId w:val="5"/>
              </w:numPr>
              <w:spacing w:line="360" w:lineRule="auto"/>
              <w:ind w:firstLine="0"/>
              <w:jc w:val="left"/>
              <w:rPr>
                <w:sz w:val="21"/>
                <w:szCs w:val="21"/>
              </w:rPr>
            </w:pPr>
            <w:r>
              <w:rPr>
                <w:rFonts w:hint="eastAsia"/>
                <w:sz w:val="21"/>
                <w:szCs w:val="21"/>
              </w:rPr>
              <w:t>投标报价一览表与分项报价表中的价格，在合同执行过程中，均不得以任何理由变更。</w:t>
            </w:r>
          </w:p>
          <w:p>
            <w:pPr>
              <w:numPr>
                <w:ilvl w:val="0"/>
                <w:numId w:val="5"/>
              </w:numPr>
              <w:spacing w:line="360" w:lineRule="auto"/>
              <w:ind w:firstLine="0"/>
              <w:jc w:val="left"/>
              <w:rPr>
                <w:rFonts w:asciiTheme="minorEastAsia" w:hAnsiTheme="minorEastAsia" w:eastAsiaTheme="minorEastAsia" w:cstheme="minorEastAsia"/>
                <w:sz w:val="21"/>
                <w:szCs w:val="21"/>
              </w:rPr>
            </w:pPr>
            <w:r>
              <w:rPr>
                <w:rFonts w:hint="eastAsia"/>
                <w:sz w:val="21"/>
                <w:szCs w:val="21"/>
              </w:rPr>
              <w:t>采用综合评分法的，最低报价不是中标的唯一依据。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投标文件份数及装订要求</w:t>
            </w:r>
          </w:p>
        </w:tc>
        <w:tc>
          <w:tcPr>
            <w:tcW w:w="7894" w:type="dxa"/>
            <w:vAlign w:val="center"/>
          </w:tcPr>
          <w:p>
            <w:p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投标文件正本</w:t>
            </w:r>
            <w:r>
              <w:rPr>
                <w:rFonts w:hint="eastAsia" w:asciiTheme="minorEastAsia" w:hAnsiTheme="minorEastAsia" w:eastAsiaTheme="minorEastAsia" w:cstheme="minorEastAsia"/>
                <w:sz w:val="21"/>
                <w:szCs w:val="21"/>
                <w:u w:val="single"/>
              </w:rPr>
              <w:t>壹</w:t>
            </w:r>
            <w:r>
              <w:rPr>
                <w:rFonts w:hint="eastAsia" w:asciiTheme="minorEastAsia" w:hAnsiTheme="minorEastAsia" w:eastAsiaTheme="minorEastAsia" w:cstheme="minorEastAsia"/>
                <w:sz w:val="21"/>
                <w:szCs w:val="21"/>
              </w:rPr>
              <w:t>份、副本</w:t>
            </w:r>
            <w:r>
              <w:rPr>
                <w:rFonts w:hint="eastAsia" w:asciiTheme="minorEastAsia" w:hAnsiTheme="minorEastAsia" w:eastAsiaTheme="minorEastAsia" w:cstheme="minorEastAsia"/>
                <w:sz w:val="21"/>
                <w:szCs w:val="21"/>
                <w:u w:val="single"/>
              </w:rPr>
              <w:t>肆</w:t>
            </w:r>
            <w:r>
              <w:rPr>
                <w:rFonts w:hint="eastAsia" w:asciiTheme="minorEastAsia" w:hAnsiTheme="minorEastAsia" w:eastAsiaTheme="minorEastAsia" w:cstheme="minorEastAsia"/>
                <w:sz w:val="21"/>
                <w:szCs w:val="21"/>
              </w:rPr>
              <w:t>份、投标报价一览表</w:t>
            </w:r>
            <w:r>
              <w:rPr>
                <w:rFonts w:hint="eastAsia" w:asciiTheme="minorEastAsia" w:hAnsiTheme="minorEastAsia" w:eastAsiaTheme="minorEastAsia" w:cstheme="minorEastAsia"/>
                <w:sz w:val="21"/>
                <w:szCs w:val="21"/>
                <w:u w:val="single"/>
              </w:rPr>
              <w:t>壹</w:t>
            </w:r>
            <w:r>
              <w:rPr>
                <w:rFonts w:hint="eastAsia" w:asciiTheme="minorEastAsia" w:hAnsiTheme="minorEastAsia" w:eastAsiaTheme="minorEastAsia" w:cstheme="minorEastAsia"/>
                <w:sz w:val="21"/>
                <w:szCs w:val="21"/>
              </w:rPr>
              <w:t>份、电子文档</w:t>
            </w:r>
            <w:r>
              <w:rPr>
                <w:rFonts w:hint="eastAsia" w:asciiTheme="minorEastAsia" w:hAnsiTheme="minorEastAsia" w:eastAsiaTheme="minorEastAsia" w:cstheme="minorEastAsia"/>
                <w:sz w:val="21"/>
                <w:szCs w:val="21"/>
                <w:u w:val="single"/>
              </w:rPr>
              <w:t>壹</w:t>
            </w:r>
            <w:r>
              <w:rPr>
                <w:rFonts w:hint="eastAsia" w:asciiTheme="minorEastAsia" w:hAnsiTheme="minorEastAsia" w:eastAsiaTheme="minorEastAsia" w:cstheme="minorEastAsia"/>
                <w:sz w:val="21"/>
                <w:szCs w:val="21"/>
              </w:rPr>
              <w:t>份；正、副本分别胶装装订成册，逐页标注连</w:t>
            </w:r>
            <w:r>
              <w:rPr>
                <w:rFonts w:hint="eastAsia" w:asciiTheme="minorEastAsia" w:hAnsiTheme="minorEastAsia" w:eastAsiaTheme="minorEastAsia" w:cstheme="minorEastAsia"/>
                <w:sz w:val="21"/>
                <w:szCs w:val="21"/>
                <w:lang w:eastAsia="zh-CN"/>
              </w:rPr>
              <w:t>续</w:t>
            </w:r>
            <w:r>
              <w:rPr>
                <w:rFonts w:hint="eastAsia" w:asciiTheme="minorEastAsia" w:hAnsiTheme="minorEastAsia" w:eastAsiaTheme="minorEastAsia" w:cstheme="minorEastAsia"/>
                <w:sz w:val="21"/>
                <w:szCs w:val="21"/>
              </w:rPr>
              <w:t>页码，且封面须清楚地标明“正本”或“副本”；若正本和副本不符，以正本书面文件为准；同时提供与正本内容一致的电子版（U盘、电子文档应为PDF与WORD格式各一份，PDF版本需为正本签署盖章扫描件）、报价一览表（用于开标唱标单独提交的“投标报价一览表”应为原件）。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投标文件的签署</w:t>
            </w:r>
          </w:p>
        </w:tc>
        <w:tc>
          <w:tcPr>
            <w:tcW w:w="7894" w:type="dxa"/>
            <w:vAlign w:val="center"/>
          </w:tcPr>
          <w:p>
            <w:pPr>
              <w:numPr>
                <w:ilvl w:val="0"/>
                <w:numId w:val="6"/>
              </w:numPr>
              <w:spacing w:line="360" w:lineRule="auto"/>
              <w:ind w:firstLine="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供应商在投标文件中指定的页面的落款处，按招标文件要求由供应商的法定代表人或其授权代表在规定的签章处签字和盖章。</w:t>
            </w:r>
          </w:p>
          <w:p>
            <w:pPr>
              <w:numPr>
                <w:ilvl w:val="0"/>
                <w:numId w:val="6"/>
              </w:numPr>
              <w:spacing w:line="360" w:lineRule="auto"/>
              <w:ind w:firstLine="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供应商应按照招标文件要求，在每一份投标文件的正本和副本封面下方以及其他招标文件要求的位置填写供应商全称并加盖公章，同时在该处签署法定代表人或供应商代表的全名或加盖本人签名章。</w:t>
            </w:r>
          </w:p>
          <w:p>
            <w:pPr>
              <w:numPr>
                <w:ilvl w:val="0"/>
                <w:numId w:val="6"/>
              </w:numPr>
              <w:spacing w:line="360" w:lineRule="auto"/>
              <w:ind w:firstLine="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投标文件应字迹清楚、内容齐全、不得涂改或增删。如有修改和增删，必须有供应商公章及法定代表人或其授权的供应商代表签字。</w:t>
            </w:r>
          </w:p>
          <w:p>
            <w:p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投标文件的密封</w:t>
            </w:r>
          </w:p>
        </w:tc>
        <w:tc>
          <w:tcPr>
            <w:tcW w:w="7894" w:type="dxa"/>
            <w:vAlign w:val="center"/>
          </w:tcPr>
          <w:p>
            <w:pPr>
              <w:numPr>
                <w:ilvl w:val="0"/>
                <w:numId w:val="7"/>
              </w:numPr>
              <w:spacing w:line="360" w:lineRule="auto"/>
              <w:ind w:firstLine="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正本、所有的副本、电子版本、投标报价一览表需分开密封装在单独的封袋中（封袋不得有破损），且在封袋正面标明“正本”“副本”“电子版”“投标报价一览表”字样。封袋应密封完整，并在封线处加盖供应商鲜章，封袋正面要粘贴供应商全称、项目名称、编号等标识、且投标文件袋上应加盖供应商公章（封面标识见招标文件附件一）如果未按上述规定进行密封，供应商的投标文件有权被拒绝。</w:t>
            </w:r>
          </w:p>
          <w:p>
            <w:pPr>
              <w:numPr>
                <w:ilvl w:val="0"/>
                <w:numId w:val="7"/>
              </w:numPr>
              <w:spacing w:line="360" w:lineRule="auto"/>
              <w:ind w:firstLine="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如果供应商未按上述要求密封及加写标记，误投或过早启封的投标文件，将自行承担其投标文件被视为无效投标文件的风险。</w:t>
            </w:r>
          </w:p>
          <w:p>
            <w:pPr>
              <w:numPr>
                <w:ilvl w:val="0"/>
                <w:numId w:val="7"/>
              </w:numPr>
              <w:spacing w:line="360" w:lineRule="auto"/>
              <w:ind w:firstLine="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本次招标只接受简体中文文字的投标文件；如投标文件中出现外文资料，必须配以中文译文。否则，由此引发的一切责任由供应商自负。</w:t>
            </w:r>
          </w:p>
          <w:p>
            <w:p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4、拒绝接受以电话、传真、电子邮件形式的投标。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2"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897" w:type="dxa"/>
            <w:vAlign w:val="center"/>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评分标准</w:t>
            </w:r>
          </w:p>
        </w:tc>
        <w:tc>
          <w:tcPr>
            <w:tcW w:w="7894" w:type="dxa"/>
            <w:vAlign w:val="center"/>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质疑与投诉</w:t>
            </w:r>
          </w:p>
        </w:tc>
        <w:tc>
          <w:tcPr>
            <w:tcW w:w="7894" w:type="dxa"/>
            <w:vAlign w:val="center"/>
          </w:tcPr>
          <w:p>
            <w:p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质疑或投诉的接收和处理应当按照《中华人民共和国政府采购法》及其实施条例、《政府采购质疑和投诉办法》、《财政部关于加强政府采购供应商投诉受理审查工作的通知》等的相关规定办理。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2"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小微</w:t>
            </w:r>
          </w:p>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w:t>
            </w:r>
          </w:p>
        </w:tc>
        <w:tc>
          <w:tcPr>
            <w:tcW w:w="7894" w:type="dxa"/>
            <w:vAlign w:val="center"/>
          </w:tcPr>
          <w:p>
            <w:pPr>
              <w:spacing w:line="360" w:lineRule="auto"/>
              <w:jc w:val="left"/>
              <w:rPr>
                <w:rFonts w:asciiTheme="minorEastAsia" w:hAnsiTheme="minorEastAsia" w:eastAsiaTheme="minorEastAsia" w:cstheme="minorEastAsia"/>
                <w:sz w:val="21"/>
                <w:szCs w:val="21"/>
              </w:rPr>
            </w:pPr>
            <w:r>
              <w:rPr>
                <w:rFonts w:hint="eastAsia" w:ascii="宋体" w:hAnsi="宋体" w:eastAsia="宋体" w:cs="宋体"/>
                <w:sz w:val="21"/>
                <w:szCs w:val="21"/>
                <w:highlight w:val="none"/>
              </w:rPr>
              <w:t>根据《政府采购促进中小企业发展暂行办法》，供应商提供的《中小企业声明函》</w:t>
            </w:r>
            <w:r>
              <w:rPr>
                <w:rFonts w:hint="eastAsia" w:ascii="宋体" w:hAnsi="宋体" w:eastAsia="宋体" w:cs="宋体"/>
                <w:b/>
                <w:bCs/>
                <w:sz w:val="21"/>
                <w:szCs w:val="21"/>
                <w:highlight w:val="none"/>
              </w:rPr>
              <w:t>（附件二）</w:t>
            </w:r>
            <w:r>
              <w:rPr>
                <w:rFonts w:hint="eastAsia" w:ascii="宋体" w:hAnsi="宋体" w:eastAsia="宋体" w:cs="宋体"/>
                <w:sz w:val="21"/>
                <w:szCs w:val="21"/>
                <w:highlight w:val="none"/>
              </w:rPr>
              <w:t>。其划型标准严格按照国家工信部、国家统计局、国家发改委、财政部出台的《中小企业划型标准规定》（工信部联企业[2011]300号）执行。供应商提供的《中小企业声明函》资料必须真实，否则，按照有关规定予以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是否允许采购进口产品</w:t>
            </w:r>
          </w:p>
        </w:tc>
        <w:tc>
          <w:tcPr>
            <w:tcW w:w="7894" w:type="dxa"/>
            <w:vAlign w:val="center"/>
          </w:tcPr>
          <w:p>
            <w:pPr>
              <w:spacing w:line="360" w:lineRule="auto"/>
              <w:jc w:val="left"/>
              <w:rPr>
                <w:rFonts w:asciiTheme="minorEastAsia" w:hAnsiTheme="minorEastAsia" w:eastAsiaTheme="minorEastAsia" w:cstheme="minorEastAsia"/>
                <w:sz w:val="21"/>
                <w:szCs w:val="21"/>
              </w:rPr>
            </w:pPr>
            <w:r>
              <w:rPr>
                <w:rFonts w:hint="eastAsia" w:ascii="宋体" w:hAnsi="宋体" w:cs="宋体"/>
                <w:sz w:val="21"/>
                <w:szCs w:val="21"/>
                <w:lang w:eastAsia="zh-CN"/>
              </w:rPr>
              <w:t>第五部分采购要求标注为“允许采购进口产品”的可采购进口产品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6" w:hRule="atLeast"/>
        </w:trPr>
        <w:tc>
          <w:tcPr>
            <w:tcW w:w="349"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897" w:type="dxa"/>
            <w:vAlign w:val="center"/>
          </w:tcPr>
          <w:p>
            <w:pPr>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履约保证金</w:t>
            </w:r>
          </w:p>
        </w:tc>
        <w:tc>
          <w:tcPr>
            <w:tcW w:w="7894" w:type="dxa"/>
            <w:vAlign w:val="center"/>
          </w:tcPr>
          <w:p>
            <w:pPr>
              <w:spacing w:line="360" w:lineRule="auto"/>
              <w:rPr>
                <w:rFonts w:asciiTheme="minorEastAsia" w:hAnsiTheme="minorEastAsia" w:eastAsiaTheme="minorEastAsia" w:cstheme="minorEastAsia"/>
                <w:sz w:val="21"/>
                <w:szCs w:val="21"/>
              </w:rPr>
            </w:pPr>
            <w:r>
              <w:rPr>
                <w:rFonts w:hint="eastAsia" w:ascii="宋体" w:hAnsi="宋体" w:cs="宋体"/>
                <w:sz w:val="21"/>
                <w:szCs w:val="21"/>
                <w:lang w:eastAsia="zh-CN"/>
              </w:rPr>
              <w:t>签订合同前，乙方应缴纳合同金额</w:t>
            </w:r>
            <w:r>
              <w:rPr>
                <w:rFonts w:hint="eastAsia" w:ascii="宋体" w:hAnsi="宋体" w:cs="宋体"/>
                <w:sz w:val="21"/>
                <w:szCs w:val="21"/>
                <w:lang w:val="en-US" w:eastAsia="zh-CN"/>
              </w:rPr>
              <w:t>5</w:t>
            </w:r>
            <w:r>
              <w:rPr>
                <w:rFonts w:hint="eastAsia" w:ascii="宋体" w:hAnsi="宋体" w:cs="宋体"/>
                <w:sz w:val="21"/>
                <w:szCs w:val="21"/>
                <w:lang w:eastAsia="zh-CN"/>
              </w:rPr>
              <w:t>%的履约保证金。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6" w:hRule="atLeast"/>
        </w:trPr>
        <w:tc>
          <w:tcPr>
            <w:tcW w:w="349" w:type="dxa"/>
            <w:vAlign w:val="center"/>
          </w:tcPr>
          <w:p>
            <w:pPr>
              <w:spacing w:line="360" w:lineRule="auto"/>
              <w:jc w:val="center"/>
              <w:rPr>
                <w:rFonts w:hint="default" w:asciiTheme="minorEastAsia" w:hAnsiTheme="minorEastAsia" w:eastAsiaTheme="minorEastAsia" w:cstheme="minorEastAsia"/>
                <w:sz w:val="21"/>
                <w:szCs w:val="21"/>
                <w:lang w:val="en-US" w:eastAsia="zh-CN"/>
              </w:rPr>
            </w:pPr>
            <w:bookmarkStart w:id="15" w:name="_Toc19272"/>
            <w:r>
              <w:rPr>
                <w:rFonts w:hint="eastAsia" w:asciiTheme="minorEastAsia" w:hAnsiTheme="minorEastAsia" w:eastAsiaTheme="minorEastAsia" w:cstheme="minorEastAsia"/>
                <w:sz w:val="21"/>
                <w:szCs w:val="21"/>
                <w:lang w:val="en-US" w:eastAsia="zh-CN"/>
              </w:rPr>
              <w:t>19</w:t>
            </w:r>
          </w:p>
        </w:tc>
        <w:tc>
          <w:tcPr>
            <w:tcW w:w="897"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rPr>
              <w:t>政府采购信用融资</w:t>
            </w:r>
          </w:p>
        </w:tc>
        <w:tc>
          <w:tcPr>
            <w:tcW w:w="7894" w:type="dxa"/>
            <w:vAlign w:val="center"/>
          </w:tcPr>
          <w:p>
            <w:pPr>
              <w:spacing w:line="360" w:lineRule="auto"/>
              <w:ind w:firstLine="420" w:firstLineChars="20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sz w:val="21"/>
                <w:szCs w:val="21"/>
                <w:highlight w:val="none"/>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ascii="宋体" w:hAnsi="宋体" w:eastAsia="宋体" w:cs="宋体"/>
                <w:sz w:val="21"/>
                <w:szCs w:val="21"/>
                <w:highlight w:val="none"/>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22"/>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cs="宋体"/>
                <w:sz w:val="21"/>
                <w:szCs w:val="21"/>
                <w:highlight w:val="none"/>
              </w:rPr>
              <w:t>www.ccgp-shaanxi.gov.cn/)重要通知专栏中查询了解。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6" w:hRule="atLeast"/>
        </w:trPr>
        <w:tc>
          <w:tcPr>
            <w:tcW w:w="349" w:type="dxa"/>
            <w:vAlign w:val="center"/>
          </w:tcPr>
          <w:p>
            <w:pPr>
              <w:spacing w:line="36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897"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eastAsia="zh-CN"/>
              </w:rPr>
              <w:t>所属行业</w:t>
            </w:r>
          </w:p>
        </w:tc>
        <w:tc>
          <w:tcPr>
            <w:tcW w:w="7894" w:type="dxa"/>
            <w:vAlign w:val="center"/>
          </w:tcPr>
          <w:p>
            <w:pPr>
              <w:spacing w:line="360" w:lineRule="auto"/>
              <w:ind w:firstLine="420" w:firstLineChars="200"/>
              <w:jc w:val="left"/>
              <w:rPr>
                <w:rFonts w:hint="eastAsia" w:ascii="宋体" w:hAnsi="宋体" w:eastAsia="宋体" w:cs="宋体"/>
                <w:kern w:val="2"/>
                <w:sz w:val="21"/>
                <w:szCs w:val="21"/>
                <w:highlight w:val="none"/>
                <w:lang w:val="en-US" w:eastAsia="zh-CN" w:bidi="ar-SA"/>
              </w:rPr>
            </w:pPr>
            <w:r>
              <w:rPr>
                <w:rFonts w:hint="eastAsia" w:ascii="宋体" w:hAnsi="宋体" w:cs="宋体"/>
                <w:color w:val="000000"/>
                <w:sz w:val="21"/>
                <w:szCs w:val="21"/>
                <w:lang w:eastAsia="zh-CN"/>
              </w:rPr>
              <w:t>信息传输业</w:t>
            </w:r>
          </w:p>
        </w:tc>
      </w:tr>
    </w:tbl>
    <w:p>
      <w:pPr>
        <w:pStyle w:val="3"/>
        <w:keepLines w:val="0"/>
        <w:spacing w:after="312" w:afterLines="100" w:line="240" w:lineRule="auto"/>
        <w:rPr>
          <w:rFonts w:asciiTheme="minorEastAsia" w:hAnsiTheme="minorEastAsia" w:eastAsiaTheme="minorEastAsia" w:cstheme="minorEastAsia"/>
          <w:sz w:val="36"/>
          <w:szCs w:val="36"/>
        </w:rPr>
        <w:sectPr>
          <w:headerReference r:id="rId7" w:type="default"/>
          <w:footerReference r:id="rId8" w:type="default"/>
          <w:pgSz w:w="11906" w:h="16838"/>
          <w:pgMar w:top="1440" w:right="1366" w:bottom="1440" w:left="1463" w:header="851" w:footer="992" w:gutter="0"/>
          <w:cols w:space="0" w:num="1"/>
          <w:docGrid w:type="lines" w:linePitch="312" w:charSpace="0"/>
        </w:sectPr>
      </w:pPr>
    </w:p>
    <w:p>
      <w:pPr>
        <w:pStyle w:val="3"/>
        <w:keepLines w:val="0"/>
        <w:spacing w:after="312" w:afterLines="100" w:line="240" w:lineRule="auto"/>
        <w:rPr>
          <w:rFonts w:asciiTheme="minorEastAsia" w:hAnsiTheme="minorEastAsia" w:eastAsiaTheme="minorEastAsia" w:cstheme="minorEastAsia"/>
          <w:sz w:val="36"/>
          <w:szCs w:val="36"/>
        </w:rPr>
      </w:pPr>
      <w:bookmarkStart w:id="16" w:name="_Toc16173"/>
      <w:bookmarkStart w:id="17" w:name="_Toc24776"/>
      <w:bookmarkStart w:id="18" w:name="_Toc4695"/>
      <w:bookmarkStart w:id="19" w:name="_Toc16519"/>
      <w:bookmarkStart w:id="20" w:name="_Toc10932"/>
      <w:r>
        <w:rPr>
          <w:rFonts w:hint="eastAsia" w:asciiTheme="minorEastAsia" w:hAnsiTheme="minorEastAsia" w:eastAsiaTheme="minorEastAsia" w:cstheme="minorEastAsia"/>
          <w:sz w:val="36"/>
          <w:szCs w:val="36"/>
        </w:rPr>
        <w:t>第三部分  供应商须知</w:t>
      </w:r>
      <w:bookmarkEnd w:id="15"/>
      <w:bookmarkEnd w:id="16"/>
      <w:bookmarkEnd w:id="17"/>
      <w:bookmarkEnd w:id="18"/>
      <w:bookmarkEnd w:id="19"/>
      <w:bookmarkEnd w:id="20"/>
    </w:p>
    <w:p>
      <w:pPr>
        <w:widowControl/>
        <w:numPr>
          <w:ilvl w:val="0"/>
          <w:numId w:val="8"/>
        </w:numPr>
        <w:spacing w:after="156" w:afterLines="50" w:line="500" w:lineRule="exact"/>
        <w:ind w:firstLine="0"/>
        <w:jc w:val="center"/>
        <w:outlineLvl w:val="1"/>
        <w:rPr>
          <w:rFonts w:asciiTheme="minorEastAsia" w:hAnsiTheme="minorEastAsia" w:eastAsiaTheme="minorEastAsia" w:cstheme="minorEastAsia"/>
          <w:b/>
          <w:bCs/>
          <w:kern w:val="0"/>
          <w:sz w:val="32"/>
          <w:szCs w:val="32"/>
        </w:rPr>
      </w:pPr>
      <w:bookmarkStart w:id="21" w:name="_Toc10272"/>
      <w:bookmarkStart w:id="22" w:name="_Toc26739"/>
      <w:bookmarkStart w:id="23" w:name="_Toc17085"/>
      <w:bookmarkStart w:id="24" w:name="_Toc4559"/>
      <w:bookmarkStart w:id="25" w:name="_Toc24547"/>
      <w:bookmarkStart w:id="26" w:name="_Toc31751"/>
      <w:r>
        <w:rPr>
          <w:rFonts w:hint="eastAsia" w:asciiTheme="minorEastAsia" w:hAnsiTheme="minorEastAsia" w:eastAsiaTheme="minorEastAsia" w:cstheme="minorEastAsia"/>
          <w:b/>
          <w:bCs/>
          <w:kern w:val="0"/>
          <w:sz w:val="32"/>
          <w:szCs w:val="32"/>
        </w:rPr>
        <w:t>总 则</w:t>
      </w:r>
      <w:bookmarkEnd w:id="21"/>
      <w:bookmarkEnd w:id="22"/>
      <w:bookmarkEnd w:id="23"/>
      <w:bookmarkEnd w:id="24"/>
      <w:bookmarkEnd w:id="25"/>
      <w:bookmarkEnd w:id="26"/>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rPr>
      </w:pPr>
      <w:bookmarkStart w:id="27" w:name="_Toc6742"/>
      <w:bookmarkStart w:id="28" w:name="_Toc358364319"/>
      <w:bookmarkStart w:id="29" w:name="_Toc380336725"/>
      <w:bookmarkStart w:id="30" w:name="_Toc9257"/>
      <w:r>
        <w:rPr>
          <w:rFonts w:hint="eastAsia" w:asciiTheme="minorEastAsia" w:hAnsiTheme="minorEastAsia" w:eastAsiaTheme="minorEastAsia" w:cstheme="minorEastAsia"/>
          <w:sz w:val="24"/>
          <w:szCs w:val="24"/>
        </w:rPr>
        <w:t>适用范围</w:t>
      </w:r>
      <w:bookmarkEnd w:id="27"/>
      <w:bookmarkEnd w:id="28"/>
      <w:bookmarkEnd w:id="29"/>
      <w:bookmarkEnd w:id="30"/>
    </w:p>
    <w:p>
      <w:pPr>
        <w:widowControl/>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1.1本招标文件适用于本次招标活动的全过程。</w:t>
      </w:r>
    </w:p>
    <w:p>
      <w:pPr>
        <w:widowControl/>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本次采购属政府采购，采购人、采购代理机构、供应商、评标委员会的相关行为均受《中华人民共和国政府采购法》及实施条例、财政部规章及政府采购项目所在地有关法规、规章的约束，其权利受到上述法律法规的保护。</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rPr>
      </w:pPr>
      <w:bookmarkStart w:id="31" w:name="_Toc11287"/>
      <w:bookmarkStart w:id="32" w:name="_Toc358364320"/>
      <w:bookmarkStart w:id="33" w:name="_Toc380336726"/>
      <w:bookmarkStart w:id="34" w:name="_Toc7922"/>
      <w:r>
        <w:rPr>
          <w:rFonts w:hint="eastAsia" w:asciiTheme="minorEastAsia" w:hAnsiTheme="minorEastAsia" w:eastAsiaTheme="minorEastAsia" w:cstheme="minorEastAsia"/>
          <w:sz w:val="24"/>
          <w:szCs w:val="24"/>
        </w:rPr>
        <w:t>定义</w:t>
      </w:r>
      <w:bookmarkEnd w:id="31"/>
      <w:bookmarkEnd w:id="32"/>
      <w:bookmarkEnd w:id="33"/>
      <w:bookmarkEnd w:id="34"/>
    </w:p>
    <w:p>
      <w:pPr>
        <w:widowControl/>
        <w:spacing w:line="500" w:lineRule="exact"/>
        <w:ind w:firstLine="480" w:firstLineChars="200"/>
        <w:rPr>
          <w:rFonts w:asciiTheme="minorEastAsia" w:hAnsiTheme="minorEastAsia" w:eastAsiaTheme="minorEastAsia" w:cstheme="minorEastAsia"/>
          <w:kern w:val="0"/>
          <w:sz w:val="24"/>
          <w:szCs w:val="24"/>
        </w:rPr>
      </w:pPr>
      <w:bookmarkStart w:id="35" w:name="_Toc17676"/>
      <w:bookmarkStart w:id="36" w:name="_Toc358364321"/>
      <w:bookmarkStart w:id="37" w:name="_Toc380336727"/>
      <w:bookmarkStart w:id="38" w:name="_Toc23781"/>
      <w:r>
        <w:rPr>
          <w:rFonts w:hint="eastAsia" w:asciiTheme="minorEastAsia" w:hAnsiTheme="minorEastAsia" w:eastAsiaTheme="minorEastAsia" w:cstheme="minorEastAsia"/>
          <w:kern w:val="0"/>
          <w:sz w:val="24"/>
          <w:szCs w:val="24"/>
        </w:rPr>
        <w:t>2.1“采购人”是指依法进行政府采购的国家机关、事业单位、团体组织。本次政府采购的采购人名称、地址、电话见供应商须知前附表。</w:t>
      </w:r>
    </w:p>
    <w:p>
      <w:pPr>
        <w:widowControl/>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2.3“供应商”是指向采购人提供货物、工程或服务的法人、其他组织或自然人。</w:t>
      </w:r>
    </w:p>
    <w:p>
      <w:pPr>
        <w:widowControl/>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2.4“货物”是指各种形态和种类的物品，包括原材料、燃料、设备、产品等。按照财政部《政府采购进口产品管理办法》（财库[2007]119号）的有关规定，本招标文件涉及的所有采购内容除特别标注为“进口产品”外，均必须采购国产产品。进口产品特指“通过中国海关报关验放进入中国境内且产自关境外的产品”。</w:t>
      </w:r>
    </w:p>
    <w:p>
      <w:pPr>
        <w:widowControl/>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2.5“服务”指除了货物和工程外的其他政府采购对象。包含除货物以外规定由供应商承担的与货物有关的辅助服务。</w:t>
      </w:r>
    </w:p>
    <w:p>
      <w:pPr>
        <w:widowControl/>
        <w:spacing w:line="500" w:lineRule="exact"/>
        <w:rPr>
          <w:rFonts w:asciiTheme="minorEastAsia" w:hAnsiTheme="minorEastAsia" w:eastAsiaTheme="minorEastAsia" w:cstheme="minorEastAsia"/>
        </w:rPr>
      </w:pPr>
      <w:r>
        <w:rPr>
          <w:rFonts w:hint="eastAsia" w:asciiTheme="minorEastAsia" w:hAnsiTheme="minorEastAsia" w:eastAsiaTheme="minorEastAsia" w:cstheme="minorEastAsia"/>
          <w:kern w:val="0"/>
          <w:sz w:val="24"/>
          <w:szCs w:val="24"/>
        </w:rPr>
        <w:t xml:space="preserve">    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合格的</w:t>
      </w:r>
      <w:bookmarkEnd w:id="35"/>
      <w:bookmarkEnd w:id="36"/>
      <w:bookmarkEnd w:id="37"/>
      <w:bookmarkEnd w:id="38"/>
      <w:r>
        <w:rPr>
          <w:rFonts w:hint="eastAsia" w:asciiTheme="minorEastAsia" w:hAnsiTheme="minorEastAsia" w:eastAsiaTheme="minorEastAsia" w:cstheme="minorEastAsia"/>
          <w:sz w:val="24"/>
          <w:szCs w:val="24"/>
        </w:rPr>
        <w:t>供应商</w:t>
      </w:r>
    </w:p>
    <w:p>
      <w:pPr>
        <w:numPr>
          <w:ilvl w:val="0"/>
          <w:numId w:val="10"/>
        </w:numPr>
        <w:spacing w:line="500" w:lineRule="exact"/>
        <w:ind w:left="6"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具有本项目生产、制造、加工、供应或实施能力，符合、承认并承诺履行本招标文件各项规定的国内供应商。</w:t>
      </w:r>
    </w:p>
    <w:p>
      <w:pPr>
        <w:numPr>
          <w:ilvl w:val="0"/>
          <w:numId w:val="10"/>
        </w:numPr>
        <w:spacing w:line="500" w:lineRule="exact"/>
        <w:ind w:left="6"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供应商必须是已在中国境内依法登记注册的供应商。</w:t>
      </w:r>
    </w:p>
    <w:p>
      <w:pPr>
        <w:numPr>
          <w:ilvl w:val="0"/>
          <w:numId w:val="10"/>
        </w:numPr>
        <w:spacing w:line="500" w:lineRule="exact"/>
        <w:ind w:left="6"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供应商应遵守有关的国家法律、法规和条例，具备《中华人民共和国政府采购法》和本文件中规定的条件：</w:t>
      </w:r>
    </w:p>
    <w:p>
      <w:pPr>
        <w:numPr>
          <w:ilvl w:val="0"/>
          <w:numId w:val="11"/>
        </w:numPr>
        <w:spacing w:line="500" w:lineRule="exact"/>
        <w:ind w:left="105" w:leftChars="50"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具有独立承担民事责任的能力；</w:t>
      </w:r>
    </w:p>
    <w:p>
      <w:pPr>
        <w:numPr>
          <w:ilvl w:val="0"/>
          <w:numId w:val="11"/>
        </w:numPr>
        <w:spacing w:line="500" w:lineRule="exact"/>
        <w:ind w:left="105" w:leftChars="50"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具有良好的商业信誉和健全的财务会计制度；</w:t>
      </w:r>
    </w:p>
    <w:p>
      <w:pPr>
        <w:numPr>
          <w:ilvl w:val="0"/>
          <w:numId w:val="11"/>
        </w:numPr>
        <w:spacing w:line="500" w:lineRule="exact"/>
        <w:ind w:left="105" w:leftChars="50"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具有履行合同所必需的设备和专业技术能力；</w:t>
      </w:r>
    </w:p>
    <w:p>
      <w:pPr>
        <w:numPr>
          <w:ilvl w:val="0"/>
          <w:numId w:val="11"/>
        </w:numPr>
        <w:spacing w:line="500" w:lineRule="exact"/>
        <w:ind w:left="105" w:leftChars="50"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具有依法缴纳税收和社会保障资金的良好记录；</w:t>
      </w:r>
    </w:p>
    <w:p>
      <w:pPr>
        <w:numPr>
          <w:ilvl w:val="0"/>
          <w:numId w:val="11"/>
        </w:numPr>
        <w:spacing w:line="500" w:lineRule="exact"/>
        <w:ind w:left="105" w:leftChars="50"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参加此项采购活动前三年内，在经营活动中没有重大违法记录；</w:t>
      </w:r>
    </w:p>
    <w:p>
      <w:pPr>
        <w:numPr>
          <w:ilvl w:val="0"/>
          <w:numId w:val="11"/>
        </w:numPr>
        <w:spacing w:line="500" w:lineRule="exact"/>
        <w:ind w:left="105" w:leftChars="50"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法律、行政法规规定的其他条件；</w:t>
      </w:r>
    </w:p>
    <w:p>
      <w:pPr>
        <w:numPr>
          <w:ilvl w:val="0"/>
          <w:numId w:val="10"/>
        </w:numPr>
        <w:spacing w:line="500" w:lineRule="exact"/>
        <w:ind w:left="6"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供应商购买招标文件时应登记备案，并提供有效联系方式。</w:t>
      </w:r>
    </w:p>
    <w:p>
      <w:pPr>
        <w:numPr>
          <w:ilvl w:val="0"/>
          <w:numId w:val="10"/>
        </w:numPr>
        <w:spacing w:line="500" w:lineRule="exact"/>
        <w:ind w:left="6"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供应商应独立于采购人，不得直接或间接地与采购人为采购本次招标的货物进行设计、编制技术规格和其它文件所委托的咨询公司或其附属机构有任何关联。</w:t>
      </w:r>
    </w:p>
    <w:p>
      <w:pPr>
        <w:numPr>
          <w:ilvl w:val="0"/>
          <w:numId w:val="10"/>
        </w:numPr>
        <w:spacing w:line="500" w:lineRule="exact"/>
        <w:ind w:left="6"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供应商不得存在下列情形之一：</w:t>
      </w:r>
    </w:p>
    <w:p>
      <w:pPr>
        <w:tabs>
          <w:tab w:val="left" w:pos="0"/>
        </w:tabs>
        <w:spacing w:line="500" w:lineRule="exact"/>
        <w:ind w:left="6"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（1）与采购人采购代理机构存在隶属关系或者其他利害关系。</w:t>
      </w:r>
    </w:p>
    <w:p>
      <w:pPr>
        <w:tabs>
          <w:tab w:val="left" w:pos="0"/>
        </w:tabs>
        <w:spacing w:line="500" w:lineRule="exact"/>
        <w:ind w:left="6"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（2）与其他供应商的法定代表人（或者负责人）为同一人，或者与其他供应商存在直接控股、管理关系。</w:t>
      </w:r>
    </w:p>
    <w:p>
      <w:pPr>
        <w:tabs>
          <w:tab w:val="left" w:pos="0"/>
        </w:tabs>
        <w:spacing w:line="500" w:lineRule="exact"/>
        <w:ind w:left="6" w:firstLine="480" w:firstLineChars="200"/>
        <w:rPr>
          <w:rFonts w:ascii="宋体" w:hAnsi="宋体" w:cs="宋体"/>
          <w:kern w:val="0"/>
          <w:sz w:val="24"/>
          <w:szCs w:val="24"/>
        </w:rPr>
      </w:pPr>
      <w:r>
        <w:rPr>
          <w:rFonts w:hint="eastAsia" w:asciiTheme="minorEastAsia" w:hAnsiTheme="minorEastAsia" w:eastAsiaTheme="minorEastAsia" w:cstheme="minorEastAsia"/>
          <w:kern w:val="0"/>
          <w:sz w:val="24"/>
          <w:szCs w:val="24"/>
        </w:rPr>
        <w:t>（3）</w:t>
      </w:r>
      <w:r>
        <w:rPr>
          <w:rFonts w:hint="eastAsia" w:ascii="宋体" w:hAnsi="宋体" w:cs="宋体"/>
          <w:kern w:val="0"/>
          <w:sz w:val="24"/>
          <w:szCs w:val="24"/>
        </w:rPr>
        <w:t>受到刑事处罚，或者受较大数额罚款，责令停产停业、在一年至三年内禁止参加政府采购活动、暂扣或吊销许可证、暂扣或吊销执照等情形之一的行政处罚，或者存在财政部门认定的其他重大违法记录。</w:t>
      </w:r>
    </w:p>
    <w:p>
      <w:pPr>
        <w:tabs>
          <w:tab w:val="left" w:pos="0"/>
        </w:tabs>
        <w:spacing w:line="500" w:lineRule="exact"/>
        <w:ind w:left="6"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r>
        <w:rPr>
          <w:rFonts w:hint="eastAsia" w:asciiTheme="minorEastAsia" w:hAnsiTheme="minorEastAsia" w:eastAsiaTheme="minorEastAsia" w:cstheme="minorEastAsia"/>
          <w:sz w:val="24"/>
          <w:szCs w:val="24"/>
        </w:rPr>
        <w:t>供应商在投标截止日前在信用中国网（www.creditchina.gov.cn）被列入失信被执行人、重大税收违法案件当事人名单或在中国政府采购网（www.ccgp.gov.cn）被列入政府采购严重违法失信行为记录名单（处罚期限届满的除外，如相关失信记录已失效，供应商需提供相关证明资料）</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rPr>
      </w:pPr>
      <w:bookmarkStart w:id="39" w:name="_Toc540"/>
      <w:bookmarkStart w:id="40" w:name="_Toc358364322"/>
      <w:bookmarkStart w:id="41" w:name="_Toc380336728"/>
      <w:bookmarkStart w:id="42" w:name="_Toc22444"/>
      <w:r>
        <w:rPr>
          <w:rFonts w:hint="eastAsia" w:asciiTheme="minorEastAsia" w:hAnsiTheme="minorEastAsia" w:eastAsiaTheme="minorEastAsia" w:cstheme="minorEastAsia"/>
          <w:sz w:val="24"/>
          <w:szCs w:val="24"/>
        </w:rPr>
        <w:t>费用</w:t>
      </w:r>
      <w:bookmarkEnd w:id="39"/>
      <w:bookmarkEnd w:id="40"/>
      <w:bookmarkEnd w:id="41"/>
      <w:bookmarkEnd w:id="42"/>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kern w:val="0"/>
          <w:sz w:val="24"/>
          <w:szCs w:val="24"/>
        </w:rPr>
        <w:t>应承担所有与准备和参加投标有关的费用，采购代理机构（或采购人）在任何情况下均无义务和责任承担这些费用。</w:t>
      </w:r>
    </w:p>
    <w:p>
      <w:pPr>
        <w:pStyle w:val="5"/>
        <w:numPr>
          <w:ilvl w:val="0"/>
          <w:numId w:val="9"/>
        </w:numPr>
        <w:spacing w:before="0" w:after="0" w:line="50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采购进口产品</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5.1 除供应商须知前附表另有规定外，本项目拒绝进口产品参加采购活动。</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5.2 本项目第五部分采购要求中同意购买进口产品的，采购活动不限制满足招标文件要求的国产产品参与本次采购。</w:t>
      </w:r>
    </w:p>
    <w:p>
      <w:pPr>
        <w:pStyle w:val="5"/>
        <w:numPr>
          <w:ilvl w:val="0"/>
          <w:numId w:val="9"/>
        </w:numPr>
        <w:spacing w:before="0" w:after="312" w:afterLines="100" w:line="50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政府采购政策支持</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6.1对列入财政部、国家发改委发布的《节能产品品目清单》且属于应当“强制采购的节能产品”，按照规定实行强制采购。 </w:t>
      </w:r>
    </w:p>
    <w:p>
      <w:pPr>
        <w:widowControl/>
        <w:wordWrap w:val="0"/>
        <w:snapToGrid w:val="0"/>
        <w:spacing w:line="360" w:lineRule="auto"/>
        <w:ind w:right="-92" w:rightChars="-44" w:firstLine="480" w:firstLineChars="200"/>
        <w:rPr>
          <w:rFonts w:ascii="宋体" w:hAnsi="宋体" w:cs="宋体"/>
          <w:kern w:val="0"/>
          <w:sz w:val="24"/>
          <w:szCs w:val="24"/>
        </w:rPr>
      </w:pPr>
      <w:r>
        <w:rPr>
          <w:rFonts w:hint="eastAsia" w:ascii="宋体" w:hAnsi="宋体" w:cs="宋体"/>
          <w:kern w:val="0"/>
          <w:sz w:val="24"/>
          <w:szCs w:val="24"/>
        </w:rPr>
        <w:t>6.2对列入财政部、国家发展改革委员会发布的《节能产品品目清单》的“非强制采购节能产品”，财政部、环境保护部发布的《环境标志产品品目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0" w:rightChars="-43" w:firstLine="480" w:firstLineChars="200"/>
        <w:jc w:val="left"/>
        <w:rPr>
          <w:rFonts w:ascii="宋体" w:hAnsi="宋体" w:cs="宋体"/>
          <w:color w:val="000000"/>
          <w:kern w:val="0"/>
          <w:sz w:val="24"/>
          <w:szCs w:val="24"/>
        </w:rPr>
      </w:pPr>
      <w:r>
        <w:rPr>
          <w:rFonts w:hint="eastAsia" w:ascii="宋体" w:hAnsi="宋体" w:cs="宋体"/>
          <w:kern w:val="0"/>
          <w:sz w:val="24"/>
          <w:szCs w:val="24"/>
        </w:rPr>
        <w:t xml:space="preserve">6.3产品同时属于“非强制采购节能产品”、环境标志产品的，评审时只有其中一项能享受优先待遇（投标人自行选择，并在报价文件中填写相关信息及数据）。    </w:t>
      </w:r>
      <w:r>
        <w:rPr>
          <w:rFonts w:hint="eastAsia" w:ascii="宋体" w:hAnsi="宋体" w:cs="宋体"/>
          <w:color w:val="000000"/>
          <w:kern w:val="0"/>
          <w:sz w:val="24"/>
          <w:szCs w:val="24"/>
        </w:rPr>
        <w:t>6.4供应商有融资、担保需求的，具体办理流程按照财政厅及相关政策执行。</w:t>
      </w: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rPr>
      </w:pPr>
    </w:p>
    <w:p>
      <w:pPr>
        <w:widowControl/>
        <w:wordWrap w:val="0"/>
        <w:snapToGrid w:val="0"/>
        <w:spacing w:line="360" w:lineRule="auto"/>
        <w:ind w:right="-92" w:rightChars="-44" w:firstLine="480" w:firstLineChars="200"/>
        <w:jc w:val="left"/>
        <w:rPr>
          <w:rFonts w:asciiTheme="minorEastAsia" w:hAnsiTheme="minorEastAsia" w:eastAsiaTheme="minorEastAsia" w:cstheme="minorEastAsia"/>
          <w:kern w:val="0"/>
          <w:sz w:val="24"/>
          <w:szCs w:val="24"/>
        </w:rPr>
        <w:sectPr>
          <w:headerReference r:id="rId9" w:type="default"/>
          <w:pgSz w:w="11906" w:h="16838"/>
          <w:pgMar w:top="1440" w:right="1706" w:bottom="1440" w:left="1800" w:header="851" w:footer="992" w:gutter="0"/>
          <w:cols w:space="720" w:num="1"/>
          <w:docGrid w:type="lines" w:linePitch="312" w:charSpace="0"/>
        </w:sectPr>
      </w:pPr>
    </w:p>
    <w:p>
      <w:pPr>
        <w:widowControl/>
        <w:numPr>
          <w:ilvl w:val="0"/>
          <w:numId w:val="8"/>
        </w:numPr>
        <w:spacing w:before="156" w:beforeLines="50" w:after="156" w:afterLines="50" w:line="500" w:lineRule="exact"/>
        <w:ind w:firstLine="0"/>
        <w:jc w:val="center"/>
        <w:outlineLvl w:val="1"/>
        <w:rPr>
          <w:rFonts w:asciiTheme="minorEastAsia" w:hAnsiTheme="minorEastAsia" w:eastAsiaTheme="minorEastAsia" w:cstheme="minorEastAsia"/>
          <w:b/>
          <w:bCs/>
          <w:kern w:val="0"/>
          <w:sz w:val="32"/>
          <w:szCs w:val="32"/>
        </w:rPr>
      </w:pPr>
      <w:bookmarkStart w:id="43" w:name="_Toc32136"/>
      <w:bookmarkStart w:id="44" w:name="_Toc21097"/>
      <w:bookmarkStart w:id="45" w:name="_Toc7144"/>
      <w:bookmarkStart w:id="46" w:name="_Toc5442"/>
      <w:bookmarkStart w:id="47" w:name="_Toc4435"/>
      <w:bookmarkStart w:id="48" w:name="_Toc22364"/>
      <w:r>
        <w:rPr>
          <w:rFonts w:hint="eastAsia" w:asciiTheme="minorEastAsia" w:hAnsiTheme="minorEastAsia" w:eastAsiaTheme="minorEastAsia" w:cstheme="minorEastAsia"/>
          <w:b/>
          <w:bCs/>
          <w:kern w:val="0"/>
          <w:sz w:val="32"/>
          <w:szCs w:val="32"/>
        </w:rPr>
        <w:t>招标文件</w:t>
      </w:r>
      <w:bookmarkEnd w:id="43"/>
      <w:bookmarkEnd w:id="44"/>
      <w:bookmarkEnd w:id="45"/>
      <w:bookmarkEnd w:id="46"/>
      <w:bookmarkEnd w:id="47"/>
      <w:bookmarkEnd w:id="48"/>
    </w:p>
    <w:p>
      <w:pPr>
        <w:pStyle w:val="5"/>
        <w:keepNext w:val="0"/>
        <w:keepLines w:val="0"/>
        <w:numPr>
          <w:ilvl w:val="0"/>
          <w:numId w:val="12"/>
        </w:numPr>
        <w:spacing w:before="0" w:after="0" w:line="500" w:lineRule="exact"/>
        <w:ind w:firstLine="482" w:firstLineChars="200"/>
        <w:rPr>
          <w:rFonts w:asciiTheme="minorEastAsia" w:hAnsiTheme="minorEastAsia" w:eastAsiaTheme="minorEastAsia" w:cstheme="minorEastAsia"/>
          <w:sz w:val="24"/>
          <w:szCs w:val="24"/>
        </w:rPr>
      </w:pPr>
      <w:bookmarkStart w:id="49" w:name="_Toc17817"/>
      <w:bookmarkStart w:id="50" w:name="_Toc5801"/>
      <w:r>
        <w:rPr>
          <w:rFonts w:hint="eastAsia" w:asciiTheme="minorEastAsia" w:hAnsiTheme="minorEastAsia" w:eastAsiaTheme="minorEastAsia" w:cstheme="minorEastAsia"/>
          <w:sz w:val="24"/>
          <w:szCs w:val="24"/>
        </w:rPr>
        <w:t>招标文件</w:t>
      </w:r>
      <w:bookmarkEnd w:id="49"/>
      <w:r>
        <w:rPr>
          <w:rFonts w:hint="eastAsia" w:asciiTheme="minorEastAsia" w:hAnsiTheme="minorEastAsia" w:eastAsiaTheme="minorEastAsia" w:cstheme="minorEastAsia"/>
          <w:sz w:val="24"/>
          <w:szCs w:val="24"/>
        </w:rPr>
        <w:t>的构成</w:t>
      </w:r>
      <w:bookmarkEnd w:id="50"/>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招标文件是供应商准备投标文件和参加投标的依据，同时也是评标的重要依据，具有准法律文件性质。本招标文件包括以下内容：</w:t>
      </w:r>
    </w:p>
    <w:p>
      <w:pPr>
        <w:numPr>
          <w:ilvl w:val="0"/>
          <w:numId w:val="13"/>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公开招标公告；</w:t>
      </w:r>
    </w:p>
    <w:p>
      <w:pPr>
        <w:numPr>
          <w:ilvl w:val="0"/>
          <w:numId w:val="13"/>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供应商须知前附表；</w:t>
      </w:r>
    </w:p>
    <w:p>
      <w:pPr>
        <w:numPr>
          <w:ilvl w:val="0"/>
          <w:numId w:val="13"/>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供应商须知；</w:t>
      </w:r>
    </w:p>
    <w:p>
      <w:pPr>
        <w:numPr>
          <w:ilvl w:val="0"/>
          <w:numId w:val="13"/>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评分标准；</w:t>
      </w:r>
    </w:p>
    <w:p>
      <w:pPr>
        <w:numPr>
          <w:ilvl w:val="0"/>
          <w:numId w:val="13"/>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商务条款与采购要求；</w:t>
      </w:r>
    </w:p>
    <w:p>
      <w:pPr>
        <w:numPr>
          <w:ilvl w:val="0"/>
          <w:numId w:val="13"/>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合同条款；</w:t>
      </w:r>
    </w:p>
    <w:p>
      <w:pPr>
        <w:numPr>
          <w:ilvl w:val="0"/>
          <w:numId w:val="13"/>
        </w:num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投标文件格式。</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供应商应认真阅读采购文件中所有的条款、事项、格式和技术规范、参数及要求等。供应商没有按照采购文件要求提交全部资料，或者没有对采购文件在各方面都做出实质性响应是供应商的风险，有可能导致其投标被拒绝或被认定为无效投标。</w:t>
      </w:r>
    </w:p>
    <w:p>
      <w:pPr>
        <w:pStyle w:val="5"/>
        <w:keepNext w:val="0"/>
        <w:keepLines w:val="0"/>
        <w:numPr>
          <w:ilvl w:val="0"/>
          <w:numId w:val="12"/>
        </w:numPr>
        <w:spacing w:before="0" w:after="0" w:line="500" w:lineRule="exact"/>
        <w:ind w:firstLine="482" w:firstLineChars="200"/>
        <w:rPr>
          <w:rFonts w:asciiTheme="minorEastAsia" w:hAnsiTheme="minorEastAsia" w:eastAsiaTheme="minorEastAsia" w:cstheme="minorEastAsia"/>
          <w:sz w:val="24"/>
          <w:szCs w:val="24"/>
        </w:rPr>
      </w:pPr>
      <w:bookmarkStart w:id="51" w:name="_Toc19797"/>
      <w:r>
        <w:rPr>
          <w:rFonts w:hint="eastAsia" w:asciiTheme="minorEastAsia" w:hAnsiTheme="minorEastAsia" w:eastAsiaTheme="minorEastAsia" w:cstheme="minorEastAsia"/>
          <w:sz w:val="24"/>
          <w:szCs w:val="24"/>
        </w:rPr>
        <w:t>招标文件的澄清</w:t>
      </w:r>
      <w:bookmarkEnd w:id="51"/>
    </w:p>
    <w:p>
      <w:pPr>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供应商应认真阅读和充分理解招标文件中所有的事项，如有问题或疑议请及时函告。否则，视为同意招标文件的一切条款和要求并承担由此引起的一切法律责任。凡因供应商对公开招标文件阅读不深、理解不透、误解、疏漏、或因市场行情了解不清造成的后果和风险均由供应商自负。</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任何对公开招标文件进行询问或要求进行澄清的供应商，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12"/>
        </w:numPr>
        <w:spacing w:before="0" w:after="0" w:line="500" w:lineRule="exact"/>
        <w:ind w:firstLine="482" w:firstLineChars="200"/>
        <w:rPr>
          <w:rFonts w:asciiTheme="minorEastAsia" w:hAnsiTheme="minorEastAsia" w:eastAsiaTheme="minorEastAsia" w:cstheme="minorEastAsia"/>
          <w:sz w:val="24"/>
          <w:szCs w:val="24"/>
        </w:rPr>
      </w:pPr>
      <w:bookmarkStart w:id="52" w:name="_Toc6390"/>
      <w:r>
        <w:rPr>
          <w:rFonts w:hint="eastAsia" w:asciiTheme="minorEastAsia" w:hAnsiTheme="minorEastAsia" w:eastAsiaTheme="minorEastAsia" w:cstheme="minorEastAsia"/>
          <w:sz w:val="24"/>
          <w:szCs w:val="24"/>
        </w:rPr>
        <w:t>招标文件的修改</w:t>
      </w:r>
      <w:bookmarkEnd w:id="52"/>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在投标截止时间十五日前，无论出于何种原因，代理机构可主动地或在解答供应商提出的澄清问题时，对公开招标文件进行修改。公开招标文件的澄清和修改将以书面形式通知所有供应商，并作为公开招标文件的补充，与其具有同等法律效力。</w:t>
      </w:r>
    </w:p>
    <w:p>
      <w:pPr>
        <w:tabs>
          <w:tab w:val="left" w:pos="0"/>
        </w:tabs>
        <w:adjustRightInd w:val="0"/>
        <w:snapToGrid w:val="0"/>
        <w:spacing w:line="500" w:lineRule="exact"/>
        <w:ind w:firstLine="480" w:firstLineChars="20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3.2 为方便供应商对公开招标文件修改或澄清内容有充分的时间进行补充修改，代理机构可适当延长投标截止时间和开标时间，将变更时间书面通知所有购买招标文件的供应商。</w:t>
      </w:r>
    </w:p>
    <w:p>
      <w:pPr>
        <w:pStyle w:val="5"/>
        <w:keepNext w:val="0"/>
        <w:keepLines w:val="0"/>
        <w:numPr>
          <w:ilvl w:val="0"/>
          <w:numId w:val="12"/>
        </w:numPr>
        <w:spacing w:before="0" w:after="0" w:line="500" w:lineRule="exact"/>
        <w:ind w:firstLine="482" w:firstLineChars="200"/>
        <w:rPr>
          <w:rFonts w:asciiTheme="minorEastAsia" w:hAnsiTheme="minorEastAsia" w:eastAsiaTheme="minorEastAsia" w:cstheme="minorEastAsia"/>
          <w:sz w:val="24"/>
          <w:szCs w:val="24"/>
        </w:rPr>
      </w:pPr>
      <w:bookmarkStart w:id="53" w:name="_Toc31188"/>
      <w:r>
        <w:rPr>
          <w:rFonts w:hint="eastAsia" w:asciiTheme="minorEastAsia" w:hAnsiTheme="minorEastAsia" w:eastAsiaTheme="minorEastAsia" w:cstheme="minorEastAsia"/>
          <w:sz w:val="24"/>
          <w:szCs w:val="24"/>
        </w:rPr>
        <w:t>招标文件的获取</w:t>
      </w:r>
      <w:bookmarkEnd w:id="53"/>
    </w:p>
    <w:p>
      <w:pPr>
        <w:widowControl/>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供应商必须从代理机构购买招标文件，供应商自行转让或复制招标文件视为无效。招标文件一经售出，一律不退，仅作为本次公开招标使用。</w:t>
      </w:r>
    </w:p>
    <w:p>
      <w:pPr>
        <w:pStyle w:val="5"/>
        <w:numPr>
          <w:ilvl w:val="0"/>
          <w:numId w:val="12"/>
        </w:numPr>
        <w:spacing w:before="0" w:after="0" w:line="500" w:lineRule="exact"/>
        <w:ind w:firstLine="482" w:firstLineChars="200"/>
        <w:rPr>
          <w:rFonts w:asciiTheme="minorEastAsia" w:hAnsiTheme="minorEastAsia" w:eastAsiaTheme="minorEastAsia" w:cstheme="minorEastAsia"/>
          <w:sz w:val="24"/>
          <w:szCs w:val="24"/>
        </w:rPr>
      </w:pPr>
      <w:bookmarkStart w:id="54" w:name="_Toc5095"/>
      <w:r>
        <w:rPr>
          <w:rFonts w:hint="eastAsia" w:asciiTheme="minorEastAsia" w:hAnsiTheme="minorEastAsia" w:eastAsiaTheme="minorEastAsia" w:cstheme="minorEastAsia"/>
          <w:sz w:val="24"/>
          <w:szCs w:val="24"/>
        </w:rPr>
        <w:t>招标文件的解释权归代理机构</w:t>
      </w:r>
      <w:bookmarkEnd w:id="54"/>
    </w:p>
    <w:p>
      <w:pPr>
        <w:widowControl/>
        <w:numPr>
          <w:ilvl w:val="0"/>
          <w:numId w:val="8"/>
        </w:numPr>
        <w:spacing w:line="360" w:lineRule="auto"/>
        <w:ind w:firstLine="482" w:firstLineChars="200"/>
        <w:jc w:val="center"/>
        <w:outlineLvl w:val="1"/>
        <w:rPr>
          <w:rFonts w:asciiTheme="minorEastAsia" w:hAnsiTheme="minorEastAsia" w:eastAsiaTheme="minorEastAsia" w:cstheme="minorEastAsia"/>
          <w:b/>
          <w:bCs/>
          <w:kern w:val="0"/>
          <w:sz w:val="24"/>
          <w:szCs w:val="24"/>
        </w:rPr>
        <w:sectPr>
          <w:pgSz w:w="11906" w:h="16838"/>
          <w:pgMar w:top="1440" w:right="1706" w:bottom="1440" w:left="1800" w:header="851" w:footer="992" w:gutter="0"/>
          <w:cols w:space="720" w:num="1"/>
          <w:docGrid w:type="lines" w:linePitch="312" w:charSpace="0"/>
        </w:sectPr>
      </w:pPr>
    </w:p>
    <w:p>
      <w:pPr>
        <w:widowControl/>
        <w:numPr>
          <w:ilvl w:val="0"/>
          <w:numId w:val="8"/>
        </w:numPr>
        <w:spacing w:before="156" w:beforeLines="50" w:after="156" w:afterLines="50" w:line="500" w:lineRule="exact"/>
        <w:ind w:firstLine="0"/>
        <w:jc w:val="center"/>
        <w:outlineLvl w:val="1"/>
        <w:rPr>
          <w:rFonts w:asciiTheme="minorEastAsia" w:hAnsiTheme="minorEastAsia" w:eastAsiaTheme="minorEastAsia" w:cstheme="minorEastAsia"/>
          <w:b/>
          <w:bCs/>
          <w:kern w:val="0"/>
          <w:sz w:val="32"/>
          <w:szCs w:val="32"/>
        </w:rPr>
      </w:pPr>
      <w:bookmarkStart w:id="55" w:name="_Toc25168"/>
      <w:bookmarkStart w:id="56" w:name="_Toc15601"/>
      <w:bookmarkStart w:id="57" w:name="_Toc6132"/>
      <w:bookmarkStart w:id="58" w:name="_Toc16243"/>
      <w:bookmarkStart w:id="59" w:name="_Toc24897"/>
      <w:bookmarkStart w:id="60" w:name="_Toc23605"/>
      <w:r>
        <w:rPr>
          <w:rFonts w:hint="eastAsia" w:asciiTheme="minorEastAsia" w:hAnsiTheme="minorEastAsia" w:eastAsiaTheme="minorEastAsia" w:cstheme="minorEastAsia"/>
          <w:b/>
          <w:bCs/>
          <w:kern w:val="0"/>
          <w:sz w:val="32"/>
          <w:szCs w:val="32"/>
        </w:rPr>
        <w:t>投标文件</w:t>
      </w:r>
      <w:bookmarkEnd w:id="55"/>
      <w:bookmarkEnd w:id="56"/>
      <w:bookmarkEnd w:id="57"/>
      <w:bookmarkEnd w:id="58"/>
      <w:bookmarkEnd w:id="59"/>
      <w:bookmarkEnd w:id="60"/>
    </w:p>
    <w:p>
      <w:pPr>
        <w:pStyle w:val="5"/>
        <w:numPr>
          <w:ilvl w:val="0"/>
          <w:numId w:val="14"/>
        </w:numPr>
        <w:spacing w:before="0" w:after="0" w:line="500" w:lineRule="exact"/>
        <w:ind w:firstLine="482" w:firstLineChars="200"/>
        <w:rPr>
          <w:rFonts w:asciiTheme="minorEastAsia" w:hAnsiTheme="minorEastAsia" w:eastAsiaTheme="minorEastAsia" w:cstheme="minorEastAsia"/>
          <w:sz w:val="24"/>
          <w:szCs w:val="24"/>
        </w:rPr>
      </w:pPr>
      <w:bookmarkStart w:id="61" w:name="_Toc17549"/>
      <w:r>
        <w:rPr>
          <w:rFonts w:hint="eastAsia" w:asciiTheme="minorEastAsia" w:hAnsiTheme="minorEastAsia" w:eastAsiaTheme="minorEastAsia" w:cstheme="minorEastAsia"/>
          <w:sz w:val="24"/>
          <w:szCs w:val="24"/>
        </w:rPr>
        <w:t>投标文件的编制</w:t>
      </w:r>
      <w:bookmarkEnd w:id="61"/>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投标文件应根据代理机构发售的招标文件格式和顺序认真编制。具体内容包括：</w:t>
      </w:r>
    </w:p>
    <w:p>
      <w:pPr>
        <w:numPr>
          <w:ilvl w:val="0"/>
          <w:numId w:val="15"/>
        </w:numPr>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报价函；</w:t>
      </w:r>
    </w:p>
    <w:p>
      <w:pPr>
        <w:numPr>
          <w:ilvl w:val="0"/>
          <w:numId w:val="15"/>
        </w:numPr>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报价一览表；</w:t>
      </w:r>
    </w:p>
    <w:p>
      <w:pPr>
        <w:numPr>
          <w:ilvl w:val="0"/>
          <w:numId w:val="15"/>
        </w:numPr>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宋体" w:hAnsi="宋体" w:cs="宋体"/>
          <w:sz w:val="24"/>
          <w:szCs w:val="24"/>
        </w:rPr>
        <w:t>商务响应说明</w:t>
      </w:r>
      <w:r>
        <w:rPr>
          <w:rFonts w:hint="eastAsia" w:ascii="宋体" w:hAnsi="宋体" w:cs="宋体"/>
          <w:sz w:val="24"/>
          <w:szCs w:val="24"/>
          <w:lang w:eastAsia="zh-CN"/>
        </w:rPr>
        <w:t>；</w:t>
      </w:r>
    </w:p>
    <w:p>
      <w:pPr>
        <w:numPr>
          <w:ilvl w:val="0"/>
          <w:numId w:val="15"/>
        </w:numPr>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无重大违法记录的声明；</w:t>
      </w:r>
    </w:p>
    <w:p>
      <w:pPr>
        <w:numPr>
          <w:ilvl w:val="0"/>
          <w:numId w:val="15"/>
        </w:numPr>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供应商资质要求；</w:t>
      </w:r>
    </w:p>
    <w:p>
      <w:pPr>
        <w:numPr>
          <w:ilvl w:val="0"/>
          <w:numId w:val="15"/>
        </w:numPr>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实施方案</w:t>
      </w:r>
      <w:r>
        <w:rPr>
          <w:rFonts w:hint="eastAsia" w:asciiTheme="minorEastAsia" w:hAnsiTheme="minorEastAsia" w:eastAsiaTheme="minorEastAsia" w:cstheme="minorEastAsia"/>
          <w:sz w:val="24"/>
          <w:szCs w:val="24"/>
        </w:rPr>
        <w:t>与技术组织方案；</w:t>
      </w:r>
    </w:p>
    <w:p>
      <w:pPr>
        <w:numPr>
          <w:ilvl w:val="0"/>
          <w:numId w:val="15"/>
        </w:numPr>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w:t>
      </w:r>
      <w:r>
        <w:rPr>
          <w:rFonts w:hint="eastAsia" w:asciiTheme="minorEastAsia" w:hAnsiTheme="minorEastAsia" w:eastAsiaTheme="minorEastAsia" w:cstheme="minorEastAsia"/>
          <w:sz w:val="24"/>
          <w:szCs w:val="24"/>
          <w:lang w:eastAsia="zh-CN"/>
        </w:rPr>
        <w:t>及培训方案</w:t>
      </w:r>
      <w:r>
        <w:rPr>
          <w:rFonts w:hint="eastAsia" w:asciiTheme="minorEastAsia" w:hAnsiTheme="minorEastAsia" w:eastAsiaTheme="minorEastAsia" w:cstheme="minorEastAsia"/>
          <w:sz w:val="24"/>
          <w:szCs w:val="24"/>
        </w:rPr>
        <w:t>；</w:t>
      </w:r>
    </w:p>
    <w:p>
      <w:pPr>
        <w:numPr>
          <w:ilvl w:val="0"/>
          <w:numId w:val="15"/>
        </w:numPr>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业绩一览表；</w:t>
      </w:r>
    </w:p>
    <w:p>
      <w:pPr>
        <w:numPr>
          <w:ilvl w:val="0"/>
          <w:numId w:val="15"/>
        </w:numPr>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供应商认为有必要说明的其他问题</w:t>
      </w:r>
      <w:r>
        <w:rPr>
          <w:rFonts w:hint="eastAsia" w:asciiTheme="minorEastAsia" w:hAnsiTheme="minorEastAsia" w:eastAsiaTheme="minorEastAsia" w:cstheme="minorEastAsia"/>
          <w:sz w:val="24"/>
          <w:szCs w:val="24"/>
          <w:lang w:eastAsia="zh-CN"/>
        </w:rPr>
        <w:t>；</w:t>
      </w:r>
    </w:p>
    <w:p>
      <w:pPr>
        <w:widowControl/>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供应商须依据招标文件内容和投标文件格式的要求编制投标文件；投标文件规格幅面（A4）</w:t>
      </w:r>
      <w:r>
        <w:rPr>
          <w:rFonts w:hint="eastAsia" w:asciiTheme="minorEastAsia" w:hAnsiTheme="minorEastAsia" w:eastAsiaTheme="minorEastAsia" w:cstheme="minorEastAsia"/>
          <w:b/>
          <w:bCs/>
          <w:sz w:val="24"/>
          <w:szCs w:val="24"/>
        </w:rPr>
        <w:t>（推荐双面打印）</w:t>
      </w:r>
      <w:r>
        <w:rPr>
          <w:rFonts w:hint="eastAsia" w:asciiTheme="minorEastAsia" w:hAnsiTheme="minorEastAsia" w:eastAsiaTheme="minorEastAsia" w:cstheme="minorEastAsia"/>
          <w:sz w:val="24"/>
          <w:szCs w:val="24"/>
        </w:rPr>
        <w:t>，按照采购文件所规定的内容顺序，统一编目、编页码装订，技术文件中的各项表格须按照招标文件第七部分投标文件格式要求制作。由于编排混乱导致投标文件被误读或查找不到，其责任应当由供应商承担。装订必须采用胶订形式，不得采用活页装订，必须标注页码。</w:t>
      </w:r>
    </w:p>
    <w:p>
      <w:pPr>
        <w:pStyle w:val="5"/>
        <w:numPr>
          <w:ilvl w:val="0"/>
          <w:numId w:val="14"/>
        </w:numPr>
        <w:spacing w:before="0" w:after="0" w:line="500" w:lineRule="exact"/>
        <w:ind w:firstLine="482" w:firstLineChars="200"/>
        <w:rPr>
          <w:rFonts w:asciiTheme="minorEastAsia" w:hAnsiTheme="minorEastAsia" w:eastAsiaTheme="minorEastAsia" w:cstheme="minorEastAsia"/>
          <w:sz w:val="24"/>
          <w:szCs w:val="24"/>
        </w:rPr>
      </w:pPr>
      <w:bookmarkStart w:id="62" w:name="_Toc27646"/>
      <w:r>
        <w:rPr>
          <w:rFonts w:hint="eastAsia" w:asciiTheme="minorEastAsia" w:hAnsiTheme="minorEastAsia" w:eastAsiaTheme="minorEastAsia" w:cstheme="minorEastAsia"/>
          <w:sz w:val="24"/>
          <w:szCs w:val="24"/>
        </w:rPr>
        <w:t>投标报价</w:t>
      </w:r>
      <w:bookmarkEnd w:id="62"/>
    </w:p>
    <w:p>
      <w:pPr>
        <w:spacing w:line="360" w:lineRule="auto"/>
        <w:rPr>
          <w:rFonts w:eastAsiaTheme="minorEastAsia"/>
        </w:rPr>
      </w:pPr>
      <w:r>
        <w:rPr>
          <w:rFonts w:hint="eastAsia" w:asciiTheme="minorEastAsia" w:hAnsiTheme="minorEastAsia" w:eastAsiaTheme="minorEastAsia" w:cstheme="minorEastAsia"/>
          <w:b/>
          <w:bCs/>
          <w:sz w:val="24"/>
          <w:szCs w:val="24"/>
        </w:rPr>
        <w:t xml:space="preserve"> 详见供应商须知前附表。</w:t>
      </w:r>
    </w:p>
    <w:p>
      <w:pPr>
        <w:pStyle w:val="5"/>
        <w:numPr>
          <w:ilvl w:val="0"/>
          <w:numId w:val="14"/>
        </w:numPr>
        <w:spacing w:before="0" w:after="0" w:line="500" w:lineRule="exact"/>
        <w:ind w:firstLine="482" w:firstLineChars="200"/>
        <w:rPr>
          <w:rFonts w:asciiTheme="minorEastAsia" w:hAnsiTheme="minorEastAsia" w:eastAsiaTheme="minorEastAsia" w:cstheme="minorEastAsia"/>
          <w:sz w:val="24"/>
          <w:szCs w:val="24"/>
        </w:rPr>
      </w:pPr>
      <w:bookmarkStart w:id="63" w:name="_Toc29200"/>
      <w:bookmarkStart w:id="64" w:name="_Toc1311"/>
      <w:r>
        <w:rPr>
          <w:rFonts w:hint="eastAsia" w:asciiTheme="minorEastAsia" w:hAnsiTheme="minorEastAsia" w:eastAsiaTheme="minorEastAsia" w:cstheme="minorEastAsia"/>
          <w:sz w:val="24"/>
          <w:szCs w:val="24"/>
        </w:rPr>
        <w:t>投标货币</w:t>
      </w:r>
      <w:bookmarkEnd w:id="63"/>
    </w:p>
    <w:p>
      <w:pPr>
        <w:spacing w:line="360" w:lineRule="auto"/>
        <w:rPr>
          <w:rFonts w:eastAsiaTheme="minorEastAsia"/>
        </w:rPr>
      </w:pPr>
      <w:r>
        <w:rPr>
          <w:rFonts w:hint="eastAsia" w:asciiTheme="minorEastAsia" w:hAnsiTheme="minorEastAsia" w:eastAsiaTheme="minorEastAsia" w:cstheme="minorEastAsia"/>
          <w:b/>
          <w:bCs/>
          <w:sz w:val="24"/>
          <w:szCs w:val="24"/>
        </w:rPr>
        <w:t xml:space="preserve">  详见供应商须知前附表。</w:t>
      </w:r>
    </w:p>
    <w:p>
      <w:pPr>
        <w:pStyle w:val="5"/>
        <w:numPr>
          <w:ilvl w:val="0"/>
          <w:numId w:val="14"/>
        </w:numPr>
        <w:spacing w:before="0" w:after="0" w:line="50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投标保证金</w:t>
      </w:r>
      <w:bookmarkEnd w:id="64"/>
    </w:p>
    <w:p>
      <w:pPr>
        <w:tabs>
          <w:tab w:val="left" w:pos="0"/>
        </w:tabs>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投标保证金按照供应商须知前附表要求缴纳。</w:t>
      </w:r>
    </w:p>
    <w:p>
      <w:pPr>
        <w:tabs>
          <w:tab w:val="left" w:pos="0"/>
        </w:tabs>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供应商未按照招标文件要求交纳投标保证金的或投标保证金的交付单位和供应商的名称必须一致，视为无效投标。</w:t>
      </w:r>
    </w:p>
    <w:p>
      <w:pPr>
        <w:tabs>
          <w:tab w:val="left" w:pos="0"/>
        </w:tabs>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 未中标供应商的投标保证金，在中标通知书发出后5个工作日内无息退还；中标供应商的投标保证金在合同签订后5个工作日内无息退还。</w:t>
      </w:r>
    </w:p>
    <w:p>
      <w:pPr>
        <w:tabs>
          <w:tab w:val="left" w:pos="0"/>
        </w:tabs>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 发生下列情形之一的，代理机构将不予退还供应商交纳的投标保证金：</w:t>
      </w:r>
    </w:p>
    <w:p>
      <w:pPr>
        <w:numPr>
          <w:ilvl w:val="0"/>
          <w:numId w:val="16"/>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开标后在招标文件规定的投标有效期间，供应商撤回其所投投标文件；</w:t>
      </w:r>
    </w:p>
    <w:p>
      <w:pPr>
        <w:numPr>
          <w:ilvl w:val="0"/>
          <w:numId w:val="16"/>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在采购人确定中标供应商以前放弃中标候选资格的；</w:t>
      </w:r>
    </w:p>
    <w:p>
      <w:pPr>
        <w:numPr>
          <w:ilvl w:val="0"/>
          <w:numId w:val="16"/>
        </w:numPr>
        <w:tabs>
          <w:tab w:val="left" w:pos="0"/>
        </w:tabs>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在评标期间，供应商企图影响采购机构或评标委员会的任何活动，将导致投标被拒绝，并由其承担相应的法律责任；</w:t>
      </w:r>
    </w:p>
    <w:p>
      <w:pPr>
        <w:numPr>
          <w:ilvl w:val="0"/>
          <w:numId w:val="16"/>
        </w:num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由于中标供应商原因未能按照招标文件的规定与采购人签订合同；</w:t>
      </w:r>
    </w:p>
    <w:p>
      <w:pPr>
        <w:numPr>
          <w:ilvl w:val="0"/>
          <w:numId w:val="16"/>
        </w:num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由于中标供应商原因未能按照招标文件的规定交纳履约保证金；</w:t>
      </w:r>
    </w:p>
    <w:p>
      <w:pPr>
        <w:numPr>
          <w:ilvl w:val="0"/>
          <w:numId w:val="16"/>
        </w:num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投标有效期内，供应商在政府采购活动中有违法、违规、违纪行为。</w:t>
      </w:r>
    </w:p>
    <w:p>
      <w:pPr>
        <w:numPr>
          <w:ilvl w:val="0"/>
          <w:numId w:val="16"/>
        </w:num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中标供应商与采购人订立背离合同实质性内容的其它协议；</w:t>
      </w:r>
    </w:p>
    <w:p>
      <w:pPr>
        <w:numPr>
          <w:ilvl w:val="0"/>
          <w:numId w:val="16"/>
        </w:num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供应商未按招标文件规定和合同约定履行义务的。</w:t>
      </w:r>
    </w:p>
    <w:p>
      <w:pPr>
        <w:tabs>
          <w:tab w:val="left" w:pos="0"/>
        </w:tabs>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 未中标的供应商在退取投标保证金时，须携带以下资料办理到代理机构的财务部门办理：</w:t>
      </w:r>
    </w:p>
    <w:p>
      <w:pPr>
        <w:numPr>
          <w:ilvl w:val="0"/>
          <w:numId w:val="17"/>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保证金汇款凭证复印件加盖公章；</w:t>
      </w:r>
    </w:p>
    <w:p>
      <w:pPr>
        <w:numPr>
          <w:ilvl w:val="0"/>
          <w:numId w:val="17"/>
        </w:num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供应商对公银行账户信息（加盖公章）见</w:t>
      </w:r>
      <w:r>
        <w:rPr>
          <w:rFonts w:hint="eastAsia" w:asciiTheme="minorEastAsia" w:hAnsiTheme="minorEastAsia" w:eastAsiaTheme="minorEastAsia" w:cstheme="minorEastAsia"/>
          <w:b/>
          <w:bCs/>
          <w:sz w:val="24"/>
          <w:szCs w:val="24"/>
        </w:rPr>
        <w:t>附件七</w:t>
      </w:r>
      <w:r>
        <w:rPr>
          <w:rFonts w:hint="eastAsia" w:asciiTheme="minorEastAsia" w:hAnsiTheme="minorEastAsia" w:eastAsiaTheme="minorEastAsia" w:cstheme="minorEastAsia"/>
          <w:sz w:val="24"/>
          <w:szCs w:val="24"/>
        </w:rPr>
        <w:t>。</w:t>
      </w:r>
    </w:p>
    <w:p>
      <w:pPr>
        <w:numPr>
          <w:ilvl w:val="0"/>
          <w:numId w:val="18"/>
        </w:numPr>
        <w:adjustRightInd w:val="0"/>
        <w:snapToGrid w:val="0"/>
        <w:spacing w:line="360" w:lineRule="auto"/>
        <w:ind w:left="0"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供应商可在投标当天将保证金退还账户信息确认表与投标保证金汇款凭证（复印件加盖公章）一并交给工作人员，当天未提交保证金退还账户信息确认表与投标保证金汇款凭证（复印件加盖公章）的供应商，在投标后将以上资料加盖公章的扫描件发送至邮箱sxwzzb123@163.com；并致电告知。</w:t>
      </w:r>
    </w:p>
    <w:p>
      <w:pPr>
        <w:tabs>
          <w:tab w:val="left" w:pos="0"/>
        </w:tabs>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 中标供应商在退取投标保证金时，除携带上述资料外还需递交与采购人签订的采购合同一份。</w:t>
      </w:r>
    </w:p>
    <w:p>
      <w:pPr>
        <w:pStyle w:val="5"/>
        <w:numPr>
          <w:ilvl w:val="0"/>
          <w:numId w:val="14"/>
        </w:numPr>
        <w:spacing w:before="0" w:after="0" w:line="500" w:lineRule="exact"/>
        <w:ind w:firstLine="482" w:firstLineChars="200"/>
        <w:rPr>
          <w:rFonts w:asciiTheme="minorEastAsia" w:hAnsiTheme="minorEastAsia" w:eastAsiaTheme="minorEastAsia" w:cstheme="minorEastAsia"/>
          <w:sz w:val="24"/>
          <w:szCs w:val="24"/>
        </w:rPr>
      </w:pPr>
      <w:bookmarkStart w:id="65" w:name="_Toc19668"/>
      <w:r>
        <w:rPr>
          <w:rFonts w:hint="eastAsia" w:asciiTheme="minorEastAsia" w:hAnsiTheme="minorEastAsia" w:eastAsiaTheme="minorEastAsia" w:cstheme="minorEastAsia"/>
          <w:sz w:val="24"/>
          <w:szCs w:val="24"/>
        </w:rPr>
        <w:t>投标有效期</w:t>
      </w:r>
      <w:bookmarkEnd w:id="65"/>
    </w:p>
    <w:p>
      <w:pPr>
        <w:adjustRightInd w:val="0"/>
        <w:snapToGrid w:val="0"/>
        <w:spacing w:line="500" w:lineRule="exact"/>
        <w:ind w:firstLine="480" w:firstLineChars="200"/>
        <w:rPr>
          <w:rFonts w:asciiTheme="minorEastAsia" w:hAnsiTheme="minorEastAsia" w:eastAsiaTheme="minorEastAsia" w:cstheme="minorEastAsia"/>
          <w:sz w:val="24"/>
          <w:szCs w:val="24"/>
        </w:rPr>
      </w:pPr>
      <w:bookmarkStart w:id="66" w:name="_Toc24827"/>
      <w:r>
        <w:rPr>
          <w:rFonts w:hint="eastAsia" w:asciiTheme="minorEastAsia" w:hAnsiTheme="minorEastAsia" w:eastAsiaTheme="minorEastAsia" w:cstheme="minorEastAsia"/>
          <w:sz w:val="24"/>
          <w:szCs w:val="24"/>
        </w:rPr>
        <w:t>投标有效期见供应商须知前附表，无投标有效期或投标有效期短于此规定期限的投标文件，视为无效文件，其投标将被拒绝。</w:t>
      </w:r>
    </w:p>
    <w:p>
      <w:pPr>
        <w:pStyle w:val="5"/>
        <w:numPr>
          <w:ilvl w:val="0"/>
          <w:numId w:val="14"/>
        </w:numPr>
        <w:spacing w:before="0" w:after="0" w:line="50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投标文件的装订、密封和签署</w:t>
      </w:r>
      <w:bookmarkEnd w:id="66"/>
    </w:p>
    <w:p>
      <w:pPr>
        <w:tabs>
          <w:tab w:val="left" w:pos="0"/>
        </w:tabs>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投标文件的装订</w:t>
      </w:r>
    </w:p>
    <w:p>
      <w:pPr>
        <w:spacing w:line="500" w:lineRule="exact"/>
        <w:ind w:firstLine="482" w:firstLineChars="20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详见供应商须知前附表。</w:t>
      </w:r>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 投标文件的签署</w:t>
      </w:r>
    </w:p>
    <w:p>
      <w:pPr>
        <w:spacing w:line="500" w:lineRule="exact"/>
        <w:ind w:firstLine="482"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sz w:val="24"/>
          <w:szCs w:val="24"/>
        </w:rPr>
        <w:t>详见供应商须知前附表。</w:t>
      </w:r>
    </w:p>
    <w:p>
      <w:pPr>
        <w:spacing w:line="500" w:lineRule="exact"/>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6.3 投标文件的密封</w:t>
      </w:r>
    </w:p>
    <w:p>
      <w:pPr>
        <w:spacing w:line="500" w:lineRule="exact"/>
        <w:ind w:firstLine="482" w:firstLineChars="200"/>
        <w:jc w:val="left"/>
      </w:pPr>
      <w:r>
        <w:rPr>
          <w:rFonts w:hint="eastAsia" w:asciiTheme="minorEastAsia" w:hAnsiTheme="minorEastAsia" w:eastAsiaTheme="minorEastAsia" w:cstheme="minorEastAsia"/>
          <w:b/>
          <w:bCs/>
          <w:sz w:val="24"/>
          <w:szCs w:val="24"/>
        </w:rPr>
        <w:t>详见供应商须知前附表。</w:t>
      </w:r>
    </w:p>
    <w:p>
      <w:pPr>
        <w:pStyle w:val="5"/>
        <w:numPr>
          <w:ilvl w:val="0"/>
          <w:numId w:val="14"/>
        </w:numPr>
        <w:spacing w:before="0" w:after="0" w:line="500" w:lineRule="exact"/>
        <w:ind w:firstLine="482" w:firstLineChars="200"/>
        <w:rPr>
          <w:rFonts w:asciiTheme="minorEastAsia" w:hAnsiTheme="minorEastAsia" w:eastAsiaTheme="minorEastAsia" w:cstheme="minorEastAsia"/>
          <w:sz w:val="24"/>
          <w:szCs w:val="24"/>
        </w:rPr>
      </w:pPr>
      <w:bookmarkStart w:id="67" w:name="_Toc22752"/>
      <w:r>
        <w:rPr>
          <w:rFonts w:hint="eastAsia" w:asciiTheme="minorEastAsia" w:hAnsiTheme="minorEastAsia" w:eastAsiaTheme="minorEastAsia" w:cstheme="minorEastAsia"/>
          <w:sz w:val="24"/>
          <w:szCs w:val="24"/>
        </w:rPr>
        <w:t>知识产权</w:t>
      </w:r>
      <w:bookmarkEnd w:id="67"/>
    </w:p>
    <w:p>
      <w:p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 采购人享有本项目在实施过程中产生的知识成果及知识产权。</w:t>
      </w:r>
    </w:p>
    <w:p>
      <w:p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 供应商如欲在项目实施过程中采用自有知识成果，需在投标文件中声明，并提供相关知识产权证明文件。使用该知识成果后，供应商须提供开发接口和开发手册等技术文档，并承诺提供无限期技术支持，采购人享有永久使用权。</w:t>
      </w:r>
    </w:p>
    <w:p>
      <w:p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 如供应商所不拥有的知识产权，则在投标报价中必须包括合法获取该知识产权的相关费用。</w:t>
      </w:r>
    </w:p>
    <w:p>
      <w:pPr>
        <w:widowControl/>
        <w:numPr>
          <w:ilvl w:val="0"/>
          <w:numId w:val="8"/>
        </w:numPr>
        <w:spacing w:line="500" w:lineRule="exact"/>
        <w:ind w:firstLine="482" w:firstLineChars="200"/>
        <w:jc w:val="center"/>
        <w:outlineLvl w:val="1"/>
        <w:rPr>
          <w:rFonts w:asciiTheme="minorEastAsia" w:hAnsiTheme="minorEastAsia" w:eastAsiaTheme="minorEastAsia" w:cstheme="minorEastAsia"/>
          <w:b/>
          <w:bCs/>
          <w:kern w:val="0"/>
          <w:sz w:val="24"/>
          <w:szCs w:val="24"/>
        </w:rPr>
        <w:sectPr>
          <w:pgSz w:w="11906" w:h="16838"/>
          <w:pgMar w:top="1440" w:right="1706" w:bottom="1440" w:left="1800" w:header="851" w:footer="992" w:gutter="0"/>
          <w:cols w:space="720" w:num="1"/>
          <w:docGrid w:type="lines" w:linePitch="312" w:charSpace="0"/>
        </w:sectPr>
      </w:pPr>
      <w:bookmarkStart w:id="68" w:name="_Toc3736"/>
    </w:p>
    <w:p>
      <w:pPr>
        <w:widowControl/>
        <w:numPr>
          <w:ilvl w:val="0"/>
          <w:numId w:val="8"/>
        </w:numPr>
        <w:spacing w:before="159" w:beforeLines="50" w:after="159" w:afterLines="50" w:line="500" w:lineRule="exact"/>
        <w:ind w:firstLine="0"/>
        <w:jc w:val="center"/>
        <w:outlineLvl w:val="1"/>
        <w:rPr>
          <w:rFonts w:asciiTheme="minorEastAsia" w:hAnsiTheme="minorEastAsia" w:eastAsiaTheme="minorEastAsia" w:cstheme="minorEastAsia"/>
          <w:b/>
          <w:bCs/>
          <w:kern w:val="0"/>
          <w:sz w:val="32"/>
          <w:szCs w:val="32"/>
        </w:rPr>
      </w:pPr>
      <w:bookmarkStart w:id="69" w:name="_Toc32547"/>
      <w:bookmarkStart w:id="70" w:name="_Toc18177"/>
      <w:bookmarkStart w:id="71" w:name="_Toc21101"/>
      <w:bookmarkStart w:id="72" w:name="_Toc25743"/>
      <w:bookmarkStart w:id="73" w:name="_Toc3565"/>
      <w:bookmarkStart w:id="74" w:name="_Toc16722"/>
      <w:r>
        <w:rPr>
          <w:rFonts w:hint="eastAsia" w:asciiTheme="minorEastAsia" w:hAnsiTheme="minorEastAsia" w:eastAsiaTheme="minorEastAsia" w:cstheme="minorEastAsia"/>
          <w:b/>
          <w:bCs/>
          <w:kern w:val="0"/>
          <w:sz w:val="32"/>
          <w:szCs w:val="32"/>
        </w:rPr>
        <w:t>投标文件的递交</w:t>
      </w:r>
      <w:bookmarkEnd w:id="69"/>
      <w:bookmarkEnd w:id="70"/>
      <w:bookmarkEnd w:id="71"/>
      <w:bookmarkEnd w:id="72"/>
      <w:bookmarkEnd w:id="73"/>
      <w:bookmarkEnd w:id="74"/>
    </w:p>
    <w:bookmarkEnd w:id="68"/>
    <w:p>
      <w:pPr>
        <w:pStyle w:val="5"/>
        <w:keepNext w:val="0"/>
        <w:keepLines w:val="0"/>
        <w:numPr>
          <w:ilvl w:val="0"/>
          <w:numId w:val="19"/>
        </w:numPr>
        <w:spacing w:before="0" w:after="0" w:line="500" w:lineRule="exact"/>
        <w:ind w:firstLine="482" w:firstLineChars="200"/>
        <w:rPr>
          <w:rFonts w:asciiTheme="minorEastAsia" w:hAnsiTheme="minorEastAsia" w:eastAsiaTheme="minorEastAsia" w:cstheme="minorEastAsia"/>
          <w:sz w:val="24"/>
          <w:szCs w:val="24"/>
        </w:rPr>
      </w:pPr>
      <w:bookmarkStart w:id="75" w:name="_Toc3685"/>
      <w:r>
        <w:rPr>
          <w:rFonts w:hint="eastAsia" w:asciiTheme="minorEastAsia" w:hAnsiTheme="minorEastAsia" w:eastAsiaTheme="minorEastAsia" w:cstheme="minorEastAsia"/>
          <w:sz w:val="24"/>
          <w:szCs w:val="24"/>
        </w:rPr>
        <w:t>投标文件递交</w:t>
      </w:r>
      <w:bookmarkEnd w:id="75"/>
    </w:p>
    <w:p>
      <w:pPr>
        <w:adjustRightInd w:val="0"/>
        <w:snapToGrid w:val="0"/>
        <w:spacing w:line="500" w:lineRule="exact"/>
        <w:ind w:firstLine="480" w:firstLineChars="200"/>
        <w:rPr>
          <w:rFonts w:asciiTheme="minorEastAsia" w:hAnsiTheme="minorEastAsia" w:eastAsiaTheme="minorEastAsia" w:cstheme="minorEastAsia"/>
          <w:sz w:val="24"/>
          <w:szCs w:val="24"/>
        </w:rPr>
      </w:pPr>
      <w:bookmarkStart w:id="76" w:name="_Toc12741"/>
      <w:r>
        <w:rPr>
          <w:rFonts w:hint="eastAsia" w:asciiTheme="minorEastAsia" w:hAnsiTheme="minorEastAsia" w:eastAsiaTheme="minorEastAsia" w:cstheme="minorEastAsia"/>
          <w:sz w:val="24"/>
          <w:szCs w:val="24"/>
        </w:rPr>
        <w:t xml:space="preserve"> 1.1供应商应当在招标文件要求提交投标文件的截止时间前，将投标文件密封送达投标地点。采购代理机构收到投标文件后，应当如实记载投标文件的送达时间和密封情况，签收保存，并向供应商出具签收回执。任何单位和个人不得在开标前开启投标文件。代理机构项目承办人在招标文件规定的投标文件递交截止时间前，只负责投标文件的接收、清点、造册登记工作，并请供应商代表签字确认，对其有效性不负任何责任。</w:t>
      </w:r>
    </w:p>
    <w:p>
      <w:p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1.2逾期送达或者未按照招标文件要求密封的投标文件，采购代理机构应当拒收。</w:t>
      </w:r>
    </w:p>
    <w:p>
      <w:p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1.3代理机构不接受邮寄的投标文件。</w:t>
      </w:r>
    </w:p>
    <w:p>
      <w:pPr>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无论供应商中标与否，其投标文件恕不退还。</w:t>
      </w:r>
    </w:p>
    <w:p>
      <w:pPr>
        <w:pStyle w:val="5"/>
        <w:keepNext w:val="0"/>
        <w:keepLines w:val="0"/>
        <w:numPr>
          <w:ilvl w:val="0"/>
          <w:numId w:val="19"/>
        </w:numPr>
        <w:spacing w:before="0" w:after="0" w:line="50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投标文件的修改和撤回</w:t>
      </w:r>
      <w:bookmarkEnd w:id="76"/>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供应商可以在投标截止时间前，对所递交的投标文件进行补充、修改或者撤回，并以书面形式通知采购代理机构（或采购人)，补充、修改和撤标要求须经采购代理机构（或采购人)签字确认，否则无效。</w:t>
      </w:r>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供应商撤回投标的要求应由供应商法定代表人或供应商代表签署，补充、修改投标文件的书面材料，应当按照招标文件要求签署、盖章，作为投标文件的组成部分，密封送达采购代理机构（或采购人)，同时应在封套上标明“修改投标文件(并注明项目编号)”和“开标时启封”字样。</w:t>
      </w:r>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 在投标截止时间之后，供应商不得对其投标文件进行补充、修改或撤回。</w:t>
      </w:r>
    </w:p>
    <w:p>
      <w:pPr>
        <w:widowControl/>
        <w:numPr>
          <w:ilvl w:val="0"/>
          <w:numId w:val="8"/>
        </w:numPr>
        <w:spacing w:before="159" w:beforeLines="50" w:after="159" w:afterLines="50" w:line="500" w:lineRule="exact"/>
        <w:ind w:firstLine="0"/>
        <w:jc w:val="center"/>
        <w:outlineLvl w:val="1"/>
        <w:rPr>
          <w:rFonts w:asciiTheme="minorEastAsia" w:hAnsiTheme="minorEastAsia" w:eastAsiaTheme="minorEastAsia" w:cstheme="minorEastAsia"/>
          <w:b/>
          <w:bCs/>
          <w:kern w:val="0"/>
          <w:sz w:val="32"/>
          <w:szCs w:val="32"/>
        </w:rPr>
      </w:pPr>
      <w:bookmarkStart w:id="77" w:name="_Toc14415"/>
      <w:bookmarkStart w:id="78" w:name="_Toc30172"/>
      <w:bookmarkStart w:id="79" w:name="_Toc25178"/>
      <w:bookmarkStart w:id="80" w:name="_Toc15135"/>
      <w:bookmarkStart w:id="81" w:name="_Toc23034"/>
      <w:bookmarkStart w:id="82" w:name="_Toc27066"/>
      <w:bookmarkStart w:id="83" w:name="_Toc2119"/>
      <w:r>
        <w:rPr>
          <w:rFonts w:hint="eastAsia" w:asciiTheme="minorEastAsia" w:hAnsiTheme="minorEastAsia" w:eastAsiaTheme="minorEastAsia" w:cstheme="minorEastAsia"/>
          <w:b/>
          <w:bCs/>
          <w:kern w:val="0"/>
          <w:sz w:val="32"/>
          <w:szCs w:val="32"/>
        </w:rPr>
        <w:t>开标、评审、定标</w:t>
      </w:r>
      <w:bookmarkEnd w:id="77"/>
      <w:bookmarkEnd w:id="78"/>
      <w:bookmarkEnd w:id="79"/>
      <w:bookmarkEnd w:id="80"/>
      <w:bookmarkEnd w:id="81"/>
      <w:bookmarkEnd w:id="82"/>
      <w:bookmarkEnd w:id="83"/>
    </w:p>
    <w:p>
      <w:pPr>
        <w:pStyle w:val="5"/>
        <w:keepNext w:val="0"/>
        <w:keepLines w:val="0"/>
        <w:numPr>
          <w:ilvl w:val="0"/>
          <w:numId w:val="20"/>
        </w:numPr>
        <w:spacing w:before="0" w:after="0" w:line="500" w:lineRule="exact"/>
        <w:ind w:firstLine="482" w:firstLineChars="200"/>
        <w:rPr>
          <w:rFonts w:asciiTheme="minorEastAsia" w:hAnsiTheme="minorEastAsia" w:eastAsiaTheme="minorEastAsia" w:cstheme="minorEastAsia"/>
          <w:sz w:val="24"/>
          <w:szCs w:val="24"/>
        </w:rPr>
      </w:pPr>
      <w:bookmarkStart w:id="84" w:name="_Toc27216"/>
      <w:r>
        <w:rPr>
          <w:rFonts w:hint="eastAsia" w:asciiTheme="minorEastAsia" w:hAnsiTheme="minorEastAsia" w:eastAsiaTheme="minorEastAsia" w:cstheme="minorEastAsia"/>
          <w:sz w:val="24"/>
          <w:szCs w:val="24"/>
        </w:rPr>
        <w:t>开标</w:t>
      </w:r>
      <w:bookmarkEnd w:id="84"/>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采购代理机构按招标公告中规定的时间和地点接收供应商 递交的投标文件，主持开标会议，邀请供应商参加。</w:t>
      </w:r>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开标时，供应商与监标人共同检查投标文件密封情况并签字确认。确认无误后方可拆封投标文件，以公开唱标的形式将唱标报告的内容公布，公开招标过程中公开代理机构指定专人负责将供应商的名称、投标项目名称、投标价格等进行记录，并存档备案；所有投标唱标完毕，如供应商代表对宣读的“投标报价一览表”上的内容有异议的，应在获得开标会议主持人同意后当场提出。如确实属于唱标人员宣读错误，经现供应商代表核实后，当场予以更正，不属于唱标人员宣读错误的，以单独密封的投标报价一览表为准。</w:t>
      </w:r>
    </w:p>
    <w:p>
      <w:pPr>
        <w:widowControl/>
        <w:tabs>
          <w:tab w:val="left" w:pos="0"/>
        </w:tabs>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开标时，投标文件中出现下列情况，修正原则为：</w:t>
      </w:r>
    </w:p>
    <w:p>
      <w:pPr>
        <w:numPr>
          <w:ilvl w:val="0"/>
          <w:numId w:val="21"/>
        </w:numPr>
        <w:spacing w:line="5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投标文件中投标报价一览表（报价表）内容与投标文件中相应内容不一致的，以投标报价一览表（报价表）为准；</w:t>
      </w:r>
    </w:p>
    <w:p>
      <w:pPr>
        <w:numPr>
          <w:ilvl w:val="0"/>
          <w:numId w:val="21"/>
        </w:numPr>
        <w:spacing w:line="5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大写金额和小写金额不一致的，以大写金额为准；</w:t>
      </w:r>
    </w:p>
    <w:p>
      <w:pPr>
        <w:numPr>
          <w:ilvl w:val="0"/>
          <w:numId w:val="21"/>
        </w:numPr>
        <w:spacing w:line="5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单价金额小数点或者百分比有明显错位的，以投标报价一览表的总价为准，并修改单价；</w:t>
      </w:r>
    </w:p>
    <w:p>
      <w:pPr>
        <w:numPr>
          <w:ilvl w:val="0"/>
          <w:numId w:val="21"/>
        </w:numPr>
        <w:spacing w:line="5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总价金额与按单价汇总金额不一致的，以单价金额计算结果为准； </w:t>
      </w:r>
    </w:p>
    <w:p>
      <w:pPr>
        <w:numPr>
          <w:ilvl w:val="0"/>
          <w:numId w:val="21"/>
        </w:numPr>
        <w:spacing w:line="5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投标文件正本与副本不一致的，以正本为准；</w:t>
      </w:r>
    </w:p>
    <w:p>
      <w:pPr>
        <w:numPr>
          <w:ilvl w:val="0"/>
          <w:numId w:val="21"/>
        </w:numPr>
        <w:spacing w:line="5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投标文件单独密封递交的投标报价一览表与正本不一致的，以单独密封递交的投标报价一览表为准；</w:t>
      </w:r>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同时出现两种以上不一致的，按照前款规定的顺序修正。修正后的报价按照《政府采购货物和服务招标投标管理办法》第五十一条第二款的规定经供应商确认后产生约束力，供应商不确认的，其投标无效。</w:t>
      </w:r>
    </w:p>
    <w:p>
      <w:pPr>
        <w:pStyle w:val="5"/>
        <w:keepNext w:val="0"/>
        <w:keepLines w:val="0"/>
        <w:numPr>
          <w:ilvl w:val="0"/>
          <w:numId w:val="20"/>
        </w:numPr>
        <w:spacing w:before="0" w:after="0" w:line="500" w:lineRule="exact"/>
        <w:ind w:firstLine="482" w:firstLineChars="200"/>
        <w:rPr>
          <w:rFonts w:asciiTheme="minorEastAsia" w:hAnsiTheme="minorEastAsia" w:eastAsiaTheme="minorEastAsia" w:cstheme="minorEastAsia"/>
          <w:sz w:val="24"/>
          <w:szCs w:val="24"/>
        </w:rPr>
      </w:pPr>
      <w:bookmarkStart w:id="85" w:name="_Toc380336750"/>
      <w:bookmarkStart w:id="86" w:name="_Toc20569"/>
      <w:bookmarkStart w:id="87" w:name="_Toc801"/>
      <w:bookmarkStart w:id="88" w:name="_Toc358364344"/>
      <w:r>
        <w:rPr>
          <w:rFonts w:hint="eastAsia" w:asciiTheme="minorEastAsia" w:hAnsiTheme="minorEastAsia" w:eastAsiaTheme="minorEastAsia" w:cstheme="minorEastAsia"/>
          <w:sz w:val="24"/>
          <w:szCs w:val="24"/>
        </w:rPr>
        <w:t>评标委员会</w:t>
      </w:r>
      <w:bookmarkEnd w:id="85"/>
      <w:bookmarkEnd w:id="86"/>
      <w:bookmarkEnd w:id="87"/>
      <w:bookmarkEnd w:id="88"/>
    </w:p>
    <w:p>
      <w:pPr>
        <w:widowControl/>
        <w:spacing w:line="460" w:lineRule="exact"/>
        <w:ind w:firstLine="420" w:firstLineChars="175"/>
        <w:jc w:val="left"/>
        <w:rPr>
          <w:rFonts w:asciiTheme="minorEastAsia" w:hAnsiTheme="minorEastAsia" w:eastAsiaTheme="minorEastAsia" w:cstheme="minorEastAsia"/>
          <w:sz w:val="24"/>
          <w:szCs w:val="24"/>
        </w:rPr>
      </w:pPr>
      <w:bookmarkStart w:id="89" w:name="_Toc28085"/>
      <w:bookmarkStart w:id="90" w:name="_Toc385958808"/>
      <w:bookmarkStart w:id="91" w:name="_Toc27940"/>
      <w:bookmarkStart w:id="92" w:name="_Toc386129876"/>
      <w:r>
        <w:rPr>
          <w:rFonts w:hint="eastAsia" w:asciiTheme="minorEastAsia" w:hAnsiTheme="minorEastAsia" w:eastAsiaTheme="minorEastAsia" w:cstheme="minorEastAsia"/>
          <w:kern w:val="0"/>
          <w:sz w:val="24"/>
          <w:szCs w:val="24"/>
        </w:rPr>
        <w:t>2.1</w:t>
      </w:r>
      <w:r>
        <w:rPr>
          <w:rFonts w:hint="eastAsia" w:asciiTheme="minorEastAsia" w:hAnsiTheme="minorEastAsia" w:eastAsiaTheme="minorEastAsia" w:cstheme="minorEastAsia"/>
          <w:sz w:val="24"/>
          <w:szCs w:val="24"/>
        </w:rPr>
        <w:t>为确保评标工作公开、公平、公正，依法成立评标委员会。 评标委员会由采购人代表和评审专家组成，成员人数应当为5人以上单数，其中评审专家不得少于成员总数的三分之二。评标委员会成员应当遵守并履行下列责任和义务：</w:t>
      </w:r>
    </w:p>
    <w:p>
      <w:pPr>
        <w:spacing w:line="360" w:lineRule="auto"/>
        <w:ind w:firstLine="420" w:firstLineChars="175"/>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2.1.1遵纪守法，客观、公正、认真负责地履行职责，审查投标文件是否符合招标文件的要求，并做出评价；</w:t>
      </w:r>
    </w:p>
    <w:p>
      <w:pPr>
        <w:spacing w:line="360" w:lineRule="auto"/>
        <w:ind w:left="42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2.1.2要求供应商对投标文件有关事项作出解释或澄清；</w:t>
      </w:r>
    </w:p>
    <w:p>
      <w:pPr>
        <w:spacing w:line="360" w:lineRule="auto"/>
        <w:ind w:firstLine="420" w:firstLineChars="175"/>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2.1.3按照招标文件的要求和评审办法进行评标，推荐中标候选单位名单，对评审意见承担个人责任；</w:t>
      </w:r>
    </w:p>
    <w:p>
      <w:pPr>
        <w:spacing w:line="360" w:lineRule="auto"/>
        <w:ind w:left="42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2.1.4对评标过程和结果以及供应商的商业秘密保密；</w:t>
      </w:r>
    </w:p>
    <w:p>
      <w:pPr>
        <w:spacing w:line="360" w:lineRule="auto"/>
        <w:ind w:left="42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2.1.5参与评标结果报告的起草；</w:t>
      </w:r>
    </w:p>
    <w:p>
      <w:pPr>
        <w:spacing w:line="360" w:lineRule="auto"/>
        <w:ind w:left="42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2.1.6配合采购人、代理机构答复供应商提出的质疑；</w:t>
      </w:r>
    </w:p>
    <w:p>
      <w:pPr>
        <w:spacing w:line="360" w:lineRule="auto"/>
        <w:ind w:left="42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2.1.7配合财政部门处理投诉工作；</w:t>
      </w:r>
    </w:p>
    <w:p>
      <w:pPr>
        <w:pStyle w:val="5"/>
        <w:numPr>
          <w:ilvl w:val="0"/>
          <w:numId w:val="20"/>
        </w:numPr>
        <w:spacing w:before="0" w:after="0" w:line="50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投标文件初审</w:t>
      </w:r>
      <w:bookmarkEnd w:id="89"/>
      <w:bookmarkEnd w:id="90"/>
      <w:bookmarkEnd w:id="91"/>
      <w:bookmarkEnd w:id="92"/>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3.1 投标文件的资格性审查</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依据法律法规和招标文件的规定，对投标文件中的资格证明文件、投标保证金等进行审查，以确保供应商是否具备相应资格。</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3.2 投标文件符合性审查</w:t>
      </w:r>
    </w:p>
    <w:p>
      <w:pPr>
        <w:pageBreakBefore w:val="0"/>
        <w:kinsoku/>
        <w:overflowPunct w:val="0"/>
        <w:topLinePunct w:val="0"/>
        <w:bidi w:val="0"/>
        <w:adjustRightInd w:val="0"/>
        <w:snapToGrid w:val="0"/>
        <w:spacing w:line="400" w:lineRule="exact"/>
        <w:ind w:left="0" w:leftChars="0" w:right="0" w:rightChars="0" w:firstLine="480" w:firstLineChars="200"/>
      </w:pPr>
      <w:r>
        <w:rPr>
          <w:rFonts w:hint="eastAsia" w:asciiTheme="minorEastAsia" w:hAnsiTheme="minorEastAsia" w:cstheme="minorEastAsia"/>
          <w:kern w:val="0"/>
          <w:sz w:val="24"/>
          <w:szCs w:val="24"/>
        </w:rPr>
        <w:t>依据法律法规和招标文件的规定，由评标委员会对符合资格要求的</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的投标文件有效性、完整性和对招标文件的响应程度进行符合性审查，以确定是否对招标文件的实质性内容作出响应，下列情况有一项不满足者（但不限于）不得进入下一轮评审：</w:t>
      </w:r>
    </w:p>
    <w:tbl>
      <w:tblPr>
        <w:tblStyle w:val="2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413"/>
        <w:gridCol w:w="7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restart"/>
            <w:noWrap w:val="0"/>
            <w:vAlign w:val="center"/>
          </w:tcPr>
          <w:p>
            <w:pPr>
              <w:overflowPunct w:val="0"/>
              <w:adjustRightInd w:val="0"/>
              <w:snapToGrid w:val="0"/>
              <w:spacing w:line="500" w:lineRule="exact"/>
              <w:rPr>
                <w:rFonts w:hint="eastAsia" w:ascii="宋体" w:hAnsi="宋体" w:cs="宋体"/>
                <w:color w:val="000000"/>
                <w:kern w:val="0"/>
                <w:sz w:val="24"/>
                <w:szCs w:val="24"/>
              </w:rPr>
            </w:pPr>
            <w:r>
              <w:rPr>
                <w:rFonts w:hint="eastAsia" w:ascii="宋体" w:hAnsi="宋体" w:cs="宋体"/>
                <w:color w:val="000000"/>
                <w:kern w:val="0"/>
                <w:sz w:val="24"/>
                <w:szCs w:val="24"/>
              </w:rPr>
              <w:t>符合性审查</w:t>
            </w:r>
          </w:p>
        </w:tc>
        <w:tc>
          <w:tcPr>
            <w:tcW w:w="413" w:type="dxa"/>
            <w:noWrap w:val="0"/>
            <w:vAlign w:val="top"/>
          </w:tcPr>
          <w:p>
            <w:pPr>
              <w:overflowPunct w:val="0"/>
              <w:adjustRightInd w:val="0"/>
              <w:snapToGrid w:val="0"/>
              <w:spacing w:line="500" w:lineRule="exact"/>
              <w:rPr>
                <w:rFonts w:ascii="宋体" w:hAnsi="宋体" w:cs="宋体"/>
                <w:color w:val="000000"/>
                <w:kern w:val="0"/>
                <w:sz w:val="24"/>
                <w:szCs w:val="24"/>
              </w:rPr>
            </w:pPr>
            <w:r>
              <w:rPr>
                <w:rFonts w:hint="eastAsia" w:ascii="宋体" w:hAnsi="宋体" w:cs="宋体"/>
                <w:color w:val="000000"/>
                <w:kern w:val="0"/>
                <w:sz w:val="24"/>
                <w:szCs w:val="24"/>
              </w:rPr>
              <w:t>1</w:t>
            </w:r>
          </w:p>
        </w:tc>
        <w:tc>
          <w:tcPr>
            <w:tcW w:w="7841" w:type="dxa"/>
            <w:noWrap w:val="0"/>
            <w:vAlign w:val="top"/>
          </w:tcPr>
          <w:p>
            <w:pPr>
              <w:overflowPunct w:val="0"/>
              <w:adjustRightInd w:val="0"/>
              <w:snapToGrid w:val="0"/>
              <w:spacing w:line="500" w:lineRule="exact"/>
              <w:rPr>
                <w:rFonts w:hint="eastAsia" w:ascii="宋体" w:hAnsi="宋体" w:cs="宋体"/>
                <w:color w:val="000000"/>
                <w:kern w:val="0"/>
                <w:sz w:val="24"/>
                <w:szCs w:val="24"/>
              </w:rPr>
            </w:pPr>
            <w:r>
              <w:rPr>
                <w:rFonts w:hint="eastAsia" w:ascii="宋体" w:hAnsi="宋体" w:cs="宋体"/>
                <w:color w:val="000000"/>
                <w:kern w:val="0"/>
                <w:sz w:val="24"/>
                <w:szCs w:val="24"/>
                <w:lang w:eastAsia="zh-CN"/>
              </w:rPr>
              <w:t>投标</w:t>
            </w:r>
            <w:r>
              <w:rPr>
                <w:rFonts w:hint="eastAsia" w:ascii="宋体" w:hAnsi="宋体" w:cs="宋体"/>
                <w:color w:val="000000"/>
                <w:kern w:val="0"/>
                <w:sz w:val="24"/>
                <w:szCs w:val="24"/>
              </w:rPr>
              <w:t>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noWrap w:val="0"/>
            <w:vAlign w:val="top"/>
          </w:tcPr>
          <w:p>
            <w:pPr>
              <w:overflowPunct w:val="0"/>
              <w:adjustRightInd w:val="0"/>
              <w:snapToGrid w:val="0"/>
              <w:spacing w:line="500" w:lineRule="exact"/>
              <w:rPr>
                <w:rFonts w:hint="eastAsia" w:ascii="宋体" w:hAnsi="宋体" w:cs="宋体"/>
                <w:color w:val="000000"/>
                <w:kern w:val="0"/>
                <w:sz w:val="24"/>
                <w:szCs w:val="24"/>
              </w:rPr>
            </w:pPr>
          </w:p>
        </w:tc>
        <w:tc>
          <w:tcPr>
            <w:tcW w:w="413" w:type="dxa"/>
            <w:noWrap w:val="0"/>
            <w:vAlign w:val="top"/>
          </w:tcPr>
          <w:p>
            <w:pPr>
              <w:overflowPunct w:val="0"/>
              <w:adjustRightInd w:val="0"/>
              <w:snapToGrid w:val="0"/>
              <w:spacing w:line="500" w:lineRule="exact"/>
              <w:rPr>
                <w:rFonts w:ascii="宋体" w:hAnsi="宋体" w:cs="宋体"/>
                <w:color w:val="000000"/>
                <w:kern w:val="0"/>
                <w:sz w:val="24"/>
                <w:szCs w:val="24"/>
              </w:rPr>
            </w:pPr>
            <w:r>
              <w:rPr>
                <w:rFonts w:hint="eastAsia" w:ascii="宋体" w:hAnsi="宋体" w:cs="宋体"/>
                <w:color w:val="000000"/>
                <w:kern w:val="0"/>
                <w:sz w:val="24"/>
                <w:szCs w:val="24"/>
              </w:rPr>
              <w:t>2</w:t>
            </w:r>
          </w:p>
        </w:tc>
        <w:tc>
          <w:tcPr>
            <w:tcW w:w="7841" w:type="dxa"/>
            <w:noWrap w:val="0"/>
            <w:vAlign w:val="top"/>
          </w:tcPr>
          <w:p>
            <w:pPr>
              <w:overflowPunct w:val="0"/>
              <w:adjustRightInd w:val="0"/>
              <w:snapToGrid w:val="0"/>
              <w:spacing w:line="500" w:lineRule="exact"/>
              <w:rPr>
                <w:rFonts w:hint="eastAsia" w:ascii="宋体" w:hAnsi="宋体" w:cs="宋体"/>
                <w:color w:val="000000"/>
                <w:kern w:val="0"/>
                <w:sz w:val="24"/>
                <w:szCs w:val="24"/>
              </w:rPr>
            </w:pPr>
            <w:r>
              <w:rPr>
                <w:rFonts w:hint="eastAsia" w:ascii="宋体" w:hAnsi="宋体" w:cs="宋体"/>
                <w:color w:val="000000"/>
                <w:kern w:val="0"/>
                <w:sz w:val="24"/>
                <w:szCs w:val="24"/>
                <w:lang w:eastAsia="zh-CN"/>
              </w:rPr>
              <w:t>交货期、质保期</w:t>
            </w:r>
            <w:r>
              <w:rPr>
                <w:rFonts w:hint="eastAsia" w:ascii="宋体" w:hAnsi="宋体" w:cs="宋体"/>
                <w:color w:val="000000"/>
                <w:kern w:val="0"/>
                <w:sz w:val="24"/>
                <w:szCs w:val="24"/>
              </w:rPr>
              <w:t>是否满足</w:t>
            </w:r>
            <w:r>
              <w:rPr>
                <w:rFonts w:hint="eastAsia" w:ascii="宋体" w:hAnsi="宋体" w:cs="宋体"/>
                <w:color w:val="000000"/>
                <w:kern w:val="0"/>
                <w:sz w:val="24"/>
                <w:szCs w:val="24"/>
                <w:lang w:eastAsia="zh-CN"/>
              </w:rPr>
              <w:t>招标</w:t>
            </w:r>
            <w:r>
              <w:rPr>
                <w:rFonts w:hint="eastAsia" w:ascii="宋体" w:hAnsi="宋体" w:cs="宋体"/>
                <w:color w:val="000000"/>
                <w:kern w:val="0"/>
                <w:sz w:val="24"/>
                <w:szCs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noWrap w:val="0"/>
            <w:vAlign w:val="top"/>
          </w:tcPr>
          <w:p>
            <w:pPr>
              <w:overflowPunct w:val="0"/>
              <w:adjustRightInd w:val="0"/>
              <w:snapToGrid w:val="0"/>
              <w:spacing w:line="500" w:lineRule="exact"/>
              <w:rPr>
                <w:rFonts w:hint="eastAsia" w:ascii="宋体" w:hAnsi="宋体" w:cs="宋体"/>
                <w:color w:val="000000"/>
                <w:kern w:val="0"/>
                <w:sz w:val="24"/>
                <w:szCs w:val="24"/>
              </w:rPr>
            </w:pPr>
          </w:p>
        </w:tc>
        <w:tc>
          <w:tcPr>
            <w:tcW w:w="413" w:type="dxa"/>
            <w:noWrap w:val="0"/>
            <w:vAlign w:val="top"/>
          </w:tcPr>
          <w:p>
            <w:pPr>
              <w:overflowPunct w:val="0"/>
              <w:adjustRightInd w:val="0"/>
              <w:snapToGrid w:val="0"/>
              <w:spacing w:line="500" w:lineRule="exact"/>
              <w:rPr>
                <w:rFonts w:ascii="宋体" w:hAnsi="宋体" w:cs="宋体"/>
                <w:color w:val="000000"/>
                <w:kern w:val="0"/>
                <w:sz w:val="24"/>
                <w:szCs w:val="24"/>
              </w:rPr>
            </w:pPr>
            <w:r>
              <w:rPr>
                <w:rFonts w:hint="eastAsia" w:ascii="宋体" w:hAnsi="宋体" w:cs="宋体"/>
                <w:color w:val="000000"/>
                <w:kern w:val="0"/>
                <w:sz w:val="24"/>
                <w:szCs w:val="24"/>
              </w:rPr>
              <w:t>3</w:t>
            </w:r>
          </w:p>
        </w:tc>
        <w:tc>
          <w:tcPr>
            <w:tcW w:w="7841" w:type="dxa"/>
            <w:noWrap w:val="0"/>
            <w:vAlign w:val="top"/>
          </w:tcPr>
          <w:p>
            <w:pPr>
              <w:overflowPunct w:val="0"/>
              <w:adjustRightInd w:val="0"/>
              <w:snapToGrid w:val="0"/>
              <w:spacing w:line="500" w:lineRule="exact"/>
              <w:rPr>
                <w:rFonts w:hint="eastAsia" w:ascii="宋体" w:hAnsi="宋体" w:cs="宋体"/>
                <w:color w:val="000000"/>
                <w:kern w:val="0"/>
                <w:sz w:val="24"/>
                <w:szCs w:val="24"/>
              </w:rPr>
            </w:pPr>
            <w:r>
              <w:rPr>
                <w:rFonts w:hint="eastAsia" w:ascii="宋体" w:hAnsi="宋体" w:cs="宋体"/>
                <w:color w:val="000000"/>
                <w:kern w:val="0"/>
                <w:sz w:val="24"/>
                <w:szCs w:val="24"/>
                <w:lang w:eastAsia="zh-CN"/>
              </w:rPr>
              <w:t>投标</w:t>
            </w:r>
            <w:r>
              <w:rPr>
                <w:rFonts w:hint="eastAsia" w:ascii="宋体" w:hAnsi="宋体" w:cs="宋体"/>
                <w:color w:val="000000"/>
                <w:kern w:val="0"/>
                <w:sz w:val="24"/>
                <w:szCs w:val="24"/>
              </w:rPr>
              <w:t>文件签字、盖章、装订是否满足</w:t>
            </w:r>
            <w:r>
              <w:rPr>
                <w:rFonts w:hint="eastAsia" w:ascii="宋体" w:hAnsi="宋体" w:cs="宋体"/>
                <w:color w:val="000000"/>
                <w:kern w:val="0"/>
                <w:sz w:val="24"/>
                <w:szCs w:val="24"/>
                <w:lang w:eastAsia="zh-CN"/>
              </w:rPr>
              <w:t>招标</w:t>
            </w:r>
            <w:r>
              <w:rPr>
                <w:rFonts w:hint="eastAsia" w:ascii="宋体" w:hAnsi="宋体" w:cs="宋体"/>
                <w:color w:val="000000"/>
                <w:kern w:val="0"/>
                <w:sz w:val="24"/>
                <w:szCs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noWrap w:val="0"/>
            <w:vAlign w:val="top"/>
          </w:tcPr>
          <w:p>
            <w:pPr>
              <w:overflowPunct w:val="0"/>
              <w:adjustRightInd w:val="0"/>
              <w:snapToGrid w:val="0"/>
              <w:spacing w:line="500" w:lineRule="exact"/>
              <w:rPr>
                <w:rFonts w:hint="eastAsia" w:ascii="宋体" w:hAnsi="宋体" w:cs="宋体"/>
                <w:color w:val="000000"/>
                <w:kern w:val="0"/>
                <w:sz w:val="24"/>
                <w:szCs w:val="24"/>
              </w:rPr>
            </w:pPr>
          </w:p>
        </w:tc>
        <w:tc>
          <w:tcPr>
            <w:tcW w:w="413" w:type="dxa"/>
            <w:noWrap w:val="0"/>
            <w:vAlign w:val="top"/>
          </w:tcPr>
          <w:p>
            <w:pPr>
              <w:overflowPunct w:val="0"/>
              <w:adjustRightInd w:val="0"/>
              <w:snapToGrid w:val="0"/>
              <w:spacing w:line="500" w:lineRule="exact"/>
              <w:rPr>
                <w:rFonts w:ascii="宋体" w:hAnsi="宋体" w:cs="宋体"/>
                <w:color w:val="000000"/>
                <w:kern w:val="0"/>
                <w:sz w:val="24"/>
                <w:szCs w:val="24"/>
              </w:rPr>
            </w:pPr>
            <w:r>
              <w:rPr>
                <w:rFonts w:hint="eastAsia" w:ascii="宋体" w:hAnsi="宋体" w:cs="宋体"/>
                <w:color w:val="000000"/>
                <w:kern w:val="0"/>
                <w:sz w:val="24"/>
                <w:szCs w:val="24"/>
              </w:rPr>
              <w:t>4</w:t>
            </w:r>
          </w:p>
        </w:tc>
        <w:tc>
          <w:tcPr>
            <w:tcW w:w="7841" w:type="dxa"/>
            <w:noWrap w:val="0"/>
            <w:vAlign w:val="top"/>
          </w:tcPr>
          <w:p>
            <w:pPr>
              <w:overflowPunct w:val="0"/>
              <w:adjustRightInd w:val="0"/>
              <w:snapToGrid w:val="0"/>
              <w:spacing w:line="500" w:lineRule="exact"/>
              <w:rPr>
                <w:rFonts w:hint="eastAsia" w:ascii="宋体" w:hAnsi="宋体" w:cs="宋体"/>
                <w:color w:val="000000"/>
                <w:kern w:val="0"/>
                <w:sz w:val="24"/>
                <w:szCs w:val="24"/>
              </w:rPr>
            </w:pPr>
            <w:r>
              <w:rPr>
                <w:rFonts w:hint="eastAsia" w:ascii="宋体" w:hAnsi="宋体" w:cs="宋体"/>
                <w:color w:val="000000"/>
                <w:kern w:val="0"/>
                <w:sz w:val="24"/>
                <w:szCs w:val="24"/>
                <w:lang w:eastAsia="zh-CN"/>
              </w:rPr>
              <w:t>投标</w:t>
            </w:r>
            <w:r>
              <w:rPr>
                <w:rFonts w:hint="eastAsia" w:ascii="宋体" w:hAnsi="宋体" w:cs="宋体"/>
                <w:color w:val="000000"/>
                <w:kern w:val="0"/>
                <w:sz w:val="24"/>
                <w:szCs w:val="24"/>
              </w:rPr>
              <w:t>有效期是否满足</w:t>
            </w:r>
            <w:r>
              <w:rPr>
                <w:rFonts w:hint="eastAsia" w:ascii="宋体" w:hAnsi="宋体" w:cs="宋体"/>
                <w:color w:val="000000"/>
                <w:kern w:val="0"/>
                <w:sz w:val="24"/>
                <w:szCs w:val="24"/>
                <w:lang w:eastAsia="zh-CN"/>
              </w:rPr>
              <w:t>招标</w:t>
            </w:r>
            <w:r>
              <w:rPr>
                <w:rFonts w:hint="eastAsia" w:ascii="宋体" w:hAnsi="宋体" w:cs="宋体"/>
                <w:color w:val="000000"/>
                <w:kern w:val="0"/>
                <w:sz w:val="24"/>
                <w:szCs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noWrap w:val="0"/>
            <w:vAlign w:val="top"/>
          </w:tcPr>
          <w:p>
            <w:pPr>
              <w:overflowPunct w:val="0"/>
              <w:adjustRightInd w:val="0"/>
              <w:snapToGrid w:val="0"/>
              <w:spacing w:line="500" w:lineRule="exact"/>
              <w:rPr>
                <w:rFonts w:hint="eastAsia" w:ascii="宋体" w:hAnsi="宋体" w:cs="宋体"/>
                <w:color w:val="000000"/>
                <w:kern w:val="0"/>
                <w:sz w:val="24"/>
                <w:szCs w:val="24"/>
              </w:rPr>
            </w:pPr>
          </w:p>
        </w:tc>
        <w:tc>
          <w:tcPr>
            <w:tcW w:w="413" w:type="dxa"/>
            <w:noWrap w:val="0"/>
            <w:vAlign w:val="top"/>
          </w:tcPr>
          <w:p>
            <w:pPr>
              <w:overflowPunct w:val="0"/>
              <w:adjustRightInd w:val="0"/>
              <w:snapToGrid w:val="0"/>
              <w:spacing w:line="500" w:lineRule="exac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w:t>
            </w:r>
          </w:p>
        </w:tc>
        <w:tc>
          <w:tcPr>
            <w:tcW w:w="7841" w:type="dxa"/>
            <w:noWrap w:val="0"/>
            <w:vAlign w:val="top"/>
          </w:tcPr>
          <w:p>
            <w:pPr>
              <w:overflowPunct w:val="0"/>
              <w:adjustRightInd w:val="0"/>
              <w:snapToGrid w:val="0"/>
              <w:spacing w:line="500" w:lineRule="exac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项指标项是否满足指标要求</w:t>
            </w:r>
          </w:p>
        </w:tc>
      </w:tr>
    </w:tbl>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3.3 经过对供应商及投标文件审查，出现下列情况者（但不限于），按无效投标处理：</w:t>
      </w:r>
    </w:p>
    <w:p>
      <w:pPr>
        <w:numPr>
          <w:ilvl w:val="0"/>
          <w:numId w:val="22"/>
        </w:numPr>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供应商未经过正常渠道购买招标文件，或供应商名称与购买招标文件时登记的供应商名称不符的；</w:t>
      </w:r>
    </w:p>
    <w:p>
      <w:pPr>
        <w:numPr>
          <w:ilvl w:val="0"/>
          <w:numId w:val="22"/>
        </w:numPr>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供应商未按照招标文件要求缴纳投标保证金的或投标保证金的交付单位和供应商的名称不一致，视为无效投标；</w:t>
      </w:r>
    </w:p>
    <w:p>
      <w:pPr>
        <w:numPr>
          <w:ilvl w:val="0"/>
          <w:numId w:val="22"/>
        </w:numPr>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供应商针对同一项目递交两份或多份内容不同的投标文件，未书面声明哪一份是有效的或出现选择性报价的；</w:t>
      </w:r>
    </w:p>
    <w:p>
      <w:pPr>
        <w:numPr>
          <w:ilvl w:val="0"/>
          <w:numId w:val="22"/>
        </w:numPr>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供应商的报价明显低于其他通过符合性审查供应商的报价，有可能影响货物质量或者不能诚信履约的，不能按照评标委员会要求在评标现场合理的时间内提供书面说明及相关证明材料且证明其报价合理性的；</w:t>
      </w:r>
    </w:p>
    <w:p>
      <w:pPr>
        <w:numPr>
          <w:ilvl w:val="0"/>
          <w:numId w:val="22"/>
        </w:numPr>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投标报价出现漏项或货物数量与要求不符的；</w:t>
      </w:r>
    </w:p>
    <w:p>
      <w:pPr>
        <w:numPr>
          <w:ilvl w:val="0"/>
          <w:numId w:val="22"/>
        </w:numPr>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投标货物的技术参数、性能指标与招标文件要求出现重大负偏差的；或者提供虚假证明（包括第三方的虚假证明），除按无效文件处理外，还将按照政府采购法的有关规定进行处罚；</w:t>
      </w:r>
    </w:p>
    <w:p>
      <w:pPr>
        <w:numPr>
          <w:ilvl w:val="0"/>
          <w:numId w:val="22"/>
        </w:numPr>
        <w:spacing w:line="50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投标文件在商务响应方面（详见招标文件第五部分商务条款与采购要求）与招标文件要求不一致或附加了采购单位难以接受的条件或条款的；</w:t>
      </w:r>
    </w:p>
    <w:p>
      <w:pPr>
        <w:numPr>
          <w:ilvl w:val="0"/>
          <w:numId w:val="22"/>
        </w:numPr>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如澄清、补正、说明的内容与投标文件内容有重大相悖或矛盾，将被认定为无效投标。</w:t>
      </w:r>
    </w:p>
    <w:p>
      <w:pPr>
        <w:overflowPunct w:val="0"/>
        <w:adjustRightInd w:val="0"/>
        <w:snapToGrid w:val="0"/>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3.4 根据《政府采购货物和服务招标投标管理办法》相关规定，单一产品采购项目提供相同品牌产品或非单一产品采购项目多家供应商提供的核心产品品牌相同的且通过资格审查、符合性审查的不同供应商参加同一合同项下投标的，按一家供应商计算，评审后得分最高的同品牌供应商获得中标供应商推荐资格；评审得分相同的，由采购人或者采购人委托评标委员会按照报价得分最高的方式确定一个供应商获得中标供应商推荐资格。</w:t>
      </w:r>
    </w:p>
    <w:p>
      <w:pPr>
        <w:pStyle w:val="5"/>
        <w:numPr>
          <w:ilvl w:val="0"/>
          <w:numId w:val="20"/>
        </w:numPr>
        <w:spacing w:before="0" w:after="0" w:line="500" w:lineRule="exact"/>
        <w:ind w:firstLine="482" w:firstLineChars="200"/>
        <w:rPr>
          <w:rFonts w:asciiTheme="minorEastAsia" w:hAnsiTheme="minorEastAsia" w:eastAsiaTheme="minorEastAsia" w:cstheme="minorEastAsia"/>
          <w:sz w:val="24"/>
          <w:szCs w:val="24"/>
        </w:rPr>
      </w:pPr>
      <w:bookmarkStart w:id="93" w:name="_Toc17705"/>
      <w:r>
        <w:rPr>
          <w:rFonts w:hint="eastAsia" w:asciiTheme="minorEastAsia" w:hAnsiTheme="minorEastAsia" w:eastAsiaTheme="minorEastAsia" w:cstheme="minorEastAsia"/>
          <w:sz w:val="24"/>
          <w:szCs w:val="24"/>
        </w:rPr>
        <w:t>投标文件澄清</w:t>
      </w:r>
      <w:bookmarkEnd w:id="93"/>
    </w:p>
    <w:p>
      <w:pPr>
        <w:overflowPunct w:val="0"/>
        <w:adjustRightInd w:val="0"/>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在评标期间,采购代理机构可根据评标委员会对其投标文件有疑义不清楚的内容，要求供应商对其投标文件进行澄清。</w:t>
      </w:r>
    </w:p>
    <w:p>
      <w:pPr>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4.2 供应商必须按照评标委员会通知的内容和时间做出书面答复，该答复经法定代表人或供应商代表的签字认可，将作为投标文件内容的一部分。澄清、说明或者补正不得超出投标文件的范围或者改变投标文件的实质性内容。供应商拒不按照要求对投标文件进行澄清、说明或者补正的，供应商将自行承担评标委员会视其投标无效的风险。 </w:t>
      </w:r>
    </w:p>
    <w:p>
      <w:pPr>
        <w:spacing w:line="500" w:lineRule="exact"/>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4.3 如评标委员会一致认为某个供应商的报价明显不合理，有降低质量、不能诚信履行的可能时，评标委员会有权决定是否通知供应商限期进行书面解释或提供相关证明材料。若已要求，而该供应商在规定期限内未做出解释、做出的解释不合理或不能提供证明材料的，评标委员会有权拒绝该投标。</w:t>
      </w:r>
    </w:p>
    <w:p>
      <w:pPr>
        <w:pStyle w:val="5"/>
        <w:numPr>
          <w:ilvl w:val="0"/>
          <w:numId w:val="20"/>
        </w:numPr>
        <w:spacing w:before="0" w:after="0" w:line="500" w:lineRule="exact"/>
        <w:ind w:firstLine="482" w:firstLineChars="200"/>
        <w:rPr>
          <w:rFonts w:asciiTheme="minorEastAsia" w:hAnsiTheme="minorEastAsia" w:eastAsiaTheme="minorEastAsia" w:cstheme="minorEastAsia"/>
          <w:sz w:val="24"/>
          <w:szCs w:val="24"/>
        </w:rPr>
      </w:pPr>
      <w:bookmarkStart w:id="94" w:name="_Toc8353"/>
      <w:r>
        <w:rPr>
          <w:rFonts w:hint="eastAsia" w:asciiTheme="minorEastAsia" w:hAnsiTheme="minorEastAsia" w:eastAsiaTheme="minorEastAsia" w:cstheme="minorEastAsia"/>
          <w:sz w:val="24"/>
          <w:szCs w:val="24"/>
        </w:rPr>
        <w:t>评标</w:t>
      </w:r>
      <w:bookmarkEnd w:id="94"/>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采用综合评分法：采取逐项分步评审方式，每一步评审不符合者，不进入下一步评审，全部评审合格的供应商由评标委员会按照公开招标文件中第四部分评分标准规定的各项因素进行比较、自主打分、综合评审。评标委员会将评审得分汇总后，按评标总得分由高到低汇总排序，推荐1～3名中标候选人；若有两个或两个以上供应商得分相同，供应商名次按报价得分高低排序；得分且投标报价相同的，按技术指标优劣顺序排列，并填报评标报告。</w:t>
      </w:r>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5.3评标委员会只对实质上响应招标文件的投标进行评价和比较；评审应严格按照招标文件的要求和条件进行；具体评审原则和中标条件详见招标文件第四部分“评分标准”。</w:t>
      </w:r>
    </w:p>
    <w:p>
      <w:pPr>
        <w:pStyle w:val="5"/>
        <w:numPr>
          <w:ilvl w:val="0"/>
          <w:numId w:val="20"/>
        </w:numPr>
        <w:spacing w:before="0" w:after="0" w:line="500" w:lineRule="exact"/>
        <w:ind w:firstLine="482" w:firstLineChars="200"/>
        <w:rPr>
          <w:rFonts w:asciiTheme="minorEastAsia" w:hAnsiTheme="minorEastAsia" w:eastAsiaTheme="minorEastAsia" w:cstheme="minorEastAsia"/>
          <w:sz w:val="24"/>
          <w:szCs w:val="24"/>
        </w:rPr>
      </w:pPr>
      <w:bookmarkStart w:id="95" w:name="_Toc12947"/>
      <w:r>
        <w:rPr>
          <w:rFonts w:hint="eastAsia" w:asciiTheme="minorEastAsia" w:hAnsiTheme="minorEastAsia" w:eastAsiaTheme="minorEastAsia" w:cstheme="minorEastAsia"/>
          <w:sz w:val="24"/>
          <w:szCs w:val="24"/>
        </w:rPr>
        <w:t>定标</w:t>
      </w:r>
      <w:bookmarkEnd w:id="95"/>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6.2代理机构收到采购单位“定标复函”后2个工作日内，在财政部门指定的政府采购信息媒体上发布公告，并向中标供应商发出“中标通知书”。</w:t>
      </w:r>
    </w:p>
    <w:p>
      <w:pPr>
        <w:widowControl/>
        <w:numPr>
          <w:ilvl w:val="0"/>
          <w:numId w:val="8"/>
        </w:numPr>
        <w:spacing w:before="159" w:beforeLines="50" w:after="159" w:afterLines="50" w:line="500" w:lineRule="exact"/>
        <w:ind w:firstLine="0"/>
        <w:jc w:val="center"/>
        <w:outlineLvl w:val="1"/>
        <w:rPr>
          <w:rFonts w:asciiTheme="minorEastAsia" w:hAnsiTheme="minorEastAsia" w:eastAsiaTheme="minorEastAsia" w:cstheme="minorEastAsia"/>
          <w:b/>
          <w:bCs/>
          <w:kern w:val="0"/>
          <w:sz w:val="32"/>
          <w:szCs w:val="32"/>
        </w:rPr>
      </w:pPr>
      <w:bookmarkStart w:id="96" w:name="_Toc13042"/>
      <w:bookmarkStart w:id="97" w:name="_Toc23812"/>
      <w:bookmarkStart w:id="98" w:name="_Toc10158"/>
      <w:bookmarkStart w:id="99" w:name="_Toc1632"/>
      <w:bookmarkStart w:id="100" w:name="_Toc19972"/>
      <w:bookmarkStart w:id="101" w:name="_Toc756"/>
      <w:bookmarkStart w:id="102" w:name="_Toc25308"/>
      <w:r>
        <w:rPr>
          <w:rFonts w:hint="eastAsia" w:asciiTheme="minorEastAsia" w:hAnsiTheme="minorEastAsia" w:eastAsiaTheme="minorEastAsia" w:cstheme="minorEastAsia"/>
          <w:b/>
          <w:bCs/>
          <w:kern w:val="0"/>
          <w:sz w:val="32"/>
          <w:szCs w:val="32"/>
        </w:rPr>
        <w:t>签订合同</w:t>
      </w:r>
      <w:bookmarkEnd w:id="96"/>
      <w:bookmarkEnd w:id="97"/>
      <w:bookmarkEnd w:id="98"/>
      <w:bookmarkEnd w:id="99"/>
      <w:bookmarkEnd w:id="100"/>
      <w:bookmarkEnd w:id="101"/>
      <w:bookmarkEnd w:id="102"/>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1、中标后，中标供应商与采购人洽谈合同条款，并签订供货合同，同时送代理机构归档，招标文件及中标供应商的投标文件均作为合同的组成部分。</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2、根据需要，代理机构应协助采购人监督、协调和处理履约过程中出现的问题。</w:t>
      </w:r>
    </w:p>
    <w:p>
      <w:pPr>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3、陕西省财政厅政府采购</w:t>
      </w:r>
      <w:r>
        <w:rPr>
          <w:rFonts w:hint="eastAsia" w:asciiTheme="minorEastAsia" w:hAnsiTheme="minorEastAsia" w:eastAsiaTheme="minorEastAsia" w:cstheme="minorEastAsia"/>
          <w:sz w:val="24"/>
          <w:szCs w:val="24"/>
          <w:lang w:eastAsia="zh-CN"/>
        </w:rPr>
        <w:t>管理处</w:t>
      </w:r>
      <w:r>
        <w:rPr>
          <w:rFonts w:hint="eastAsia" w:asciiTheme="minorEastAsia" w:hAnsiTheme="minorEastAsia" w:eastAsiaTheme="minorEastAsia" w:cstheme="minorEastAsia"/>
          <w:sz w:val="24"/>
          <w:szCs w:val="24"/>
        </w:rPr>
        <w:t>在合同履行期间以及履行期后，可以随时检查项目的执行情况，对采购标准、采购内容进行调查核实，并对发现的问题进行处理。</w:t>
      </w:r>
    </w:p>
    <w:p>
      <w:pPr>
        <w:widowControl/>
        <w:numPr>
          <w:ilvl w:val="0"/>
          <w:numId w:val="8"/>
        </w:numPr>
        <w:spacing w:before="159" w:beforeLines="50" w:after="159" w:afterLines="50" w:line="500" w:lineRule="exact"/>
        <w:ind w:firstLine="0"/>
        <w:jc w:val="center"/>
        <w:outlineLvl w:val="1"/>
        <w:rPr>
          <w:rFonts w:asciiTheme="minorEastAsia" w:hAnsiTheme="minorEastAsia" w:eastAsiaTheme="minorEastAsia" w:cstheme="minorEastAsia"/>
          <w:b/>
          <w:bCs/>
          <w:kern w:val="0"/>
          <w:sz w:val="32"/>
          <w:szCs w:val="32"/>
        </w:rPr>
      </w:pPr>
      <w:bookmarkStart w:id="103" w:name="_Toc7380"/>
      <w:bookmarkStart w:id="104" w:name="_Toc23592"/>
      <w:bookmarkStart w:id="105" w:name="_Toc4168"/>
      <w:bookmarkStart w:id="106" w:name="_Toc9879"/>
      <w:bookmarkStart w:id="107" w:name="_Toc28110"/>
      <w:bookmarkStart w:id="108" w:name="_Toc26132"/>
      <w:bookmarkStart w:id="109" w:name="_Toc2560"/>
      <w:r>
        <w:rPr>
          <w:rFonts w:hint="eastAsia" w:asciiTheme="minorEastAsia" w:hAnsiTheme="minorEastAsia" w:eastAsiaTheme="minorEastAsia" w:cstheme="minorEastAsia"/>
          <w:b/>
          <w:bCs/>
          <w:kern w:val="0"/>
          <w:sz w:val="32"/>
          <w:szCs w:val="32"/>
        </w:rPr>
        <w:t>代理服务费</w:t>
      </w:r>
      <w:bookmarkEnd w:id="103"/>
      <w:bookmarkEnd w:id="104"/>
      <w:bookmarkEnd w:id="105"/>
      <w:bookmarkEnd w:id="106"/>
      <w:bookmarkEnd w:id="107"/>
      <w:bookmarkEnd w:id="108"/>
      <w:bookmarkEnd w:id="109"/>
    </w:p>
    <w:p>
      <w:pPr>
        <w:spacing w:line="560" w:lineRule="exact"/>
        <w:ind w:firstLine="480" w:firstLineChars="200"/>
        <w:jc w:val="left"/>
        <w:rPr>
          <w:rFonts w:ascii="宋体" w:hAnsi="宋体" w:cs="宋体"/>
          <w:sz w:val="24"/>
          <w:szCs w:val="24"/>
          <w:highlight w:val="none"/>
        </w:rPr>
      </w:pPr>
      <w:bookmarkStart w:id="110" w:name="_Toc21950"/>
      <w:bookmarkStart w:id="111" w:name="_Toc7191"/>
      <w:bookmarkStart w:id="112" w:name="_Toc32056"/>
      <w:bookmarkStart w:id="113" w:name="_Toc16019"/>
      <w:r>
        <w:rPr>
          <w:rFonts w:hint="eastAsia" w:ascii="宋体" w:hAnsi="宋体" w:cs="宋体"/>
          <w:sz w:val="24"/>
          <w:szCs w:val="24"/>
          <w:highlight w:val="none"/>
          <w:lang w:val="en-US" w:eastAsia="zh-CN"/>
        </w:rPr>
        <w:t>1、</w:t>
      </w:r>
      <w:r>
        <w:rPr>
          <w:rFonts w:hint="eastAsia" w:ascii="宋体" w:hAnsi="宋体" w:cs="宋体"/>
          <w:sz w:val="24"/>
          <w:szCs w:val="24"/>
          <w:highlight w:val="none"/>
        </w:rPr>
        <w:t>参照（计价格[2002]1980号）文件规定收费标准</w:t>
      </w:r>
      <w:r>
        <w:rPr>
          <w:rFonts w:hint="eastAsia" w:ascii="宋体" w:hAnsi="宋体" w:cs="宋体"/>
          <w:sz w:val="24"/>
          <w:szCs w:val="24"/>
          <w:highlight w:val="none"/>
          <w:lang w:val="en-US" w:eastAsia="zh-CN"/>
        </w:rPr>
        <w:t>65%</w:t>
      </w:r>
      <w:r>
        <w:rPr>
          <w:rFonts w:hint="eastAsia" w:ascii="宋体" w:hAnsi="宋体" w:cs="宋体"/>
          <w:sz w:val="24"/>
          <w:szCs w:val="24"/>
          <w:highlight w:val="none"/>
        </w:rPr>
        <w:t xml:space="preserve">收费，由中标人在领取中标通知书时向代理机构缴纳代理服务费。 </w:t>
      </w:r>
    </w:p>
    <w:p>
      <w:pPr>
        <w:numPr>
          <w:ilvl w:val="0"/>
          <w:numId w:val="0"/>
        </w:numPr>
        <w:spacing w:line="560" w:lineRule="exact"/>
        <w:ind w:firstLine="480" w:firstLineChars="200"/>
        <w:jc w:val="left"/>
        <w:rPr>
          <w:rFonts w:ascii="宋体" w:cs="Times New Roman"/>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供应商将招标代理服务费计入响应报价但不单独列明，成交单位在领取成交通知书前，须向采购代理机构一次性支付招标代理服务费；代理服务费以转账、电汇或现金等形式交纳。</w:t>
      </w:r>
    </w:p>
    <w:p>
      <w:pPr>
        <w:widowControl/>
        <w:numPr>
          <w:ilvl w:val="0"/>
          <w:numId w:val="8"/>
        </w:numPr>
        <w:spacing w:before="159" w:beforeLines="50" w:after="159" w:afterLines="50" w:line="500" w:lineRule="exact"/>
        <w:ind w:firstLine="0"/>
        <w:jc w:val="center"/>
        <w:outlineLvl w:val="1"/>
        <w:rPr>
          <w:rFonts w:asciiTheme="minorEastAsia" w:hAnsiTheme="minorEastAsia" w:eastAsiaTheme="minorEastAsia" w:cstheme="minorEastAsia"/>
          <w:b/>
          <w:bCs/>
          <w:kern w:val="0"/>
          <w:sz w:val="32"/>
          <w:szCs w:val="32"/>
        </w:rPr>
      </w:pPr>
      <w:bookmarkStart w:id="114" w:name="_Toc18472"/>
      <w:r>
        <w:rPr>
          <w:rFonts w:hint="eastAsia" w:asciiTheme="minorEastAsia" w:hAnsiTheme="minorEastAsia" w:eastAsiaTheme="minorEastAsia" w:cstheme="minorEastAsia"/>
          <w:b/>
          <w:bCs/>
          <w:kern w:val="0"/>
          <w:sz w:val="32"/>
          <w:szCs w:val="32"/>
        </w:rPr>
        <w:t>质疑和投诉</w:t>
      </w:r>
      <w:bookmarkEnd w:id="110"/>
      <w:bookmarkEnd w:id="111"/>
      <w:bookmarkEnd w:id="112"/>
      <w:bookmarkEnd w:id="113"/>
      <w:bookmarkEnd w:id="114"/>
    </w:p>
    <w:p>
      <w:pPr>
        <w:spacing w:line="560" w:lineRule="exact"/>
        <w:ind w:firstLine="480" w:firstLineChars="200"/>
        <w:jc w:val="left"/>
        <w:rPr>
          <w:rFonts w:asciiTheme="minorEastAsia" w:hAnsiTheme="minorEastAsia" w:eastAsiaTheme="minorEastAsia" w:cstheme="minorEastAsia"/>
          <w:sz w:val="24"/>
          <w:szCs w:val="24"/>
        </w:rPr>
      </w:pPr>
      <w:bookmarkStart w:id="115" w:name="_Toc2192"/>
      <w:bookmarkStart w:id="116" w:name="_Toc1429"/>
      <w:bookmarkStart w:id="117" w:name="_Toc6082"/>
      <w:bookmarkStart w:id="118" w:name="_Toc2080"/>
      <w:bookmarkStart w:id="119" w:name="_Toc3298"/>
      <w:r>
        <w:rPr>
          <w:rFonts w:hint="eastAsia" w:asciiTheme="minorEastAsia" w:hAnsiTheme="minorEastAsia" w:eastAsiaTheme="minorEastAsia" w:cstheme="minorEastAsia"/>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 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1）对采购文件提出质疑的，为收到采购文件之日或者采购文件公告期限届满之日；</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2）对采购过程提出质疑的，为各采购程序环节结束之日；</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3）对中标或者成交结果提出质疑的，为中标或者成交结果公告期限届满之日。</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8.2供应商应当在法定质疑期内一次性提出针对同一采购程序环节的质疑。</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 质疑函应当包括下列主要内容：</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1）供应商的姓名或者名称、地址、邮编、联系人及联系电话；</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2）质疑项目的名称、编号；</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3）具体、明确的质疑事项和与质疑事项相关的请求；</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4）事实依据；</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5）必要的法律依据；</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6）提出质疑的日期。</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代理人提出质疑和投诉，应当提交供应商签署的授权委托书。</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8.5 质疑函内容不得含有虚假、恶意成分。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8.6质疑函接收方式：由自然人本人或法定代表人或者其授权代表携带书面原件及身份证明原件到现场递交，否则不予受理 。 </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8.7 质疑受理部门：陕西万泽招标有限公司。</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质疑受理电话：029-88319689。</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8.8 提交质疑函地点：西安市西关正街英达大厦1507室。</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8.9 本次采购活动中，采购代理机构对质疑函回复的书面文件的送达方式为现场取件。</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如所质疑的问题比较复杂，采购人或者采购代理机构在规定的答复时间内无法回复，应事先告知提出质疑的供应商，同时向同级政府采购监督管理部门报告。</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8.10 质疑供应商对采购人、采购代理机构的答复不满意，或者采购人、采购代理机构未在规定的时间内作出答复的，可以在答复期满后15个工作日内向采购人的同级政府采购监督管理部门投诉。</w:t>
      </w:r>
    </w:p>
    <w:p>
      <w:pPr>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8.11 质疑函应当使用中文。质疑函范本详见财政部制定的范本即附件六。</w:t>
      </w:r>
    </w:p>
    <w:p>
      <w:pPr>
        <w:spacing w:line="560" w:lineRule="exact"/>
        <w:ind w:firstLine="723" w:firstLineChars="200"/>
        <w:jc w:val="center"/>
        <w:rPr>
          <w:rFonts w:asciiTheme="minorEastAsia" w:hAnsiTheme="minorEastAsia" w:eastAsiaTheme="minorEastAsia" w:cstheme="minorEastAsia"/>
          <w:b/>
          <w:bCs/>
          <w:sz w:val="36"/>
          <w:szCs w:val="36"/>
        </w:rPr>
        <w:sectPr>
          <w:headerReference r:id="rId10" w:type="default"/>
          <w:footerReference r:id="rId11" w:type="default"/>
          <w:pgSz w:w="11906" w:h="16838"/>
          <w:pgMar w:top="1440" w:right="1803" w:bottom="1440" w:left="1803" w:header="851" w:footer="992" w:gutter="0"/>
          <w:cols w:space="720" w:num="1"/>
          <w:docGrid w:type="lines" w:linePitch="319" w:charSpace="0"/>
        </w:sectPr>
      </w:pPr>
    </w:p>
    <w:p>
      <w:pPr>
        <w:pStyle w:val="3"/>
        <w:numPr>
          <w:ilvl w:val="0"/>
          <w:numId w:val="23"/>
        </w:numPr>
        <w:spacing w:before="319" w:beforeLines="100" w:after="319" w:afterLines="100" w:line="500" w:lineRule="exact"/>
        <w:rPr>
          <w:rFonts w:asciiTheme="minorEastAsia" w:hAnsiTheme="minorEastAsia" w:eastAsiaTheme="minorEastAsia" w:cstheme="minorEastAsia"/>
          <w:sz w:val="36"/>
          <w:szCs w:val="36"/>
        </w:rPr>
      </w:pPr>
      <w:bookmarkStart w:id="120" w:name="_Toc14641"/>
      <w:r>
        <w:rPr>
          <w:rFonts w:hint="eastAsia" w:asciiTheme="minorEastAsia" w:hAnsiTheme="minorEastAsia" w:eastAsiaTheme="minorEastAsia" w:cstheme="minorEastAsia"/>
          <w:sz w:val="36"/>
          <w:szCs w:val="36"/>
        </w:rPr>
        <w:t>评分标准</w:t>
      </w:r>
      <w:bookmarkEnd w:id="115"/>
      <w:bookmarkEnd w:id="116"/>
      <w:bookmarkEnd w:id="117"/>
      <w:bookmarkEnd w:id="118"/>
      <w:bookmarkEnd w:id="119"/>
      <w:bookmarkEnd w:id="120"/>
    </w:p>
    <w:tbl>
      <w:tblPr>
        <w:tblStyle w:val="24"/>
        <w:tblW w:w="8775"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815"/>
        <w:gridCol w:w="556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60" w:type="dxa"/>
            <w:noWrap w:val="0"/>
            <w:vAlign w:val="center"/>
          </w:tcPr>
          <w:p>
            <w:pPr>
              <w:rPr>
                <w:rFonts w:hint="eastAsia" w:ascii="宋体" w:hAnsi="宋体" w:cs="宋体"/>
              </w:rPr>
            </w:pPr>
            <w:r>
              <w:rPr>
                <w:rFonts w:hint="eastAsia" w:ascii="宋体" w:hAnsi="宋体" w:cs="宋体"/>
              </w:rPr>
              <w:t>分值构成</w:t>
            </w:r>
          </w:p>
        </w:tc>
        <w:tc>
          <w:tcPr>
            <w:tcW w:w="815" w:type="dxa"/>
            <w:noWrap w:val="0"/>
            <w:vAlign w:val="center"/>
          </w:tcPr>
          <w:p>
            <w:pPr>
              <w:jc w:val="left"/>
              <w:rPr>
                <w:rFonts w:hint="eastAsia" w:ascii="宋体" w:hAnsi="宋体" w:cs="宋体"/>
              </w:rPr>
            </w:pPr>
            <w:r>
              <w:rPr>
                <w:rFonts w:hint="eastAsia" w:ascii="宋体" w:hAnsi="宋体" w:cs="宋体"/>
              </w:rPr>
              <w:t>分值100分</w:t>
            </w:r>
          </w:p>
        </w:tc>
        <w:tc>
          <w:tcPr>
            <w:tcW w:w="5565" w:type="dxa"/>
            <w:noWrap w:val="0"/>
            <w:vAlign w:val="center"/>
          </w:tcPr>
          <w:p>
            <w:pPr>
              <w:jc w:val="center"/>
              <w:rPr>
                <w:rFonts w:hint="eastAsia" w:ascii="宋体" w:hAnsi="宋体" w:cs="宋体"/>
              </w:rPr>
            </w:pPr>
            <w:r>
              <w:rPr>
                <w:rFonts w:hint="eastAsia" w:ascii="宋体" w:hAnsi="宋体" w:cs="宋体"/>
              </w:rPr>
              <w:t>评审内容</w:t>
            </w:r>
          </w:p>
        </w:tc>
        <w:tc>
          <w:tcPr>
            <w:tcW w:w="1635" w:type="dxa"/>
            <w:noWrap w:val="0"/>
            <w:vAlign w:val="center"/>
          </w:tcPr>
          <w:p>
            <w:pPr>
              <w:jc w:val="center"/>
              <w:rPr>
                <w:rFonts w:hint="eastAsia"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60" w:type="dxa"/>
            <w:noWrap w:val="0"/>
            <w:vAlign w:val="center"/>
          </w:tcPr>
          <w:p>
            <w:pPr>
              <w:rPr>
                <w:rFonts w:hint="eastAsia" w:ascii="宋体" w:hAnsi="宋体" w:cs="宋体"/>
              </w:rPr>
            </w:pPr>
            <w:r>
              <w:rPr>
                <w:rFonts w:hint="eastAsia" w:ascii="宋体" w:hAnsi="宋体" w:cs="宋体"/>
              </w:rPr>
              <w:t>报价</w:t>
            </w:r>
          </w:p>
        </w:tc>
        <w:tc>
          <w:tcPr>
            <w:tcW w:w="815" w:type="dxa"/>
            <w:noWrap w:val="0"/>
            <w:vAlign w:val="center"/>
          </w:tcPr>
          <w:p>
            <w:pPr>
              <w:rPr>
                <w:rFonts w:hint="eastAsia" w:ascii="宋体" w:hAnsi="宋体" w:cs="宋体"/>
              </w:rPr>
            </w:pPr>
            <w:r>
              <w:rPr>
                <w:rFonts w:hint="eastAsia" w:ascii="宋体" w:hAnsi="宋体" w:cs="宋体"/>
              </w:rPr>
              <w:t>30分</w:t>
            </w:r>
          </w:p>
        </w:tc>
        <w:tc>
          <w:tcPr>
            <w:tcW w:w="5565" w:type="dxa"/>
            <w:noWrap w:val="0"/>
            <w:vAlign w:val="center"/>
          </w:tcPr>
          <w:p>
            <w:pPr>
              <w:rPr>
                <w:rFonts w:hint="eastAsia" w:ascii="宋体" w:hAnsi="宋体" w:cs="宋体"/>
              </w:rPr>
            </w:pPr>
            <w:r>
              <w:rPr>
                <w:rFonts w:hint="eastAsia" w:ascii="宋体" w:hAnsi="宋体" w:cs="宋体"/>
              </w:rPr>
              <w:t>经初审合格的供应商，其响应报价为有效报价。</w:t>
            </w:r>
          </w:p>
          <w:p>
            <w:pPr>
              <w:rPr>
                <w:rFonts w:hint="eastAsia" w:ascii="宋体" w:hAnsi="宋体" w:cs="宋体"/>
              </w:rPr>
            </w:pPr>
            <w:r>
              <w:rPr>
                <w:rFonts w:hint="eastAsia" w:ascii="宋体" w:hAnsi="宋体" w:cs="宋体"/>
              </w:rPr>
              <w:t>评标基准价：即满足采购文件要求且最终响应报价最低的为评标基准价。</w:t>
            </w:r>
          </w:p>
          <w:p>
            <w:pPr>
              <w:rPr>
                <w:rFonts w:hint="eastAsia" w:ascii="宋体" w:hAnsi="宋体" w:cs="宋体"/>
              </w:rPr>
            </w:pPr>
            <w:r>
              <w:rPr>
                <w:rFonts w:hint="eastAsia" w:ascii="宋体" w:hAnsi="宋体" w:cs="宋体"/>
              </w:rPr>
              <w:t>其他供应商的价格分统一按照下列公式计算。</w:t>
            </w:r>
          </w:p>
          <w:p>
            <w:pPr>
              <w:rPr>
                <w:rFonts w:hint="eastAsia" w:ascii="宋体" w:hAnsi="宋体" w:cs="宋体"/>
              </w:rPr>
            </w:pPr>
            <w:r>
              <w:rPr>
                <w:rFonts w:hint="eastAsia" w:ascii="宋体" w:hAnsi="宋体" w:cs="宋体"/>
              </w:rPr>
              <w:t>响应报价计分=(评标基准价／响应报价)×30</w:t>
            </w:r>
          </w:p>
        </w:tc>
        <w:tc>
          <w:tcPr>
            <w:tcW w:w="1635" w:type="dxa"/>
            <w:noWrap w:val="0"/>
            <w:vAlign w:val="center"/>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760" w:type="dxa"/>
            <w:noWrap w:val="0"/>
            <w:vAlign w:val="center"/>
          </w:tcPr>
          <w:p>
            <w:pPr>
              <w:rPr>
                <w:rFonts w:hint="eastAsia" w:ascii="宋体" w:hAnsi="宋体" w:cs="宋体"/>
              </w:rPr>
            </w:pPr>
            <w:r>
              <w:rPr>
                <w:rFonts w:hint="eastAsia" w:ascii="宋体" w:hAnsi="宋体" w:cs="宋体"/>
              </w:rPr>
              <w:t>技术指标、功能及配置</w:t>
            </w:r>
          </w:p>
        </w:tc>
        <w:tc>
          <w:tcPr>
            <w:tcW w:w="815" w:type="dxa"/>
            <w:noWrap w:val="0"/>
            <w:vAlign w:val="center"/>
          </w:tcPr>
          <w:p>
            <w:pPr>
              <w:rPr>
                <w:rFonts w:hint="eastAsia" w:ascii="宋体" w:hAnsi="宋体" w:cs="宋体"/>
              </w:rPr>
            </w:pPr>
            <w:r>
              <w:rPr>
                <w:rFonts w:hint="eastAsia" w:ascii="宋体" w:hAnsi="宋体" w:cs="宋体"/>
              </w:rPr>
              <w:t>30分</w:t>
            </w:r>
          </w:p>
        </w:tc>
        <w:tc>
          <w:tcPr>
            <w:tcW w:w="5565" w:type="dxa"/>
            <w:noWrap w:val="0"/>
            <w:vAlign w:val="center"/>
          </w:tcPr>
          <w:p>
            <w:pPr>
              <w:rPr>
                <w:rFonts w:hint="eastAsia" w:ascii="宋体" w:hAnsi="宋体" w:cs="宋体"/>
              </w:rPr>
            </w:pPr>
            <w:r>
              <w:rPr>
                <w:rFonts w:hint="eastAsia" w:ascii="宋体" w:hAnsi="宋体" w:cs="宋体"/>
              </w:rPr>
              <w:t>响应产品的质量、安全、技术规格、物理特性和功能需求（30分）。评审依据为生产厂家出具的、相应的功能证明材料（包括但不限于测试报告、官网和功能截图等）及响应产品技术参数偏离表等；</w:t>
            </w:r>
          </w:p>
          <w:p>
            <w:pPr>
              <w:rPr>
                <w:rFonts w:hint="eastAsia" w:ascii="宋体" w:hAnsi="宋体" w:cs="宋体"/>
              </w:rPr>
            </w:pPr>
            <w:r>
              <w:rPr>
                <w:rFonts w:hint="eastAsia" w:ascii="宋体" w:hAnsi="宋体" w:cs="宋体"/>
              </w:rPr>
              <w:t>基本分（30分），完全响应招标文件要求，满足采购需求、技术参数没有负偏离，计基本分30分；</w:t>
            </w:r>
            <w:r>
              <w:rPr>
                <w:rFonts w:hint="eastAsia"/>
              </w:rPr>
              <w:t>★</w:t>
            </w:r>
            <w:r>
              <w:rPr>
                <w:rFonts w:hint="eastAsia" w:ascii="宋体" w:hAnsi="宋体" w:cs="宋体"/>
              </w:rPr>
              <w:t>参数负偏离每项扣3分，非</w:t>
            </w:r>
            <w:r>
              <w:rPr>
                <w:rFonts w:hint="eastAsia"/>
              </w:rPr>
              <w:t>★</w:t>
            </w:r>
            <w:r>
              <w:rPr>
                <w:rFonts w:hint="eastAsia" w:ascii="宋体" w:hAnsi="宋体" w:cs="宋体"/>
              </w:rPr>
              <w:t>参数负偏离每项扣1分，扣完为止；</w:t>
            </w:r>
          </w:p>
          <w:p>
            <w:pPr>
              <w:pStyle w:val="6"/>
              <w:rPr>
                <w:rFonts w:ascii="宋体" w:hAnsi="宋体" w:cs="宋体"/>
                <w:sz w:val="21"/>
              </w:rPr>
            </w:pPr>
          </w:p>
        </w:tc>
        <w:tc>
          <w:tcPr>
            <w:tcW w:w="1635" w:type="dxa"/>
            <w:noWrap w:val="0"/>
            <w:vAlign w:val="center"/>
          </w:tcPr>
          <w:p>
            <w:pPr>
              <w:pStyle w:val="6"/>
              <w:rPr>
                <w:rFonts w:ascii="宋体" w:hAnsi="宋体" w:cs="宋体"/>
                <w:b w:val="0"/>
                <w:sz w:val="21"/>
              </w:rPr>
            </w:pPr>
            <w:r>
              <w:rPr>
                <w:rFonts w:ascii="宋体" w:hAnsi="宋体" w:cs="宋体"/>
                <w:b w:val="0"/>
                <w:sz w:val="18"/>
                <w:szCs w:val="18"/>
              </w:rPr>
              <w:t>供应商应尽可能多的提供充足的佐证材料予以证明参数的技术响应性，未提供的和虽提供但无法佐证者，均视为技术参数的负偏离。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60" w:type="dxa"/>
            <w:noWrap w:val="0"/>
            <w:vAlign w:val="center"/>
          </w:tcPr>
          <w:p>
            <w:pPr>
              <w:rPr>
                <w:rFonts w:hint="eastAsia" w:ascii="宋体" w:hAnsi="宋体" w:cs="宋体"/>
              </w:rPr>
            </w:pPr>
            <w:r>
              <w:rPr>
                <w:rFonts w:hint="eastAsia" w:ascii="宋体" w:hAnsi="宋体" w:cs="宋体"/>
              </w:rPr>
              <w:t>实施方案</w:t>
            </w:r>
          </w:p>
        </w:tc>
        <w:tc>
          <w:tcPr>
            <w:tcW w:w="815" w:type="dxa"/>
            <w:noWrap w:val="0"/>
            <w:vAlign w:val="center"/>
          </w:tcPr>
          <w:p>
            <w:pPr>
              <w:rPr>
                <w:rFonts w:ascii="宋体" w:hAnsi="宋体" w:cs="宋体"/>
              </w:rPr>
            </w:pPr>
            <w:r>
              <w:rPr>
                <w:rFonts w:hint="eastAsia" w:ascii="宋体" w:hAnsi="宋体" w:cs="宋体"/>
              </w:rPr>
              <w:t>5分</w:t>
            </w:r>
          </w:p>
        </w:tc>
        <w:tc>
          <w:tcPr>
            <w:tcW w:w="5565" w:type="dxa"/>
            <w:noWrap w:val="0"/>
            <w:vAlign w:val="center"/>
          </w:tcPr>
          <w:p>
            <w:pPr>
              <w:keepNext/>
              <w:keepLines/>
              <w:ind w:firstLine="420" w:firstLineChars="200"/>
              <w:jc w:val="left"/>
              <w:outlineLvl w:val="3"/>
              <w:rPr>
                <w:rFonts w:hint="eastAsia" w:ascii="宋体" w:hAnsi="宋体" w:cs="宋体"/>
              </w:rPr>
            </w:pPr>
            <w:r>
              <w:rPr>
                <w:rFonts w:hint="eastAsia" w:ascii="宋体" w:hAnsi="宋体" w:cs="宋体"/>
              </w:rPr>
              <w:t>供应商对本项目的供货、安装调试、验收组织、人员配备等方面制订具体的实施方案，做出合理计划及制订工作保障措施。方案完整、科学合理、操作性强，计4.1-5分；方案较完整，工作目标不明确、工作保障措施不到位， 2.1-4分；方案可执行性差，计1.1-2分，未提供不计分。</w:t>
            </w:r>
          </w:p>
        </w:tc>
        <w:tc>
          <w:tcPr>
            <w:tcW w:w="1635" w:type="dxa"/>
            <w:noWrap w:val="0"/>
            <w:vAlign w:val="center"/>
          </w:tcPr>
          <w:p>
            <w:pPr>
              <w:keepNext/>
              <w:keepLines/>
              <w:ind w:firstLine="420" w:firstLineChars="200"/>
              <w:jc w:val="left"/>
              <w:outlineLvl w:val="3"/>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60" w:type="dxa"/>
            <w:noWrap w:val="0"/>
            <w:vAlign w:val="center"/>
          </w:tcPr>
          <w:p>
            <w:pPr>
              <w:rPr>
                <w:rFonts w:hint="eastAsia" w:ascii="宋体" w:hAnsi="宋体" w:cs="宋体"/>
              </w:rPr>
            </w:pPr>
            <w:r>
              <w:rPr>
                <w:rFonts w:hint="eastAsia"/>
              </w:rPr>
              <w:t>设计方案</w:t>
            </w:r>
          </w:p>
        </w:tc>
        <w:tc>
          <w:tcPr>
            <w:tcW w:w="815" w:type="dxa"/>
            <w:noWrap w:val="0"/>
            <w:vAlign w:val="center"/>
          </w:tcPr>
          <w:p>
            <w:pPr>
              <w:rPr>
                <w:rFonts w:ascii="宋体" w:hAnsi="宋体" w:cs="宋体"/>
              </w:rPr>
            </w:pPr>
            <w:r>
              <w:rPr>
                <w:rFonts w:hint="eastAsia" w:ascii="宋体" w:hAnsi="宋体" w:cs="宋体"/>
              </w:rPr>
              <w:t>10分</w:t>
            </w:r>
          </w:p>
        </w:tc>
        <w:tc>
          <w:tcPr>
            <w:tcW w:w="5565" w:type="dxa"/>
            <w:noWrap w:val="0"/>
            <w:vAlign w:val="center"/>
          </w:tcPr>
          <w:p>
            <w:pPr>
              <w:keepNext/>
              <w:keepLines/>
              <w:ind w:firstLine="210" w:firstLineChars="100"/>
              <w:jc w:val="left"/>
              <w:outlineLvl w:val="3"/>
              <w:rPr>
                <w:rFonts w:ascii="宋体" w:hAnsi="宋体" w:cs="宋体"/>
              </w:rPr>
            </w:pPr>
            <w:r>
              <w:rPr>
                <w:rFonts w:hint="eastAsia"/>
              </w:rPr>
              <w:t>根据供应商对项目背景及整体设计思路的理解，能充分理解学校现有业务使用情况，结合本次项目提供总体架构图及详细科学的设计方案计8.1-10分；提供总体架构图、设计方案较科学详细计4.1-8分；设计方案内容简单、考虑欠缺计1.1-4分；未提供不计分。</w:t>
            </w:r>
          </w:p>
        </w:tc>
        <w:tc>
          <w:tcPr>
            <w:tcW w:w="1635" w:type="dxa"/>
            <w:noWrap w:val="0"/>
            <w:vAlign w:val="center"/>
          </w:tcPr>
          <w:p>
            <w:pPr>
              <w:keepNext/>
              <w:keepLines/>
              <w:ind w:firstLine="210" w:firstLineChars="100"/>
              <w:jc w:val="left"/>
              <w:outlineLvl w:val="3"/>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60" w:type="dxa"/>
            <w:noWrap w:val="0"/>
            <w:vAlign w:val="center"/>
          </w:tcPr>
          <w:p>
            <w:pPr>
              <w:rPr>
                <w:rFonts w:hint="eastAsia"/>
              </w:rPr>
            </w:pPr>
            <w:r>
              <w:rPr>
                <w:rFonts w:hint="eastAsia"/>
              </w:rPr>
              <w:t>履约能力</w:t>
            </w:r>
          </w:p>
        </w:tc>
        <w:tc>
          <w:tcPr>
            <w:tcW w:w="815" w:type="dxa"/>
            <w:noWrap w:val="0"/>
            <w:vAlign w:val="center"/>
          </w:tcPr>
          <w:p>
            <w:pPr>
              <w:rPr>
                <w:rFonts w:ascii="宋体" w:hAnsi="宋体" w:cs="宋体"/>
              </w:rPr>
            </w:pPr>
            <w:r>
              <w:rPr>
                <w:rFonts w:hint="eastAsia" w:ascii="宋体" w:hAnsi="宋体" w:cs="宋体"/>
              </w:rPr>
              <w:t>5分</w:t>
            </w:r>
          </w:p>
        </w:tc>
        <w:tc>
          <w:tcPr>
            <w:tcW w:w="5565" w:type="dxa"/>
            <w:noWrap w:val="0"/>
            <w:vAlign w:val="center"/>
          </w:tcPr>
          <w:p>
            <w:r>
              <w:rPr>
                <w:rFonts w:hint="eastAsia"/>
              </w:rPr>
              <w:t>提供本项目负责人PMP证书计2分；（需提供项目负责人在本单位近一年社保缴纳证明资料）</w:t>
            </w:r>
          </w:p>
          <w:p>
            <w:pPr>
              <w:rPr>
                <w:rFonts w:hint="eastAsia"/>
              </w:rPr>
            </w:pPr>
            <w:r>
              <w:rPr>
                <w:rFonts w:hint="eastAsia"/>
              </w:rPr>
              <w:t>提供信息安全管理体系认证证书计1分；</w:t>
            </w:r>
          </w:p>
          <w:p>
            <w:pPr>
              <w:rPr>
                <w:rFonts w:hint="eastAsia"/>
              </w:rPr>
            </w:pPr>
            <w:r>
              <w:rPr>
                <w:rFonts w:hint="eastAsia"/>
              </w:rPr>
              <w:t>提供信息技术服务管理体系认证证书计1分；</w:t>
            </w:r>
          </w:p>
          <w:p>
            <w:pPr>
              <w:rPr>
                <w:rFonts w:hint="eastAsia"/>
              </w:rPr>
            </w:pPr>
            <w:r>
              <w:rPr>
                <w:rFonts w:hint="eastAsia"/>
              </w:rPr>
              <w:t>提供质量管理体系认证证书计1分；</w:t>
            </w:r>
          </w:p>
        </w:tc>
        <w:tc>
          <w:tcPr>
            <w:tcW w:w="1635" w:type="dxa"/>
            <w:noWrap w:val="0"/>
            <w:vAlign w:val="center"/>
          </w:tcPr>
          <w:p>
            <w:pPr>
              <w:keepNext/>
              <w:keepLines/>
              <w:ind w:firstLine="210" w:firstLineChars="100"/>
              <w:jc w:val="left"/>
              <w:outlineLvl w:val="3"/>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60" w:type="dxa"/>
            <w:noWrap w:val="0"/>
            <w:vAlign w:val="center"/>
          </w:tcPr>
          <w:p>
            <w:pPr>
              <w:rPr>
                <w:rFonts w:hint="eastAsia" w:ascii="宋体" w:hAnsi="宋体" w:cs="宋体"/>
              </w:rPr>
            </w:pPr>
            <w:r>
              <w:rPr>
                <w:rFonts w:hint="eastAsia" w:ascii="宋体" w:hAnsi="宋体" w:cs="宋体"/>
              </w:rPr>
              <w:t>售后服务及培训方案</w:t>
            </w:r>
          </w:p>
        </w:tc>
        <w:tc>
          <w:tcPr>
            <w:tcW w:w="815" w:type="dxa"/>
            <w:noWrap w:val="0"/>
            <w:vAlign w:val="center"/>
          </w:tcPr>
          <w:p>
            <w:pPr>
              <w:rPr>
                <w:rFonts w:hint="eastAsia" w:ascii="宋体" w:hAnsi="宋体" w:cs="宋体"/>
              </w:rPr>
            </w:pPr>
            <w:r>
              <w:rPr>
                <w:rFonts w:hint="eastAsia" w:ascii="宋体" w:hAnsi="宋体" w:cs="宋体"/>
              </w:rPr>
              <w:t>9分</w:t>
            </w:r>
          </w:p>
        </w:tc>
        <w:tc>
          <w:tcPr>
            <w:tcW w:w="5565" w:type="dxa"/>
            <w:noWrap w:val="0"/>
            <w:vAlign w:val="center"/>
          </w:tcPr>
          <w:p>
            <w:pPr>
              <w:ind w:firstLine="210" w:firstLineChars="100"/>
              <w:rPr>
                <w:rFonts w:hint="eastAsia"/>
              </w:rPr>
            </w:pPr>
            <w:r>
              <w:rPr>
                <w:rFonts w:hint="eastAsia"/>
              </w:rPr>
              <w:t>1、售后服务方案：根据供应商售后服务方案详细、明确、完善性进行综合评审计0-3分；</w:t>
            </w:r>
          </w:p>
          <w:p>
            <w:pPr>
              <w:ind w:firstLine="210" w:firstLineChars="100"/>
              <w:rPr>
                <w:rFonts w:hint="eastAsia"/>
              </w:rPr>
            </w:pPr>
            <w:r>
              <w:rPr>
                <w:rFonts w:hint="eastAsia"/>
              </w:rPr>
              <w:t>2、技术培训方案：根据供应商技术培训方案详细、明确、完善性进行综合评审计0-2分；</w:t>
            </w:r>
          </w:p>
          <w:p>
            <w:pPr>
              <w:ind w:firstLine="210" w:firstLineChars="100"/>
            </w:pPr>
            <w:r>
              <w:rPr>
                <w:rFonts w:hint="eastAsia"/>
              </w:rPr>
              <w:t>3、本地化售后服务：根据供应商本地化售后服务能力保障证明资料（提供房产证明或房屋租赁合同复印件）进行评审，计0-2分；</w:t>
            </w:r>
          </w:p>
          <w:p>
            <w:pPr>
              <w:ind w:firstLine="210" w:firstLineChars="100"/>
              <w:rPr>
                <w:rFonts w:hint="eastAsia"/>
              </w:rPr>
            </w:pPr>
            <w:r>
              <w:rPr>
                <w:rFonts w:hint="eastAsia"/>
              </w:rPr>
              <w:t>4、应急响应方案：根据供应商提供的应急方案进行综合评审计0-2分。</w:t>
            </w:r>
          </w:p>
        </w:tc>
        <w:tc>
          <w:tcPr>
            <w:tcW w:w="1635" w:type="dxa"/>
            <w:noWrap w:val="0"/>
            <w:vAlign w:val="center"/>
          </w:tcPr>
          <w:p>
            <w:pPr>
              <w:pStyle w:val="6"/>
              <w:ind w:firstLine="210" w:firstLineChars="100"/>
              <w:rPr>
                <w:rFonts w:ascii="Times New Roman" w:hAnsi="Times New Roman" w:cs="Calibri"/>
                <w:b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60" w:type="dxa"/>
            <w:noWrap w:val="0"/>
            <w:vAlign w:val="center"/>
          </w:tcPr>
          <w:p>
            <w:pPr>
              <w:rPr>
                <w:rFonts w:hint="eastAsia" w:ascii="宋体" w:hAnsi="宋体" w:cs="宋体"/>
              </w:rPr>
            </w:pPr>
            <w:r>
              <w:rPr>
                <w:rFonts w:hint="eastAsia" w:ascii="宋体" w:hAnsi="宋体" w:cs="宋体"/>
              </w:rPr>
              <w:t>业绩</w:t>
            </w:r>
          </w:p>
        </w:tc>
        <w:tc>
          <w:tcPr>
            <w:tcW w:w="815" w:type="dxa"/>
            <w:noWrap w:val="0"/>
            <w:vAlign w:val="center"/>
          </w:tcPr>
          <w:p>
            <w:pPr>
              <w:rPr>
                <w:rFonts w:hint="eastAsia" w:ascii="宋体" w:hAnsi="宋体" w:cs="宋体"/>
              </w:rPr>
            </w:pPr>
            <w:r>
              <w:rPr>
                <w:rFonts w:hint="eastAsia" w:ascii="宋体" w:hAnsi="宋体" w:cs="宋体"/>
              </w:rPr>
              <w:t>5分</w:t>
            </w:r>
          </w:p>
        </w:tc>
        <w:tc>
          <w:tcPr>
            <w:tcW w:w="5565" w:type="dxa"/>
            <w:noWrap w:val="0"/>
            <w:vAlign w:val="center"/>
          </w:tcPr>
          <w:p>
            <w:pPr>
              <w:rPr>
                <w:rFonts w:hint="eastAsia" w:ascii="宋体" w:hAnsi="宋体" w:cs="宋体"/>
              </w:rPr>
            </w:pPr>
            <w:r>
              <w:rPr>
                <w:rFonts w:hint="eastAsia" w:ascii="宋体" w:hAnsi="宋体" w:cs="宋体"/>
              </w:rPr>
              <w:t>提供供应商2018年9月1日（合同签订时间）至今同类业绩，每提供一份计1分，最高计5分；（携带合同原件备查，以签订合同时间为准）</w:t>
            </w:r>
          </w:p>
        </w:tc>
        <w:tc>
          <w:tcPr>
            <w:tcW w:w="1635" w:type="dxa"/>
            <w:noWrap w:val="0"/>
            <w:vAlign w:val="center"/>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60" w:type="dxa"/>
            <w:noWrap w:val="0"/>
            <w:vAlign w:val="center"/>
          </w:tcPr>
          <w:p>
            <w:pPr>
              <w:rPr>
                <w:rFonts w:hint="eastAsia" w:ascii="宋体" w:hAnsi="宋体" w:cs="宋体"/>
              </w:rPr>
            </w:pPr>
            <w:r>
              <w:rPr>
                <w:rFonts w:hint="eastAsia" w:ascii="宋体" w:hAnsi="宋体" w:cs="宋体"/>
              </w:rPr>
              <w:t>商务</w:t>
            </w:r>
          </w:p>
          <w:p>
            <w:pPr>
              <w:rPr>
                <w:rFonts w:hint="eastAsia" w:ascii="宋体" w:hAnsi="宋体" w:cs="宋体"/>
              </w:rPr>
            </w:pPr>
            <w:r>
              <w:rPr>
                <w:rFonts w:hint="eastAsia" w:ascii="宋体" w:hAnsi="宋体" w:cs="宋体"/>
              </w:rPr>
              <w:t>条款</w:t>
            </w:r>
          </w:p>
        </w:tc>
        <w:tc>
          <w:tcPr>
            <w:tcW w:w="815" w:type="dxa"/>
            <w:noWrap w:val="0"/>
            <w:vAlign w:val="center"/>
          </w:tcPr>
          <w:p>
            <w:pPr>
              <w:rPr>
                <w:rFonts w:hint="eastAsia" w:ascii="宋体" w:hAnsi="宋体" w:cs="宋体"/>
              </w:rPr>
            </w:pPr>
            <w:r>
              <w:rPr>
                <w:rFonts w:hint="eastAsia" w:ascii="宋体" w:hAnsi="宋体" w:cs="宋体"/>
              </w:rPr>
              <w:t>5分</w:t>
            </w:r>
          </w:p>
        </w:tc>
        <w:tc>
          <w:tcPr>
            <w:tcW w:w="5565" w:type="dxa"/>
            <w:noWrap w:val="0"/>
            <w:vAlign w:val="center"/>
          </w:tcPr>
          <w:p>
            <w:pPr>
              <w:rPr>
                <w:rFonts w:hint="eastAsia" w:ascii="宋体" w:hAnsi="宋体" w:cs="宋体"/>
              </w:rPr>
            </w:pPr>
            <w:r>
              <w:rPr>
                <w:rFonts w:hint="eastAsia" w:ascii="宋体" w:hAnsi="宋体" w:cs="宋体"/>
              </w:rPr>
              <w:t>无线AP产品质保（5分）</w:t>
            </w:r>
          </w:p>
          <w:p>
            <w:pPr>
              <w:rPr>
                <w:rFonts w:hint="eastAsia" w:ascii="宋体" w:hAnsi="宋体" w:cs="宋体"/>
              </w:rPr>
            </w:pPr>
            <w:r>
              <w:rPr>
                <w:rFonts w:hint="eastAsia" w:ascii="宋体" w:hAnsi="宋体" w:cs="宋体"/>
              </w:rPr>
              <w:t>供应商对所投无线AP产品提供的原厂质保期承诺每超出1年得1分，最多得5分。</w:t>
            </w:r>
          </w:p>
        </w:tc>
        <w:tc>
          <w:tcPr>
            <w:tcW w:w="1635" w:type="dxa"/>
            <w:noWrap w:val="0"/>
            <w:vAlign w:val="center"/>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760" w:type="dxa"/>
            <w:noWrap w:val="0"/>
            <w:vAlign w:val="center"/>
          </w:tcPr>
          <w:p>
            <w:pPr>
              <w:rPr>
                <w:rFonts w:hint="eastAsia" w:ascii="宋体" w:hAnsi="宋体" w:cs="宋体"/>
              </w:rPr>
            </w:pPr>
            <w:r>
              <w:rPr>
                <w:rFonts w:hint="eastAsia" w:ascii="宋体" w:hAnsi="宋体" w:cs="宋体"/>
              </w:rPr>
              <w:t>节能</w:t>
            </w:r>
          </w:p>
          <w:p>
            <w:pPr>
              <w:rPr>
                <w:rFonts w:hint="eastAsia" w:ascii="宋体" w:hAnsi="宋体" w:cs="宋体"/>
              </w:rPr>
            </w:pPr>
            <w:r>
              <w:rPr>
                <w:rFonts w:hint="eastAsia" w:ascii="宋体" w:hAnsi="宋体" w:cs="宋体"/>
              </w:rPr>
              <w:t>环保</w:t>
            </w:r>
          </w:p>
        </w:tc>
        <w:tc>
          <w:tcPr>
            <w:tcW w:w="815" w:type="dxa"/>
            <w:noWrap w:val="0"/>
            <w:vAlign w:val="center"/>
          </w:tcPr>
          <w:p>
            <w:pPr>
              <w:rPr>
                <w:rFonts w:hint="eastAsia" w:ascii="宋体" w:hAnsi="宋体" w:cs="宋体"/>
              </w:rPr>
            </w:pPr>
            <w:r>
              <w:rPr>
                <w:rFonts w:hint="eastAsia" w:ascii="宋体" w:hAnsi="宋体" w:cs="宋体"/>
              </w:rPr>
              <w:t>1分</w:t>
            </w:r>
          </w:p>
        </w:tc>
        <w:tc>
          <w:tcPr>
            <w:tcW w:w="5565" w:type="dxa"/>
            <w:noWrap w:val="0"/>
            <w:vAlign w:val="center"/>
          </w:tcPr>
          <w:p>
            <w:pPr>
              <w:rPr>
                <w:rFonts w:hint="eastAsia" w:ascii="宋体" w:hAnsi="宋体" w:cs="宋体"/>
              </w:rPr>
            </w:pPr>
            <w:r>
              <w:rPr>
                <w:rFonts w:hint="eastAsia" w:ascii="宋体" w:hAnsi="宋体" w:cs="宋体"/>
              </w:rPr>
              <w:t>供应商响应产品中每有一项为节能产品的得0.5分，每有一项为环境标志产品的得0.5分，供应商所投产品中每有一项产品同时为节能产品和环境标志产品的得1分，最多得1分。（须提供相应产品的国家确定的认证机构出具的、处于有效期内的节能产品、环境标志产品认证证书）</w:t>
            </w:r>
          </w:p>
        </w:tc>
        <w:tc>
          <w:tcPr>
            <w:tcW w:w="1635" w:type="dxa"/>
            <w:noWrap w:val="0"/>
            <w:vAlign w:val="center"/>
          </w:tcPr>
          <w:p>
            <w:pPr>
              <w:rPr>
                <w:rFonts w:hint="eastAsia" w:ascii="宋体" w:hAnsi="宋体" w:cs="宋体"/>
              </w:rPr>
            </w:pPr>
          </w:p>
        </w:tc>
      </w:tr>
    </w:tbl>
    <w:p>
      <w:pPr>
        <w:numPr>
          <w:ilvl w:val="0"/>
          <w:numId w:val="24"/>
        </w:numPr>
        <w:spacing w:line="360" w:lineRule="auto"/>
        <w:rPr>
          <w:rFonts w:ascii="宋体" w:hAnsi="宋体" w:cs="宋体"/>
          <w:b/>
          <w:bCs/>
        </w:rPr>
      </w:pPr>
      <w:r>
        <w:rPr>
          <w:rFonts w:hint="eastAsia" w:ascii="宋体" w:hAnsi="宋体" w:cs="宋体"/>
          <w:b/>
          <w:bCs/>
        </w:rPr>
        <w:t>对于非专门面向中小企业的项目，对小型和微型企业产品的价格给予</w:t>
      </w:r>
      <w:r>
        <w:rPr>
          <w:rFonts w:hint="eastAsia" w:ascii="宋体" w:hAnsi="宋体" w:cs="宋体"/>
          <w:b/>
          <w:bCs/>
          <w:lang w:val="en-US" w:eastAsia="zh-CN"/>
        </w:rPr>
        <w:t>10</w:t>
      </w:r>
      <w:r>
        <w:rPr>
          <w:rFonts w:hint="eastAsia" w:ascii="宋体" w:hAnsi="宋体" w:cs="宋体"/>
          <w:b/>
          <w:bCs/>
        </w:rPr>
        <w:t>%的扣除，用扣除后的价格参与评审；</w:t>
      </w:r>
    </w:p>
    <w:p>
      <w:pPr>
        <w:numPr>
          <w:ilvl w:val="0"/>
          <w:numId w:val="24"/>
        </w:numPr>
        <w:spacing w:line="360" w:lineRule="auto"/>
        <w:rPr>
          <w:rFonts w:ascii="宋体" w:hAnsi="宋体" w:cs="宋体"/>
          <w:b/>
          <w:bCs/>
        </w:rPr>
      </w:pPr>
      <w:r>
        <w:rPr>
          <w:rFonts w:hint="eastAsia" w:ascii="宋体" w:hAnsi="宋体" w:cs="宋体"/>
          <w:b/>
          <w:bCs/>
        </w:rPr>
        <w:t>对于非专门面向残疾人福利性单位的项目，对残疾人福利性单位产品的价格给予6%的扣除，用扣除后的价格参与评审，残疾人福利性单位属于小型、微型企业的，不重复享受政策；</w:t>
      </w:r>
    </w:p>
    <w:p>
      <w:pPr>
        <w:numPr>
          <w:ilvl w:val="0"/>
          <w:numId w:val="24"/>
        </w:numPr>
        <w:spacing w:line="360" w:lineRule="auto"/>
        <w:rPr>
          <w:rFonts w:ascii="宋体" w:hAnsi="宋体" w:cs="宋体"/>
          <w:b/>
          <w:bCs/>
        </w:rPr>
      </w:pPr>
      <w:r>
        <w:rPr>
          <w:rFonts w:hint="eastAsia" w:ascii="宋体" w:hAnsi="宋体" w:cs="宋体"/>
          <w:b/>
          <w:bCs/>
        </w:rPr>
        <w:t>《关于政府采购支持监狱企业发展有关问题的通知》（财库[2014]68号）的规定，对监狱企业给予6%的价格扣除，用扣除后的价格参与评审。（提供由省级以上监狱管理局、戒毒管理局（含新疆生产建设兵团）出具的属于监狱企业的证明文件）</w:t>
      </w:r>
    </w:p>
    <w:p>
      <w:pPr>
        <w:numPr>
          <w:ilvl w:val="0"/>
          <w:numId w:val="24"/>
        </w:numPr>
        <w:spacing w:line="360" w:lineRule="auto"/>
        <w:rPr>
          <w:rFonts w:ascii="宋体" w:hAnsi="宋体" w:cs="宋体"/>
          <w:b/>
          <w:bCs/>
        </w:rPr>
      </w:pPr>
      <w:r>
        <w:rPr>
          <w:rFonts w:hint="eastAsia" w:ascii="宋体" w:hAnsi="宋体" w:cs="宋体"/>
          <w:b/>
          <w:bCs/>
        </w:rPr>
        <w:t>技术参数正偏离须在技术响应表中注明正偏离的理由和佐证材料的页码。</w:t>
      </w:r>
    </w:p>
    <w:p>
      <w:pPr>
        <w:rPr>
          <w:rFonts w:ascii="宋体" w:hAnsi="宋体" w:cs="宋体"/>
          <w:sz w:val="36"/>
          <w:szCs w:val="36"/>
        </w:rPr>
        <w:sectPr>
          <w:footerReference r:id="rId12" w:type="default"/>
          <w:pgSz w:w="11906" w:h="16838"/>
          <w:pgMar w:top="1440" w:right="1803" w:bottom="1440" w:left="1803" w:header="851" w:footer="992" w:gutter="0"/>
          <w:cols w:space="720" w:num="1"/>
          <w:docGrid w:type="lines" w:linePitch="319" w:charSpace="0"/>
        </w:sectPr>
      </w:pPr>
    </w:p>
    <w:p>
      <w:pPr>
        <w:pStyle w:val="3"/>
        <w:pageBreakBefore/>
        <w:spacing w:before="319" w:beforeLines="100" w:after="319" w:afterLines="100" w:line="500" w:lineRule="exact"/>
        <w:rPr>
          <w:rFonts w:asciiTheme="minorEastAsia" w:hAnsiTheme="minorEastAsia" w:eastAsiaTheme="minorEastAsia" w:cstheme="minorEastAsia"/>
          <w:sz w:val="36"/>
          <w:szCs w:val="36"/>
        </w:rPr>
      </w:pPr>
      <w:bookmarkStart w:id="121" w:name="_Toc262"/>
      <w:bookmarkStart w:id="122" w:name="_Toc17369"/>
      <w:bookmarkStart w:id="123" w:name="_Toc4041"/>
      <w:bookmarkStart w:id="124" w:name="_Toc21716"/>
      <w:bookmarkStart w:id="125" w:name="_Toc25445"/>
      <w:bookmarkStart w:id="126" w:name="_Toc3209"/>
      <w:bookmarkStart w:id="127" w:name="_Toc6835"/>
      <w:bookmarkStart w:id="128" w:name="_Toc15647"/>
      <w:bookmarkStart w:id="129" w:name="_Toc7227"/>
      <w:bookmarkStart w:id="130" w:name="_Toc4467"/>
      <w:bookmarkStart w:id="131" w:name="_Toc12650"/>
      <w:bookmarkStart w:id="132" w:name="_Toc1330"/>
      <w:r>
        <w:rPr>
          <w:rFonts w:hint="eastAsia" w:asciiTheme="minorEastAsia" w:hAnsiTheme="minorEastAsia" w:eastAsiaTheme="minorEastAsia" w:cstheme="minorEastAsia"/>
          <w:sz w:val="36"/>
          <w:szCs w:val="36"/>
        </w:rPr>
        <w:t>第五部分</w:t>
      </w:r>
      <w:bookmarkEnd w:id="121"/>
      <w:r>
        <w:rPr>
          <w:rFonts w:hint="eastAsia" w:asciiTheme="minorEastAsia" w:hAnsiTheme="minorEastAsia" w:eastAsiaTheme="minorEastAsia" w:cstheme="minorEastAsia"/>
          <w:sz w:val="36"/>
          <w:szCs w:val="36"/>
        </w:rPr>
        <w:t xml:space="preserve">  商务条款与采购要求</w:t>
      </w:r>
      <w:bookmarkEnd w:id="122"/>
      <w:bookmarkEnd w:id="123"/>
      <w:bookmarkEnd w:id="124"/>
      <w:bookmarkEnd w:id="125"/>
      <w:bookmarkEnd w:id="126"/>
    </w:p>
    <w:p>
      <w:pPr>
        <w:numPr>
          <w:ilvl w:val="0"/>
          <w:numId w:val="0"/>
        </w:numPr>
        <w:rPr>
          <w:rFonts w:hint="eastAsia"/>
          <w:b/>
          <w:bCs/>
          <w:sz w:val="24"/>
          <w:szCs w:val="28"/>
          <w:lang w:eastAsia="zh-CN"/>
        </w:rPr>
      </w:pPr>
      <w:r>
        <w:rPr>
          <w:rFonts w:hint="eastAsia"/>
          <w:b/>
          <w:bCs/>
          <w:sz w:val="24"/>
          <w:szCs w:val="28"/>
          <w:lang w:eastAsia="zh-CN"/>
        </w:rPr>
        <w:t>一、商务条款</w:t>
      </w:r>
    </w:p>
    <w:bookmarkEnd w:id="127"/>
    <w:bookmarkEnd w:id="128"/>
    <w:bookmarkEnd w:id="129"/>
    <w:bookmarkEnd w:id="130"/>
    <w:bookmarkEnd w:id="131"/>
    <w:bookmarkEnd w:id="132"/>
    <w:p>
      <w:pPr>
        <w:numPr>
          <w:ilvl w:val="0"/>
          <w:numId w:val="25"/>
        </w:numPr>
        <w:spacing w:line="360" w:lineRule="auto"/>
        <w:rPr>
          <w:rFonts w:hint="eastAsia"/>
          <w:sz w:val="24"/>
          <w:szCs w:val="24"/>
          <w:highlight w:val="none"/>
        </w:rPr>
      </w:pPr>
      <w:bookmarkStart w:id="133" w:name="_Toc22869"/>
      <w:bookmarkStart w:id="134" w:name="_Toc19835"/>
      <w:bookmarkStart w:id="135" w:name="_Toc2234"/>
      <w:r>
        <w:rPr>
          <w:rFonts w:hint="eastAsia"/>
          <w:sz w:val="24"/>
          <w:szCs w:val="24"/>
          <w:highlight w:val="none"/>
        </w:rPr>
        <w:t>交货期：双方签字盖章后合同生效，合同生效后30个日历日内完成交货</w:t>
      </w:r>
    </w:p>
    <w:p>
      <w:pPr>
        <w:numPr>
          <w:ilvl w:val="0"/>
          <w:numId w:val="25"/>
        </w:numPr>
        <w:spacing w:line="360" w:lineRule="auto"/>
        <w:rPr>
          <w:rFonts w:hint="eastAsia"/>
          <w:sz w:val="24"/>
          <w:szCs w:val="24"/>
          <w:highlight w:val="none"/>
        </w:rPr>
      </w:pPr>
      <w:r>
        <w:rPr>
          <w:rFonts w:hint="eastAsia"/>
          <w:sz w:val="24"/>
          <w:szCs w:val="24"/>
          <w:highlight w:val="none"/>
        </w:rPr>
        <w:t>质保期：设备</w:t>
      </w:r>
      <w:r>
        <w:rPr>
          <w:rFonts w:hint="eastAsia"/>
          <w:sz w:val="24"/>
          <w:szCs w:val="24"/>
          <w:highlight w:val="none"/>
          <w:lang w:val="en-US" w:eastAsia="zh-CN"/>
        </w:rPr>
        <w:t>3</w:t>
      </w:r>
      <w:r>
        <w:rPr>
          <w:rFonts w:hint="eastAsia"/>
          <w:sz w:val="24"/>
          <w:szCs w:val="24"/>
          <w:highlight w:val="none"/>
        </w:rPr>
        <w:t>年原厂质保，综合布线</w:t>
      </w:r>
      <w:r>
        <w:rPr>
          <w:rFonts w:hint="eastAsia"/>
          <w:sz w:val="24"/>
          <w:szCs w:val="24"/>
          <w:highlight w:val="none"/>
          <w:lang w:val="en-US" w:eastAsia="zh-CN"/>
        </w:rPr>
        <w:t>15</w:t>
      </w:r>
      <w:r>
        <w:rPr>
          <w:rFonts w:hint="eastAsia"/>
          <w:sz w:val="24"/>
          <w:szCs w:val="24"/>
          <w:highlight w:val="none"/>
        </w:rPr>
        <w:t>年质保</w:t>
      </w:r>
      <w:r>
        <w:rPr>
          <w:rFonts w:hint="eastAsia"/>
          <w:sz w:val="24"/>
          <w:szCs w:val="24"/>
          <w:highlight w:val="none"/>
          <w:lang w:eastAsia="zh-CN"/>
        </w:rPr>
        <w:t>（有特殊要求以技术指标质保要求为准）</w:t>
      </w:r>
    </w:p>
    <w:p>
      <w:pPr>
        <w:numPr>
          <w:ilvl w:val="0"/>
          <w:numId w:val="25"/>
        </w:numPr>
        <w:spacing w:line="360" w:lineRule="auto"/>
        <w:rPr>
          <w:rFonts w:hint="eastAsia"/>
          <w:sz w:val="24"/>
          <w:szCs w:val="24"/>
        </w:rPr>
      </w:pPr>
      <w:r>
        <w:rPr>
          <w:rFonts w:hint="eastAsia"/>
          <w:sz w:val="24"/>
          <w:szCs w:val="24"/>
        </w:rPr>
        <w:t>交货地点：陕西科技大学指定地点</w:t>
      </w:r>
    </w:p>
    <w:p>
      <w:pPr>
        <w:spacing w:line="360" w:lineRule="auto"/>
        <w:ind w:left="420"/>
        <w:rPr>
          <w:rFonts w:hint="eastAsia"/>
          <w:sz w:val="24"/>
          <w:szCs w:val="24"/>
        </w:rPr>
      </w:pPr>
      <w:r>
        <w:rPr>
          <w:rFonts w:hint="eastAsia"/>
          <w:sz w:val="24"/>
          <w:szCs w:val="24"/>
        </w:rPr>
        <w:t>4、付款方式：</w:t>
      </w:r>
      <w:bookmarkStart w:id="136" w:name="_Toc337393756"/>
      <w:r>
        <w:rPr>
          <w:rFonts w:hint="eastAsia"/>
          <w:sz w:val="24"/>
          <w:szCs w:val="24"/>
        </w:rPr>
        <w:t>（1）发票在货到验收合格后由乙方（或乙方委托的外贸代理机构）开具给甲方。</w:t>
      </w:r>
    </w:p>
    <w:bookmarkEnd w:id="136"/>
    <w:p>
      <w:pPr>
        <w:spacing w:line="360" w:lineRule="auto"/>
        <w:ind w:left="420"/>
        <w:rPr>
          <w:rFonts w:hint="eastAsia"/>
          <w:sz w:val="24"/>
          <w:szCs w:val="24"/>
        </w:rPr>
      </w:pPr>
      <w:bookmarkStart w:id="137" w:name="_Toc337393757"/>
      <w:r>
        <w:rPr>
          <w:rFonts w:hint="eastAsia"/>
          <w:sz w:val="24"/>
          <w:szCs w:val="24"/>
        </w:rPr>
        <w:t>（2）甲方收到乙方（或乙方委托的外贸代理机构）开具的全额发票后及时向乙方（或乙方委托的外贸代理机构）支付合同总价款的100%。</w:t>
      </w:r>
    </w:p>
    <w:bookmarkEnd w:id="137"/>
    <w:p>
      <w:pPr>
        <w:spacing w:line="360" w:lineRule="auto"/>
        <w:ind w:left="420"/>
        <w:rPr>
          <w:rFonts w:hint="eastAsia"/>
          <w:sz w:val="24"/>
          <w:szCs w:val="24"/>
        </w:rPr>
      </w:pPr>
      <w:r>
        <w:rPr>
          <w:rFonts w:hint="eastAsia"/>
          <w:sz w:val="24"/>
          <w:szCs w:val="24"/>
        </w:rPr>
        <w:t>（3）签订合同前，乙方应缴纳合同金额5%的履约保证金。项目验收合格后，甲方一次性无息退还5%的履约保证金。</w:t>
      </w:r>
    </w:p>
    <w:p>
      <w:pPr>
        <w:spacing w:line="360" w:lineRule="auto"/>
        <w:ind w:left="420"/>
        <w:rPr>
          <w:rFonts w:hint="eastAsia"/>
          <w:sz w:val="24"/>
          <w:szCs w:val="24"/>
        </w:rPr>
      </w:pPr>
      <w:r>
        <w:rPr>
          <w:rFonts w:hint="eastAsia"/>
          <w:sz w:val="24"/>
          <w:szCs w:val="24"/>
        </w:rPr>
        <w:t>（4）结算方式：银行转账</w:t>
      </w:r>
    </w:p>
    <w:p>
      <w:pPr>
        <w:pStyle w:val="2"/>
        <w:ind w:firstLine="480" w:firstLineChars="200"/>
        <w:rPr>
          <w:rFonts w:hint="eastAsia"/>
        </w:rPr>
      </w:pPr>
      <w:r>
        <w:rPr>
          <w:rFonts w:hint="eastAsia"/>
          <w:kern w:val="2"/>
          <w:sz w:val="24"/>
          <w:szCs w:val="24"/>
        </w:rPr>
        <w:t>（5）货款支付单位为：陕西科技大学</w:t>
      </w:r>
    </w:p>
    <w:p>
      <w:pPr>
        <w:numPr>
          <w:ilvl w:val="0"/>
          <w:numId w:val="0"/>
        </w:numPr>
        <w:rPr>
          <w:rFonts w:hint="eastAsia"/>
          <w:b/>
          <w:bCs/>
          <w:sz w:val="24"/>
          <w:szCs w:val="28"/>
          <w:lang w:eastAsia="zh-CN"/>
        </w:rPr>
      </w:pPr>
      <w:r>
        <w:rPr>
          <w:rFonts w:hint="eastAsia"/>
          <w:b/>
          <w:bCs/>
          <w:sz w:val="24"/>
          <w:szCs w:val="28"/>
          <w:lang w:eastAsia="zh-CN"/>
        </w:rPr>
        <w:t>二、采购需求</w:t>
      </w:r>
    </w:p>
    <w:p>
      <w:pPr>
        <w:spacing w:line="360" w:lineRule="auto"/>
        <w:rPr>
          <w:rFonts w:hint="eastAsia"/>
          <w:sz w:val="24"/>
          <w:szCs w:val="24"/>
        </w:rPr>
      </w:pPr>
      <w:r>
        <w:rPr>
          <w:rFonts w:hint="eastAsia"/>
          <w:sz w:val="24"/>
          <w:szCs w:val="24"/>
        </w:rPr>
        <w:t>1、项目概述</w:t>
      </w:r>
    </w:p>
    <w:p>
      <w:pPr>
        <w:spacing w:line="360" w:lineRule="auto"/>
        <w:ind w:firstLine="480" w:firstLineChars="200"/>
        <w:rPr>
          <w:rFonts w:hint="eastAsia"/>
          <w:sz w:val="24"/>
          <w:szCs w:val="24"/>
        </w:rPr>
      </w:pPr>
      <w:r>
        <w:rPr>
          <w:rFonts w:hint="eastAsia"/>
          <w:sz w:val="24"/>
          <w:szCs w:val="24"/>
        </w:rPr>
        <w:t>随着智能手持终端和笔记本电脑的迅速普及，无线网络已经成为校园网建设的重点工作。在校师生对无线网络提出更高的要求，要求无线网无处不在、随处可用、高带宽、大并发、超稳定；同时，无线接入的便利性也提出更高的要求。学校实训楼为新建办公楼宇，为了有力保障实训楼的教学和科研工作，需要进行有线及无线网络覆盖。</w:t>
      </w:r>
    </w:p>
    <w:p>
      <w:pPr>
        <w:spacing w:line="360" w:lineRule="auto"/>
        <w:jc w:val="left"/>
        <w:rPr>
          <w:rFonts w:hint="eastAsia"/>
          <w:sz w:val="24"/>
          <w:szCs w:val="24"/>
        </w:rPr>
      </w:pPr>
      <w:r>
        <w:rPr>
          <w:rFonts w:hint="eastAsia"/>
          <w:sz w:val="24"/>
          <w:szCs w:val="24"/>
        </w:rPr>
        <w:t>2、建设内容</w:t>
      </w:r>
    </w:p>
    <w:p>
      <w:pPr>
        <w:spacing w:line="360" w:lineRule="auto"/>
        <w:ind w:firstLine="480" w:firstLineChars="200"/>
        <w:jc w:val="left"/>
        <w:rPr>
          <w:rFonts w:ascii="宋体" w:hAnsi="宋体"/>
          <w:sz w:val="24"/>
        </w:rPr>
      </w:pPr>
      <w:r>
        <w:rPr>
          <w:rFonts w:hint="eastAsia" w:ascii="宋体" w:hAnsi="宋体"/>
          <w:sz w:val="24"/>
        </w:rPr>
        <w:t xml:space="preserve">本方案建设内容涉及楼宇有线校园网络建设、无线wifi网络部署等系统，具体内容如下： </w:t>
      </w:r>
    </w:p>
    <w:p>
      <w:pPr>
        <w:spacing w:line="360" w:lineRule="auto"/>
        <w:ind w:firstLine="480" w:firstLineChars="200"/>
        <w:jc w:val="left"/>
        <w:rPr>
          <w:rFonts w:ascii="宋体" w:hAnsi="宋体"/>
          <w:sz w:val="24"/>
        </w:rPr>
      </w:pPr>
      <w:r>
        <w:rPr>
          <w:rFonts w:hint="eastAsia" w:ascii="宋体" w:hAnsi="宋体"/>
          <w:sz w:val="24"/>
        </w:rPr>
        <w:t xml:space="preserve">(1)设计校园网数据主干光缆传输系统，保证新建实训楼与网络中心机房实现传输链路互联互通。 </w:t>
      </w:r>
    </w:p>
    <w:p>
      <w:pPr>
        <w:spacing w:line="360" w:lineRule="auto"/>
        <w:ind w:firstLine="480" w:firstLineChars="200"/>
        <w:jc w:val="left"/>
        <w:rPr>
          <w:rFonts w:ascii="宋体" w:hAnsi="宋体"/>
          <w:sz w:val="24"/>
        </w:rPr>
      </w:pPr>
      <w:r>
        <w:rPr>
          <w:rFonts w:hint="eastAsia" w:ascii="宋体" w:hAnsi="宋体"/>
          <w:sz w:val="24"/>
        </w:rPr>
        <w:t xml:space="preserve">(2)实训楼水平布线、信息点位施工已完成，在现有综合布线基础上完成有线网络垂直布线及设备规划，选用合理网络设备，完成有线校园网络系统部署设计。 </w:t>
      </w:r>
    </w:p>
    <w:p>
      <w:pPr>
        <w:spacing w:line="360" w:lineRule="auto"/>
        <w:ind w:firstLine="480" w:firstLineChars="200"/>
        <w:jc w:val="left"/>
        <w:rPr>
          <w:rFonts w:ascii="宋体" w:hAnsi="宋体"/>
          <w:sz w:val="24"/>
        </w:rPr>
      </w:pPr>
      <w:r>
        <w:rPr>
          <w:rFonts w:hint="eastAsia" w:ascii="宋体" w:hAnsi="宋体"/>
          <w:sz w:val="24"/>
        </w:rPr>
        <w:t>(3)对实训楼内进行校园 wifi 信号覆盖设计，采用最新WiFi6技术，保证无线终端可平滑接入现有校园 wifi 系统。</w:t>
      </w:r>
    </w:p>
    <w:p>
      <w:pPr>
        <w:spacing w:line="360" w:lineRule="auto"/>
        <w:ind w:firstLine="503"/>
        <w:jc w:val="left"/>
        <w:rPr>
          <w:rFonts w:hint="eastAsia" w:ascii="宋体" w:hAnsi="宋体"/>
          <w:sz w:val="24"/>
        </w:rPr>
      </w:pPr>
      <w:r>
        <w:rPr>
          <w:rFonts w:hint="eastAsia" w:ascii="宋体" w:hAnsi="宋体"/>
          <w:sz w:val="24"/>
        </w:rPr>
        <w:t>(</w:t>
      </w:r>
      <w:r>
        <w:rPr>
          <w:rFonts w:ascii="宋体" w:hAnsi="宋体"/>
          <w:sz w:val="24"/>
        </w:rPr>
        <w:t>4</w:t>
      </w:r>
      <w:r>
        <w:rPr>
          <w:rFonts w:hint="eastAsia" w:ascii="宋体" w:hAnsi="宋体"/>
          <w:sz w:val="24"/>
        </w:rPr>
        <w:t>)对学校无线控制器进行改造，实现AP管理负载分担，实现无线控制器N+</w:t>
      </w:r>
      <w:r>
        <w:rPr>
          <w:rFonts w:ascii="宋体" w:hAnsi="宋体"/>
          <w:sz w:val="24"/>
        </w:rPr>
        <w:t>1冗余</w:t>
      </w:r>
      <w:r>
        <w:rPr>
          <w:rFonts w:hint="eastAsia" w:ascii="宋体" w:hAnsi="宋体"/>
          <w:sz w:val="24"/>
        </w:rPr>
        <w:t>，保证无线业务安全稳定。</w:t>
      </w:r>
    </w:p>
    <w:p>
      <w:pPr>
        <w:tabs>
          <w:tab w:val="left" w:pos="638"/>
        </w:tabs>
        <w:spacing w:line="360" w:lineRule="auto"/>
        <w:jc w:val="left"/>
        <w:rPr>
          <w:rFonts w:hint="eastAsia"/>
          <w:sz w:val="24"/>
          <w:szCs w:val="24"/>
        </w:rPr>
      </w:pPr>
      <w:r>
        <w:rPr>
          <w:rFonts w:hint="eastAsia"/>
          <w:sz w:val="24"/>
          <w:szCs w:val="24"/>
        </w:rPr>
        <w:t>3、建设方案</w:t>
      </w:r>
    </w:p>
    <w:p>
      <w:pPr>
        <w:tabs>
          <w:tab w:val="left" w:pos="638"/>
        </w:tabs>
        <w:spacing w:line="360" w:lineRule="auto"/>
        <w:ind w:firstLine="480" w:firstLineChars="200"/>
        <w:jc w:val="left"/>
        <w:rPr>
          <w:rFonts w:hint="eastAsia" w:ascii="宋体" w:hAnsi="宋体"/>
          <w:sz w:val="24"/>
        </w:rPr>
      </w:pPr>
      <w:r>
        <w:rPr>
          <w:rFonts w:hint="eastAsia" w:ascii="宋体" w:hAnsi="宋体"/>
          <w:sz w:val="24"/>
        </w:rPr>
        <w:t>3.1</w:t>
      </w:r>
      <w:bookmarkStart w:id="138" w:name="_Toc98503358"/>
      <w:r>
        <w:rPr>
          <w:rFonts w:hint="eastAsia" w:ascii="宋体" w:hAnsi="宋体"/>
          <w:sz w:val="24"/>
        </w:rPr>
        <w:t>有线网建设</w:t>
      </w:r>
      <w:bookmarkEnd w:id="138"/>
    </w:p>
    <w:p>
      <w:pPr>
        <w:spacing w:line="360" w:lineRule="auto"/>
        <w:ind w:firstLine="480" w:firstLineChars="200"/>
        <w:jc w:val="left"/>
        <w:rPr>
          <w:rFonts w:ascii="宋体" w:hAnsi="宋体"/>
          <w:sz w:val="24"/>
        </w:rPr>
      </w:pPr>
      <w:r>
        <w:rPr>
          <w:rFonts w:hint="eastAsia" w:ascii="宋体" w:hAnsi="宋体"/>
          <w:sz w:val="24"/>
        </w:rPr>
        <w:t>根据实训楼实际情况，1楼西南角机房作为核心机房，部署楼宇汇聚交换机，通过2</w:t>
      </w:r>
      <w:r>
        <w:rPr>
          <w:rFonts w:ascii="宋体" w:hAnsi="宋体"/>
          <w:sz w:val="24"/>
        </w:rPr>
        <w:t>4芯单模</w:t>
      </w:r>
      <w:r>
        <w:rPr>
          <w:rFonts w:hint="eastAsia" w:ascii="宋体" w:hAnsi="宋体"/>
          <w:sz w:val="24"/>
        </w:rPr>
        <w:t>光缆与学校核心设备连接；在负1层-5层每层西南角、东北角各设计1个弱电间，6-11层每层东北角设计1个弱电间，负一层墓坑实验室设计1个弱电间，部署接入层交换机，通过室内1</w:t>
      </w:r>
      <w:r>
        <w:rPr>
          <w:rFonts w:ascii="宋体" w:hAnsi="宋体"/>
          <w:sz w:val="24"/>
        </w:rPr>
        <w:t>2芯单模</w:t>
      </w:r>
      <w:r>
        <w:rPr>
          <w:rFonts w:hint="eastAsia" w:ascii="宋体" w:hAnsi="宋体"/>
          <w:sz w:val="24"/>
        </w:rPr>
        <w:t>光缆上连至汇聚交换机，每层信息点通过六类非屏蔽网线连接至接入层交换机（接入交换机利旧），实现千兆到桌面。</w:t>
      </w:r>
    </w:p>
    <w:p>
      <w:pPr>
        <w:tabs>
          <w:tab w:val="left" w:pos="773"/>
        </w:tabs>
        <w:spacing w:line="360" w:lineRule="auto"/>
        <w:jc w:val="left"/>
        <w:rPr>
          <w:rFonts w:hint="eastAsia" w:ascii="宋体" w:hAnsi="宋体"/>
          <w:sz w:val="24"/>
        </w:rPr>
      </w:pPr>
      <w:r>
        <w:rPr>
          <w:rFonts w:ascii="宋体" w:hAnsi="宋体"/>
          <w:sz w:val="24"/>
        </w:rPr>
        <w:t>实训楼内共有信息点</w:t>
      </w:r>
      <w:r>
        <w:rPr>
          <w:rFonts w:hint="eastAsia" w:ascii="宋体" w:hAnsi="宋体"/>
          <w:sz w:val="24"/>
        </w:rPr>
        <w:t>7</w:t>
      </w:r>
      <w:r>
        <w:rPr>
          <w:rFonts w:ascii="宋体" w:hAnsi="宋体"/>
          <w:sz w:val="24"/>
        </w:rPr>
        <w:t>87个</w:t>
      </w:r>
      <w:r>
        <w:rPr>
          <w:rFonts w:hint="eastAsia" w:ascii="宋体" w:hAnsi="宋体"/>
          <w:sz w:val="24"/>
        </w:rPr>
        <w:t>，</w:t>
      </w:r>
      <w:r>
        <w:rPr>
          <w:rFonts w:ascii="宋体" w:hAnsi="宋体"/>
          <w:sz w:val="24"/>
        </w:rPr>
        <w:t>水平布线及信息点位施工已完成</w:t>
      </w:r>
      <w:r>
        <w:rPr>
          <w:rFonts w:hint="eastAsia" w:ascii="宋体" w:hAnsi="宋体"/>
          <w:sz w:val="24"/>
        </w:rPr>
        <w:t>，</w:t>
      </w:r>
      <w:r>
        <w:rPr>
          <w:rFonts w:ascii="宋体" w:hAnsi="宋体"/>
          <w:sz w:val="24"/>
        </w:rPr>
        <w:t>本次需完成楼内垂直光缆布线</w:t>
      </w:r>
      <w:r>
        <w:rPr>
          <w:rFonts w:hint="eastAsia" w:ascii="宋体" w:hAnsi="宋体"/>
          <w:sz w:val="24"/>
        </w:rPr>
        <w:t>，</w:t>
      </w:r>
      <w:r>
        <w:rPr>
          <w:rFonts w:ascii="宋体" w:hAnsi="宋体"/>
          <w:sz w:val="24"/>
        </w:rPr>
        <w:t>弱电间内机柜部署</w:t>
      </w:r>
      <w:r>
        <w:rPr>
          <w:rFonts w:hint="eastAsia" w:ascii="宋体" w:hAnsi="宋体"/>
          <w:sz w:val="24"/>
        </w:rPr>
        <w:t>、配线架施工、光纤熔接、设备互联及调试等内容。</w:t>
      </w:r>
    </w:p>
    <w:p>
      <w:pPr>
        <w:tabs>
          <w:tab w:val="left" w:pos="773"/>
        </w:tabs>
        <w:spacing w:line="360" w:lineRule="auto"/>
        <w:ind w:firstLine="480" w:firstLineChars="200"/>
        <w:jc w:val="left"/>
        <w:rPr>
          <w:rFonts w:hint="eastAsia" w:ascii="宋体" w:hAnsi="宋体"/>
          <w:sz w:val="24"/>
        </w:rPr>
      </w:pPr>
      <w:r>
        <w:rPr>
          <w:rFonts w:hint="eastAsia" w:ascii="宋体" w:hAnsi="宋体"/>
          <w:sz w:val="24"/>
        </w:rPr>
        <w:t>3.2无线网建设</w:t>
      </w:r>
    </w:p>
    <w:p>
      <w:pPr>
        <w:spacing w:line="360" w:lineRule="auto"/>
        <w:ind w:firstLine="480" w:firstLineChars="200"/>
        <w:jc w:val="left"/>
        <w:rPr>
          <w:rFonts w:ascii="宋体" w:hAnsi="宋体"/>
          <w:sz w:val="24"/>
        </w:rPr>
      </w:pPr>
      <w:r>
        <w:rPr>
          <w:rFonts w:hint="eastAsia" w:ascii="宋体" w:hAnsi="宋体"/>
          <w:sz w:val="24"/>
        </w:rPr>
        <w:t>实训楼 wifi 覆盖系统是现有无线校园网的扩充，在设计和建设方面按照现有校园网整体结构进行，即：无线网与有线网在网络接入和汇聚层物理隔离，在网络核心层融合，进行统一管控。</w:t>
      </w:r>
    </w:p>
    <w:p>
      <w:pPr>
        <w:spacing w:line="360" w:lineRule="auto"/>
        <w:ind w:firstLine="480" w:firstLineChars="200"/>
        <w:jc w:val="left"/>
        <w:rPr>
          <w:rFonts w:ascii="宋体" w:hAnsi="宋体"/>
          <w:sz w:val="24"/>
        </w:rPr>
      </w:pPr>
      <w:r>
        <w:rPr>
          <w:rFonts w:hint="eastAsia" w:ascii="宋体" w:hAnsi="宋体"/>
          <w:sz w:val="24"/>
        </w:rPr>
        <w:t>wifi 覆盖使用FIT AP+AC的组网方式，选择支持wifi</w:t>
      </w:r>
      <w:r>
        <w:rPr>
          <w:rFonts w:ascii="宋体" w:hAnsi="宋体"/>
          <w:sz w:val="24"/>
        </w:rPr>
        <w:t>6</w:t>
      </w:r>
      <w:r>
        <w:rPr>
          <w:rFonts w:hint="eastAsia" w:ascii="宋体" w:hAnsi="宋体"/>
          <w:sz w:val="24"/>
        </w:rPr>
        <w:t>的设备进行建设，对学校现有AC进行改造，建设无线控制器集群，实现无线控制器N+</w:t>
      </w:r>
      <w:r>
        <w:rPr>
          <w:rFonts w:ascii="宋体" w:hAnsi="宋体"/>
          <w:sz w:val="24"/>
        </w:rPr>
        <w:t>1冗余</w:t>
      </w:r>
      <w:r>
        <w:rPr>
          <w:rFonts w:hint="eastAsia" w:ascii="宋体" w:hAnsi="宋体"/>
          <w:sz w:val="24"/>
        </w:rPr>
        <w:t>。楼内按需增加无线AP，根据使用场景设计AP类型，完成综合布线及无线网络调试。</w:t>
      </w:r>
    </w:p>
    <w:tbl>
      <w:tblPr>
        <w:tblStyle w:val="24"/>
        <w:tblW w:w="45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366"/>
        <w:gridCol w:w="1367"/>
        <w:gridCol w:w="1366"/>
        <w:gridCol w:w="1367"/>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53" w:type="pct"/>
            <w:noWrap w:val="0"/>
            <w:vAlign w:val="center"/>
          </w:tcPr>
          <w:p>
            <w:pPr>
              <w:jc w:val="center"/>
              <w:rPr>
                <w:kern w:val="0"/>
                <w:sz w:val="24"/>
                <w:szCs w:val="24"/>
              </w:rPr>
            </w:pPr>
            <w:r>
              <w:rPr>
                <w:kern w:val="0"/>
                <w:sz w:val="24"/>
                <w:szCs w:val="24"/>
              </w:rPr>
              <w:t>序号</w:t>
            </w:r>
          </w:p>
        </w:tc>
        <w:tc>
          <w:tcPr>
            <w:tcW w:w="889" w:type="pct"/>
            <w:noWrap w:val="0"/>
            <w:vAlign w:val="center"/>
          </w:tcPr>
          <w:p>
            <w:pPr>
              <w:jc w:val="center"/>
              <w:rPr>
                <w:kern w:val="0"/>
                <w:sz w:val="24"/>
                <w:szCs w:val="24"/>
              </w:rPr>
            </w:pPr>
            <w:r>
              <w:rPr>
                <w:kern w:val="0"/>
                <w:sz w:val="24"/>
                <w:szCs w:val="24"/>
              </w:rPr>
              <w:t>区域</w:t>
            </w:r>
          </w:p>
        </w:tc>
        <w:tc>
          <w:tcPr>
            <w:tcW w:w="890" w:type="pct"/>
            <w:noWrap w:val="0"/>
            <w:vAlign w:val="center"/>
          </w:tcPr>
          <w:p>
            <w:pPr>
              <w:jc w:val="center"/>
              <w:rPr>
                <w:kern w:val="0"/>
                <w:sz w:val="24"/>
                <w:szCs w:val="24"/>
              </w:rPr>
            </w:pPr>
            <w:r>
              <w:rPr>
                <w:rFonts w:hint="eastAsia"/>
                <w:kern w:val="0"/>
                <w:sz w:val="24"/>
                <w:szCs w:val="24"/>
              </w:rPr>
              <w:t>高密</w:t>
            </w:r>
            <w:r>
              <w:rPr>
                <w:kern w:val="0"/>
                <w:sz w:val="24"/>
                <w:szCs w:val="24"/>
              </w:rPr>
              <w:t>AP</w:t>
            </w:r>
          </w:p>
        </w:tc>
        <w:tc>
          <w:tcPr>
            <w:tcW w:w="889" w:type="pct"/>
            <w:noWrap w:val="0"/>
            <w:vAlign w:val="center"/>
          </w:tcPr>
          <w:p>
            <w:pPr>
              <w:jc w:val="center"/>
              <w:rPr>
                <w:kern w:val="0"/>
                <w:sz w:val="24"/>
                <w:szCs w:val="24"/>
              </w:rPr>
            </w:pPr>
            <w:r>
              <w:rPr>
                <w:kern w:val="0"/>
                <w:sz w:val="24"/>
                <w:szCs w:val="24"/>
              </w:rPr>
              <w:t>放装AP</w:t>
            </w:r>
          </w:p>
        </w:tc>
        <w:tc>
          <w:tcPr>
            <w:tcW w:w="890" w:type="pct"/>
            <w:noWrap w:val="0"/>
            <w:vAlign w:val="center"/>
          </w:tcPr>
          <w:p>
            <w:pPr>
              <w:jc w:val="center"/>
              <w:rPr>
                <w:kern w:val="0"/>
                <w:sz w:val="24"/>
                <w:szCs w:val="24"/>
              </w:rPr>
            </w:pPr>
            <w:r>
              <w:rPr>
                <w:kern w:val="0"/>
                <w:sz w:val="24"/>
                <w:szCs w:val="24"/>
              </w:rPr>
              <w:t>面板AP</w:t>
            </w:r>
          </w:p>
        </w:tc>
        <w:tc>
          <w:tcPr>
            <w:tcW w:w="886" w:type="pct"/>
            <w:noWrap w:val="0"/>
            <w:vAlign w:val="center"/>
          </w:tcPr>
          <w:p>
            <w:pPr>
              <w:jc w:val="center"/>
              <w:rPr>
                <w:kern w:val="0"/>
                <w:sz w:val="24"/>
                <w:szCs w:val="24"/>
              </w:rPr>
            </w:pPr>
            <w:r>
              <w:rPr>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jc w:val="center"/>
              <w:rPr>
                <w:kern w:val="0"/>
                <w:sz w:val="24"/>
                <w:szCs w:val="24"/>
              </w:rPr>
            </w:pPr>
            <w:r>
              <w:rPr>
                <w:rFonts w:hint="eastAsia"/>
                <w:kern w:val="0"/>
                <w:sz w:val="24"/>
                <w:szCs w:val="24"/>
              </w:rPr>
              <w:t>1</w:t>
            </w:r>
          </w:p>
        </w:tc>
        <w:tc>
          <w:tcPr>
            <w:tcW w:w="889" w:type="pct"/>
            <w:noWrap w:val="0"/>
            <w:vAlign w:val="center"/>
          </w:tcPr>
          <w:p>
            <w:pPr>
              <w:jc w:val="center"/>
              <w:rPr>
                <w:kern w:val="0"/>
                <w:sz w:val="24"/>
                <w:szCs w:val="24"/>
              </w:rPr>
            </w:pPr>
            <w:r>
              <w:rPr>
                <w:rFonts w:hint="eastAsia"/>
                <w:kern w:val="0"/>
                <w:sz w:val="24"/>
                <w:szCs w:val="24"/>
              </w:rPr>
              <w:t>1层</w:t>
            </w:r>
          </w:p>
        </w:tc>
        <w:tc>
          <w:tcPr>
            <w:tcW w:w="890" w:type="pct"/>
            <w:noWrap w:val="0"/>
            <w:vAlign w:val="center"/>
          </w:tcPr>
          <w:p>
            <w:pPr>
              <w:jc w:val="center"/>
              <w:rPr>
                <w:kern w:val="0"/>
                <w:sz w:val="24"/>
                <w:szCs w:val="24"/>
              </w:rPr>
            </w:pPr>
            <w:r>
              <w:rPr>
                <w:kern w:val="0"/>
                <w:sz w:val="24"/>
                <w:szCs w:val="24"/>
              </w:rPr>
              <w:t>0</w:t>
            </w:r>
          </w:p>
        </w:tc>
        <w:tc>
          <w:tcPr>
            <w:tcW w:w="889" w:type="pct"/>
            <w:noWrap w:val="0"/>
            <w:vAlign w:val="center"/>
          </w:tcPr>
          <w:p>
            <w:pPr>
              <w:jc w:val="center"/>
              <w:rPr>
                <w:kern w:val="0"/>
                <w:sz w:val="24"/>
                <w:szCs w:val="24"/>
              </w:rPr>
            </w:pPr>
            <w:r>
              <w:rPr>
                <w:kern w:val="0"/>
                <w:sz w:val="24"/>
                <w:szCs w:val="24"/>
              </w:rPr>
              <w:t>29</w:t>
            </w:r>
          </w:p>
        </w:tc>
        <w:tc>
          <w:tcPr>
            <w:tcW w:w="890" w:type="pct"/>
            <w:noWrap w:val="0"/>
            <w:vAlign w:val="center"/>
          </w:tcPr>
          <w:p>
            <w:pPr>
              <w:jc w:val="center"/>
              <w:rPr>
                <w:kern w:val="0"/>
                <w:sz w:val="24"/>
                <w:szCs w:val="24"/>
              </w:rPr>
            </w:pPr>
            <w:r>
              <w:rPr>
                <w:kern w:val="0"/>
                <w:sz w:val="24"/>
                <w:szCs w:val="24"/>
              </w:rPr>
              <w:t>2</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jc w:val="center"/>
              <w:rPr>
                <w:kern w:val="0"/>
                <w:sz w:val="24"/>
                <w:szCs w:val="24"/>
              </w:rPr>
            </w:pPr>
            <w:r>
              <w:rPr>
                <w:rFonts w:hint="eastAsia"/>
                <w:kern w:val="0"/>
                <w:sz w:val="24"/>
                <w:szCs w:val="24"/>
              </w:rPr>
              <w:t>2</w:t>
            </w:r>
          </w:p>
        </w:tc>
        <w:tc>
          <w:tcPr>
            <w:tcW w:w="889" w:type="pct"/>
            <w:noWrap w:val="0"/>
            <w:vAlign w:val="center"/>
          </w:tcPr>
          <w:p>
            <w:pPr>
              <w:jc w:val="center"/>
              <w:rPr>
                <w:kern w:val="0"/>
                <w:sz w:val="24"/>
                <w:szCs w:val="24"/>
              </w:rPr>
            </w:pPr>
            <w:r>
              <w:rPr>
                <w:kern w:val="0"/>
                <w:sz w:val="24"/>
                <w:szCs w:val="24"/>
              </w:rPr>
              <w:t>2</w:t>
            </w:r>
            <w:r>
              <w:rPr>
                <w:rFonts w:hint="eastAsia"/>
                <w:kern w:val="0"/>
                <w:sz w:val="24"/>
                <w:szCs w:val="24"/>
              </w:rPr>
              <w:t>层</w:t>
            </w:r>
          </w:p>
        </w:tc>
        <w:tc>
          <w:tcPr>
            <w:tcW w:w="890" w:type="pct"/>
            <w:noWrap w:val="0"/>
            <w:vAlign w:val="center"/>
          </w:tcPr>
          <w:p>
            <w:pPr>
              <w:jc w:val="center"/>
              <w:rPr>
                <w:kern w:val="0"/>
                <w:sz w:val="24"/>
                <w:szCs w:val="24"/>
              </w:rPr>
            </w:pPr>
            <w:r>
              <w:rPr>
                <w:rFonts w:hint="eastAsia"/>
                <w:kern w:val="0"/>
                <w:sz w:val="24"/>
                <w:szCs w:val="24"/>
              </w:rPr>
              <w:t>1</w:t>
            </w:r>
            <w:r>
              <w:rPr>
                <w:kern w:val="0"/>
                <w:sz w:val="24"/>
                <w:szCs w:val="24"/>
              </w:rPr>
              <w:t>0</w:t>
            </w:r>
          </w:p>
        </w:tc>
        <w:tc>
          <w:tcPr>
            <w:tcW w:w="889" w:type="pct"/>
            <w:noWrap w:val="0"/>
            <w:vAlign w:val="center"/>
          </w:tcPr>
          <w:p>
            <w:pPr>
              <w:jc w:val="center"/>
              <w:rPr>
                <w:kern w:val="0"/>
                <w:sz w:val="24"/>
                <w:szCs w:val="24"/>
              </w:rPr>
            </w:pPr>
            <w:r>
              <w:rPr>
                <w:kern w:val="0"/>
                <w:sz w:val="24"/>
                <w:szCs w:val="24"/>
              </w:rPr>
              <w:t>31</w:t>
            </w:r>
          </w:p>
        </w:tc>
        <w:tc>
          <w:tcPr>
            <w:tcW w:w="890" w:type="pct"/>
            <w:noWrap w:val="0"/>
            <w:vAlign w:val="center"/>
          </w:tcPr>
          <w:p>
            <w:pPr>
              <w:jc w:val="center"/>
              <w:rPr>
                <w:kern w:val="0"/>
                <w:sz w:val="24"/>
                <w:szCs w:val="24"/>
              </w:rPr>
            </w:pPr>
            <w:r>
              <w:rPr>
                <w:kern w:val="0"/>
                <w:sz w:val="24"/>
                <w:szCs w:val="24"/>
              </w:rPr>
              <w:t>6</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jc w:val="center"/>
              <w:rPr>
                <w:kern w:val="0"/>
                <w:sz w:val="24"/>
                <w:szCs w:val="24"/>
              </w:rPr>
            </w:pPr>
            <w:r>
              <w:rPr>
                <w:kern w:val="0"/>
                <w:sz w:val="24"/>
                <w:szCs w:val="24"/>
              </w:rPr>
              <w:t>3</w:t>
            </w:r>
          </w:p>
        </w:tc>
        <w:tc>
          <w:tcPr>
            <w:tcW w:w="889" w:type="pct"/>
            <w:noWrap w:val="0"/>
            <w:vAlign w:val="center"/>
          </w:tcPr>
          <w:p>
            <w:pPr>
              <w:jc w:val="center"/>
              <w:rPr>
                <w:kern w:val="0"/>
                <w:sz w:val="24"/>
                <w:szCs w:val="24"/>
              </w:rPr>
            </w:pPr>
            <w:r>
              <w:rPr>
                <w:kern w:val="0"/>
                <w:sz w:val="24"/>
                <w:szCs w:val="24"/>
              </w:rPr>
              <w:t>3</w:t>
            </w:r>
            <w:r>
              <w:rPr>
                <w:rFonts w:hint="eastAsia"/>
                <w:kern w:val="0"/>
                <w:sz w:val="24"/>
                <w:szCs w:val="24"/>
              </w:rPr>
              <w:t>层</w:t>
            </w:r>
          </w:p>
        </w:tc>
        <w:tc>
          <w:tcPr>
            <w:tcW w:w="890" w:type="pct"/>
            <w:noWrap w:val="0"/>
            <w:vAlign w:val="center"/>
          </w:tcPr>
          <w:p>
            <w:pPr>
              <w:jc w:val="center"/>
              <w:rPr>
                <w:kern w:val="0"/>
                <w:sz w:val="24"/>
                <w:szCs w:val="24"/>
              </w:rPr>
            </w:pPr>
            <w:r>
              <w:rPr>
                <w:kern w:val="0"/>
                <w:sz w:val="24"/>
                <w:szCs w:val="24"/>
              </w:rPr>
              <w:t>0</w:t>
            </w:r>
          </w:p>
        </w:tc>
        <w:tc>
          <w:tcPr>
            <w:tcW w:w="889" w:type="pct"/>
            <w:noWrap w:val="0"/>
            <w:vAlign w:val="center"/>
          </w:tcPr>
          <w:p>
            <w:pPr>
              <w:jc w:val="center"/>
              <w:rPr>
                <w:kern w:val="0"/>
                <w:sz w:val="24"/>
                <w:szCs w:val="24"/>
              </w:rPr>
            </w:pPr>
            <w:r>
              <w:rPr>
                <w:kern w:val="0"/>
                <w:sz w:val="24"/>
                <w:szCs w:val="24"/>
              </w:rPr>
              <w:t>25</w:t>
            </w:r>
          </w:p>
        </w:tc>
        <w:tc>
          <w:tcPr>
            <w:tcW w:w="890" w:type="pct"/>
            <w:noWrap w:val="0"/>
            <w:vAlign w:val="center"/>
          </w:tcPr>
          <w:p>
            <w:pPr>
              <w:jc w:val="center"/>
              <w:rPr>
                <w:kern w:val="0"/>
                <w:sz w:val="24"/>
                <w:szCs w:val="24"/>
              </w:rPr>
            </w:pPr>
            <w:r>
              <w:rPr>
                <w:rFonts w:hint="eastAsia"/>
                <w:kern w:val="0"/>
                <w:sz w:val="24"/>
                <w:szCs w:val="24"/>
              </w:rPr>
              <w:t>2</w:t>
            </w:r>
            <w:r>
              <w:rPr>
                <w:kern w:val="0"/>
                <w:sz w:val="24"/>
                <w:szCs w:val="24"/>
              </w:rPr>
              <w:t>0</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jc w:val="center"/>
              <w:rPr>
                <w:kern w:val="0"/>
                <w:sz w:val="24"/>
                <w:szCs w:val="24"/>
              </w:rPr>
            </w:pPr>
            <w:r>
              <w:rPr>
                <w:rFonts w:hint="eastAsia"/>
                <w:kern w:val="0"/>
                <w:sz w:val="24"/>
                <w:szCs w:val="24"/>
              </w:rPr>
              <w:t>4</w:t>
            </w:r>
          </w:p>
        </w:tc>
        <w:tc>
          <w:tcPr>
            <w:tcW w:w="889" w:type="pct"/>
            <w:noWrap w:val="0"/>
            <w:vAlign w:val="center"/>
          </w:tcPr>
          <w:p>
            <w:pPr>
              <w:jc w:val="center"/>
              <w:rPr>
                <w:kern w:val="0"/>
                <w:sz w:val="24"/>
                <w:szCs w:val="24"/>
              </w:rPr>
            </w:pPr>
            <w:r>
              <w:rPr>
                <w:kern w:val="0"/>
                <w:sz w:val="24"/>
                <w:szCs w:val="24"/>
              </w:rPr>
              <w:t>4</w:t>
            </w:r>
            <w:r>
              <w:rPr>
                <w:rFonts w:hint="eastAsia"/>
                <w:kern w:val="0"/>
                <w:sz w:val="24"/>
                <w:szCs w:val="24"/>
              </w:rPr>
              <w:t>层</w:t>
            </w:r>
          </w:p>
        </w:tc>
        <w:tc>
          <w:tcPr>
            <w:tcW w:w="890" w:type="pct"/>
            <w:noWrap w:val="0"/>
            <w:vAlign w:val="center"/>
          </w:tcPr>
          <w:p>
            <w:pPr>
              <w:jc w:val="center"/>
              <w:rPr>
                <w:kern w:val="0"/>
                <w:sz w:val="24"/>
                <w:szCs w:val="24"/>
              </w:rPr>
            </w:pPr>
            <w:r>
              <w:rPr>
                <w:kern w:val="0"/>
                <w:sz w:val="24"/>
                <w:szCs w:val="24"/>
              </w:rPr>
              <w:t>0</w:t>
            </w:r>
          </w:p>
        </w:tc>
        <w:tc>
          <w:tcPr>
            <w:tcW w:w="889" w:type="pct"/>
            <w:noWrap w:val="0"/>
            <w:vAlign w:val="center"/>
          </w:tcPr>
          <w:p>
            <w:pPr>
              <w:jc w:val="center"/>
              <w:rPr>
                <w:kern w:val="0"/>
                <w:sz w:val="24"/>
                <w:szCs w:val="24"/>
              </w:rPr>
            </w:pPr>
            <w:r>
              <w:rPr>
                <w:kern w:val="0"/>
                <w:sz w:val="24"/>
                <w:szCs w:val="24"/>
              </w:rPr>
              <w:t>37</w:t>
            </w:r>
          </w:p>
        </w:tc>
        <w:tc>
          <w:tcPr>
            <w:tcW w:w="890" w:type="pct"/>
            <w:noWrap w:val="0"/>
            <w:vAlign w:val="center"/>
          </w:tcPr>
          <w:p>
            <w:pPr>
              <w:jc w:val="center"/>
              <w:rPr>
                <w:kern w:val="0"/>
                <w:sz w:val="24"/>
                <w:szCs w:val="24"/>
              </w:rPr>
            </w:pPr>
            <w:r>
              <w:rPr>
                <w:rFonts w:hint="eastAsia"/>
                <w:kern w:val="0"/>
                <w:sz w:val="24"/>
                <w:szCs w:val="24"/>
              </w:rPr>
              <w:t>1</w:t>
            </w:r>
            <w:r>
              <w:rPr>
                <w:kern w:val="0"/>
                <w:sz w:val="24"/>
                <w:szCs w:val="24"/>
              </w:rPr>
              <w:t>2</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jc w:val="center"/>
              <w:rPr>
                <w:kern w:val="0"/>
                <w:sz w:val="24"/>
                <w:szCs w:val="24"/>
              </w:rPr>
            </w:pPr>
            <w:r>
              <w:rPr>
                <w:kern w:val="0"/>
                <w:sz w:val="24"/>
                <w:szCs w:val="24"/>
              </w:rPr>
              <w:t>5</w:t>
            </w:r>
          </w:p>
        </w:tc>
        <w:tc>
          <w:tcPr>
            <w:tcW w:w="889" w:type="pct"/>
            <w:noWrap w:val="0"/>
            <w:vAlign w:val="center"/>
          </w:tcPr>
          <w:p>
            <w:pPr>
              <w:jc w:val="center"/>
              <w:rPr>
                <w:kern w:val="0"/>
                <w:sz w:val="24"/>
                <w:szCs w:val="24"/>
              </w:rPr>
            </w:pPr>
            <w:r>
              <w:rPr>
                <w:kern w:val="0"/>
                <w:sz w:val="24"/>
                <w:szCs w:val="24"/>
              </w:rPr>
              <w:t>5</w:t>
            </w:r>
            <w:r>
              <w:rPr>
                <w:rFonts w:hint="eastAsia"/>
                <w:kern w:val="0"/>
                <w:sz w:val="24"/>
                <w:szCs w:val="24"/>
              </w:rPr>
              <w:t>层</w:t>
            </w:r>
          </w:p>
        </w:tc>
        <w:tc>
          <w:tcPr>
            <w:tcW w:w="890" w:type="pct"/>
            <w:noWrap w:val="0"/>
            <w:vAlign w:val="center"/>
          </w:tcPr>
          <w:p>
            <w:pPr>
              <w:jc w:val="center"/>
              <w:rPr>
                <w:kern w:val="0"/>
                <w:sz w:val="24"/>
                <w:szCs w:val="24"/>
              </w:rPr>
            </w:pPr>
            <w:r>
              <w:rPr>
                <w:kern w:val="0"/>
                <w:sz w:val="24"/>
                <w:szCs w:val="24"/>
              </w:rPr>
              <w:t>0</w:t>
            </w:r>
          </w:p>
        </w:tc>
        <w:tc>
          <w:tcPr>
            <w:tcW w:w="889" w:type="pct"/>
            <w:noWrap w:val="0"/>
            <w:vAlign w:val="center"/>
          </w:tcPr>
          <w:p>
            <w:pPr>
              <w:jc w:val="center"/>
              <w:rPr>
                <w:kern w:val="0"/>
                <w:sz w:val="24"/>
                <w:szCs w:val="24"/>
              </w:rPr>
            </w:pPr>
            <w:r>
              <w:rPr>
                <w:kern w:val="0"/>
                <w:sz w:val="24"/>
                <w:szCs w:val="24"/>
              </w:rPr>
              <w:t>36</w:t>
            </w:r>
          </w:p>
        </w:tc>
        <w:tc>
          <w:tcPr>
            <w:tcW w:w="890" w:type="pct"/>
            <w:noWrap w:val="0"/>
            <w:vAlign w:val="center"/>
          </w:tcPr>
          <w:p>
            <w:pPr>
              <w:jc w:val="center"/>
              <w:rPr>
                <w:kern w:val="0"/>
                <w:sz w:val="24"/>
                <w:szCs w:val="24"/>
              </w:rPr>
            </w:pPr>
            <w:r>
              <w:rPr>
                <w:kern w:val="0"/>
                <w:sz w:val="24"/>
                <w:szCs w:val="24"/>
              </w:rPr>
              <w:t>13</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jc w:val="center"/>
              <w:rPr>
                <w:kern w:val="0"/>
                <w:sz w:val="24"/>
                <w:szCs w:val="24"/>
              </w:rPr>
            </w:pPr>
            <w:r>
              <w:rPr>
                <w:rFonts w:hint="eastAsia"/>
                <w:kern w:val="0"/>
                <w:sz w:val="24"/>
                <w:szCs w:val="24"/>
              </w:rPr>
              <w:t>6</w:t>
            </w:r>
          </w:p>
        </w:tc>
        <w:tc>
          <w:tcPr>
            <w:tcW w:w="889" w:type="pct"/>
            <w:noWrap w:val="0"/>
            <w:vAlign w:val="center"/>
          </w:tcPr>
          <w:p>
            <w:pPr>
              <w:jc w:val="center"/>
              <w:rPr>
                <w:kern w:val="0"/>
                <w:sz w:val="24"/>
                <w:szCs w:val="24"/>
              </w:rPr>
            </w:pPr>
            <w:r>
              <w:rPr>
                <w:kern w:val="0"/>
                <w:sz w:val="24"/>
                <w:szCs w:val="24"/>
              </w:rPr>
              <w:t>6</w:t>
            </w:r>
            <w:r>
              <w:rPr>
                <w:rFonts w:hint="eastAsia"/>
                <w:kern w:val="0"/>
                <w:sz w:val="24"/>
                <w:szCs w:val="24"/>
              </w:rPr>
              <w:t>层</w:t>
            </w:r>
          </w:p>
        </w:tc>
        <w:tc>
          <w:tcPr>
            <w:tcW w:w="890" w:type="pct"/>
            <w:noWrap w:val="0"/>
            <w:vAlign w:val="center"/>
          </w:tcPr>
          <w:p>
            <w:pPr>
              <w:jc w:val="center"/>
              <w:rPr>
                <w:kern w:val="0"/>
                <w:sz w:val="24"/>
                <w:szCs w:val="24"/>
              </w:rPr>
            </w:pPr>
            <w:r>
              <w:rPr>
                <w:kern w:val="0"/>
                <w:sz w:val="24"/>
                <w:szCs w:val="24"/>
              </w:rPr>
              <w:t>0</w:t>
            </w:r>
          </w:p>
        </w:tc>
        <w:tc>
          <w:tcPr>
            <w:tcW w:w="889" w:type="pct"/>
            <w:noWrap w:val="0"/>
            <w:vAlign w:val="center"/>
          </w:tcPr>
          <w:p>
            <w:pPr>
              <w:jc w:val="center"/>
              <w:rPr>
                <w:kern w:val="0"/>
                <w:sz w:val="24"/>
                <w:szCs w:val="24"/>
              </w:rPr>
            </w:pPr>
            <w:r>
              <w:rPr>
                <w:kern w:val="0"/>
                <w:sz w:val="24"/>
                <w:szCs w:val="24"/>
              </w:rPr>
              <w:t>28</w:t>
            </w:r>
          </w:p>
        </w:tc>
        <w:tc>
          <w:tcPr>
            <w:tcW w:w="890" w:type="pct"/>
            <w:noWrap w:val="0"/>
            <w:vAlign w:val="center"/>
          </w:tcPr>
          <w:p>
            <w:pPr>
              <w:jc w:val="center"/>
              <w:rPr>
                <w:kern w:val="0"/>
                <w:sz w:val="24"/>
                <w:szCs w:val="24"/>
              </w:rPr>
            </w:pPr>
            <w:r>
              <w:rPr>
                <w:kern w:val="0"/>
                <w:sz w:val="24"/>
                <w:szCs w:val="24"/>
              </w:rPr>
              <w:t>7</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jc w:val="center"/>
              <w:rPr>
                <w:kern w:val="0"/>
                <w:sz w:val="24"/>
                <w:szCs w:val="24"/>
              </w:rPr>
            </w:pPr>
            <w:r>
              <w:rPr>
                <w:kern w:val="0"/>
                <w:sz w:val="24"/>
                <w:szCs w:val="24"/>
              </w:rPr>
              <w:t>7</w:t>
            </w:r>
          </w:p>
        </w:tc>
        <w:tc>
          <w:tcPr>
            <w:tcW w:w="889" w:type="pct"/>
            <w:noWrap w:val="0"/>
            <w:vAlign w:val="center"/>
          </w:tcPr>
          <w:p>
            <w:pPr>
              <w:jc w:val="center"/>
              <w:rPr>
                <w:kern w:val="0"/>
                <w:sz w:val="24"/>
                <w:szCs w:val="24"/>
              </w:rPr>
            </w:pPr>
            <w:r>
              <w:rPr>
                <w:kern w:val="0"/>
                <w:sz w:val="24"/>
                <w:szCs w:val="24"/>
              </w:rPr>
              <w:t>7</w:t>
            </w:r>
            <w:r>
              <w:rPr>
                <w:rFonts w:hint="eastAsia"/>
                <w:kern w:val="0"/>
                <w:sz w:val="24"/>
                <w:szCs w:val="24"/>
              </w:rPr>
              <w:t>层</w:t>
            </w:r>
          </w:p>
        </w:tc>
        <w:tc>
          <w:tcPr>
            <w:tcW w:w="890" w:type="pct"/>
            <w:noWrap w:val="0"/>
            <w:vAlign w:val="center"/>
          </w:tcPr>
          <w:p>
            <w:pPr>
              <w:jc w:val="center"/>
              <w:rPr>
                <w:kern w:val="0"/>
                <w:sz w:val="24"/>
                <w:szCs w:val="24"/>
              </w:rPr>
            </w:pPr>
            <w:r>
              <w:rPr>
                <w:kern w:val="0"/>
                <w:sz w:val="24"/>
                <w:szCs w:val="24"/>
              </w:rPr>
              <w:t>2</w:t>
            </w:r>
          </w:p>
        </w:tc>
        <w:tc>
          <w:tcPr>
            <w:tcW w:w="889" w:type="pct"/>
            <w:noWrap w:val="0"/>
            <w:vAlign w:val="center"/>
          </w:tcPr>
          <w:p>
            <w:pPr>
              <w:jc w:val="center"/>
              <w:rPr>
                <w:kern w:val="0"/>
                <w:sz w:val="24"/>
                <w:szCs w:val="24"/>
              </w:rPr>
            </w:pPr>
            <w:r>
              <w:rPr>
                <w:kern w:val="0"/>
                <w:sz w:val="24"/>
                <w:szCs w:val="24"/>
              </w:rPr>
              <w:t>12</w:t>
            </w:r>
          </w:p>
        </w:tc>
        <w:tc>
          <w:tcPr>
            <w:tcW w:w="890" w:type="pct"/>
            <w:noWrap w:val="0"/>
            <w:vAlign w:val="center"/>
          </w:tcPr>
          <w:p>
            <w:pPr>
              <w:jc w:val="center"/>
              <w:rPr>
                <w:kern w:val="0"/>
                <w:sz w:val="24"/>
                <w:szCs w:val="24"/>
              </w:rPr>
            </w:pPr>
            <w:r>
              <w:rPr>
                <w:kern w:val="0"/>
                <w:sz w:val="24"/>
                <w:szCs w:val="24"/>
              </w:rPr>
              <w:t>12</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jc w:val="center"/>
              <w:rPr>
                <w:kern w:val="0"/>
                <w:sz w:val="24"/>
                <w:szCs w:val="24"/>
              </w:rPr>
            </w:pPr>
            <w:r>
              <w:rPr>
                <w:rFonts w:hint="eastAsia"/>
                <w:kern w:val="0"/>
                <w:sz w:val="24"/>
                <w:szCs w:val="24"/>
              </w:rPr>
              <w:t>8</w:t>
            </w:r>
          </w:p>
        </w:tc>
        <w:tc>
          <w:tcPr>
            <w:tcW w:w="889" w:type="pct"/>
            <w:noWrap w:val="0"/>
            <w:vAlign w:val="center"/>
          </w:tcPr>
          <w:p>
            <w:pPr>
              <w:jc w:val="center"/>
              <w:rPr>
                <w:kern w:val="0"/>
                <w:sz w:val="24"/>
                <w:szCs w:val="24"/>
              </w:rPr>
            </w:pPr>
            <w:r>
              <w:rPr>
                <w:kern w:val="0"/>
                <w:sz w:val="24"/>
                <w:szCs w:val="24"/>
              </w:rPr>
              <w:t>8</w:t>
            </w:r>
            <w:r>
              <w:rPr>
                <w:rFonts w:hint="eastAsia"/>
                <w:kern w:val="0"/>
                <w:sz w:val="24"/>
                <w:szCs w:val="24"/>
              </w:rPr>
              <w:t>层</w:t>
            </w:r>
          </w:p>
        </w:tc>
        <w:tc>
          <w:tcPr>
            <w:tcW w:w="890" w:type="pct"/>
            <w:noWrap w:val="0"/>
            <w:vAlign w:val="center"/>
          </w:tcPr>
          <w:p>
            <w:pPr>
              <w:jc w:val="center"/>
              <w:rPr>
                <w:kern w:val="0"/>
                <w:sz w:val="24"/>
                <w:szCs w:val="24"/>
              </w:rPr>
            </w:pPr>
            <w:r>
              <w:rPr>
                <w:kern w:val="0"/>
                <w:sz w:val="24"/>
                <w:szCs w:val="24"/>
              </w:rPr>
              <w:t>0</w:t>
            </w:r>
          </w:p>
        </w:tc>
        <w:tc>
          <w:tcPr>
            <w:tcW w:w="889" w:type="pct"/>
            <w:noWrap w:val="0"/>
            <w:vAlign w:val="center"/>
          </w:tcPr>
          <w:p>
            <w:pPr>
              <w:jc w:val="center"/>
              <w:rPr>
                <w:kern w:val="0"/>
                <w:sz w:val="24"/>
                <w:szCs w:val="24"/>
              </w:rPr>
            </w:pPr>
            <w:r>
              <w:rPr>
                <w:kern w:val="0"/>
                <w:sz w:val="24"/>
                <w:szCs w:val="24"/>
              </w:rPr>
              <w:t>19</w:t>
            </w:r>
          </w:p>
        </w:tc>
        <w:tc>
          <w:tcPr>
            <w:tcW w:w="890" w:type="pct"/>
            <w:noWrap w:val="0"/>
            <w:vAlign w:val="center"/>
          </w:tcPr>
          <w:p>
            <w:pPr>
              <w:jc w:val="center"/>
              <w:rPr>
                <w:kern w:val="0"/>
                <w:sz w:val="24"/>
                <w:szCs w:val="24"/>
              </w:rPr>
            </w:pPr>
            <w:r>
              <w:rPr>
                <w:kern w:val="0"/>
                <w:sz w:val="24"/>
                <w:szCs w:val="24"/>
              </w:rPr>
              <w:t>3</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tabs>
                <w:tab w:val="center" w:pos="315"/>
              </w:tabs>
              <w:jc w:val="center"/>
              <w:rPr>
                <w:kern w:val="0"/>
                <w:sz w:val="24"/>
                <w:szCs w:val="24"/>
              </w:rPr>
            </w:pPr>
            <w:r>
              <w:rPr>
                <w:kern w:val="0"/>
                <w:sz w:val="24"/>
                <w:szCs w:val="24"/>
              </w:rPr>
              <w:t>9</w:t>
            </w:r>
          </w:p>
        </w:tc>
        <w:tc>
          <w:tcPr>
            <w:tcW w:w="889" w:type="pct"/>
            <w:noWrap w:val="0"/>
            <w:vAlign w:val="center"/>
          </w:tcPr>
          <w:p>
            <w:pPr>
              <w:jc w:val="center"/>
              <w:rPr>
                <w:kern w:val="0"/>
                <w:sz w:val="24"/>
                <w:szCs w:val="24"/>
              </w:rPr>
            </w:pPr>
            <w:r>
              <w:rPr>
                <w:kern w:val="0"/>
                <w:sz w:val="24"/>
                <w:szCs w:val="24"/>
              </w:rPr>
              <w:t>9</w:t>
            </w:r>
            <w:r>
              <w:rPr>
                <w:rFonts w:hint="eastAsia"/>
                <w:kern w:val="0"/>
                <w:sz w:val="24"/>
                <w:szCs w:val="24"/>
              </w:rPr>
              <w:t>层</w:t>
            </w:r>
          </w:p>
        </w:tc>
        <w:tc>
          <w:tcPr>
            <w:tcW w:w="890" w:type="pct"/>
            <w:noWrap w:val="0"/>
            <w:vAlign w:val="center"/>
          </w:tcPr>
          <w:p>
            <w:pPr>
              <w:jc w:val="center"/>
              <w:rPr>
                <w:kern w:val="0"/>
                <w:sz w:val="24"/>
                <w:szCs w:val="24"/>
              </w:rPr>
            </w:pPr>
            <w:r>
              <w:rPr>
                <w:kern w:val="0"/>
                <w:sz w:val="24"/>
                <w:szCs w:val="24"/>
              </w:rPr>
              <w:t>0</w:t>
            </w:r>
          </w:p>
        </w:tc>
        <w:tc>
          <w:tcPr>
            <w:tcW w:w="889" w:type="pct"/>
            <w:noWrap w:val="0"/>
            <w:vAlign w:val="center"/>
          </w:tcPr>
          <w:p>
            <w:pPr>
              <w:jc w:val="center"/>
              <w:rPr>
                <w:kern w:val="0"/>
                <w:sz w:val="24"/>
                <w:szCs w:val="24"/>
              </w:rPr>
            </w:pPr>
            <w:r>
              <w:rPr>
                <w:kern w:val="0"/>
                <w:sz w:val="24"/>
                <w:szCs w:val="24"/>
              </w:rPr>
              <w:t>19</w:t>
            </w:r>
          </w:p>
        </w:tc>
        <w:tc>
          <w:tcPr>
            <w:tcW w:w="890" w:type="pct"/>
            <w:noWrap w:val="0"/>
            <w:vAlign w:val="center"/>
          </w:tcPr>
          <w:p>
            <w:pPr>
              <w:jc w:val="center"/>
              <w:rPr>
                <w:kern w:val="0"/>
                <w:sz w:val="24"/>
                <w:szCs w:val="24"/>
              </w:rPr>
            </w:pPr>
            <w:r>
              <w:rPr>
                <w:kern w:val="0"/>
                <w:sz w:val="24"/>
                <w:szCs w:val="24"/>
              </w:rPr>
              <w:t>9</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jc w:val="center"/>
              <w:rPr>
                <w:kern w:val="0"/>
                <w:sz w:val="24"/>
                <w:szCs w:val="24"/>
              </w:rPr>
            </w:pPr>
            <w:r>
              <w:rPr>
                <w:rFonts w:hint="eastAsia"/>
                <w:kern w:val="0"/>
                <w:sz w:val="24"/>
                <w:szCs w:val="24"/>
              </w:rPr>
              <w:t>1</w:t>
            </w:r>
            <w:r>
              <w:rPr>
                <w:kern w:val="0"/>
                <w:sz w:val="24"/>
                <w:szCs w:val="24"/>
              </w:rPr>
              <w:t>0</w:t>
            </w:r>
          </w:p>
        </w:tc>
        <w:tc>
          <w:tcPr>
            <w:tcW w:w="889" w:type="pct"/>
            <w:noWrap w:val="0"/>
            <w:vAlign w:val="center"/>
          </w:tcPr>
          <w:p>
            <w:pPr>
              <w:jc w:val="center"/>
              <w:rPr>
                <w:kern w:val="0"/>
                <w:sz w:val="24"/>
                <w:szCs w:val="24"/>
              </w:rPr>
            </w:pPr>
            <w:r>
              <w:rPr>
                <w:kern w:val="0"/>
                <w:sz w:val="24"/>
                <w:szCs w:val="24"/>
              </w:rPr>
              <w:t>10</w:t>
            </w:r>
            <w:r>
              <w:rPr>
                <w:rFonts w:hint="eastAsia"/>
                <w:kern w:val="0"/>
                <w:sz w:val="24"/>
                <w:szCs w:val="24"/>
              </w:rPr>
              <w:t>层</w:t>
            </w:r>
          </w:p>
        </w:tc>
        <w:tc>
          <w:tcPr>
            <w:tcW w:w="890" w:type="pct"/>
            <w:noWrap w:val="0"/>
            <w:vAlign w:val="center"/>
          </w:tcPr>
          <w:p>
            <w:pPr>
              <w:jc w:val="center"/>
              <w:rPr>
                <w:kern w:val="0"/>
                <w:sz w:val="24"/>
                <w:szCs w:val="24"/>
              </w:rPr>
            </w:pPr>
            <w:r>
              <w:rPr>
                <w:kern w:val="0"/>
                <w:sz w:val="24"/>
                <w:szCs w:val="24"/>
              </w:rPr>
              <w:t>0</w:t>
            </w:r>
          </w:p>
        </w:tc>
        <w:tc>
          <w:tcPr>
            <w:tcW w:w="889" w:type="pct"/>
            <w:noWrap w:val="0"/>
            <w:vAlign w:val="center"/>
          </w:tcPr>
          <w:p>
            <w:pPr>
              <w:jc w:val="center"/>
              <w:rPr>
                <w:kern w:val="0"/>
                <w:sz w:val="24"/>
                <w:szCs w:val="24"/>
              </w:rPr>
            </w:pPr>
            <w:r>
              <w:rPr>
                <w:kern w:val="0"/>
                <w:sz w:val="24"/>
                <w:szCs w:val="24"/>
              </w:rPr>
              <w:t>13</w:t>
            </w:r>
          </w:p>
        </w:tc>
        <w:tc>
          <w:tcPr>
            <w:tcW w:w="890" w:type="pct"/>
            <w:noWrap w:val="0"/>
            <w:vAlign w:val="center"/>
          </w:tcPr>
          <w:p>
            <w:pPr>
              <w:jc w:val="center"/>
              <w:rPr>
                <w:kern w:val="0"/>
                <w:sz w:val="24"/>
                <w:szCs w:val="24"/>
              </w:rPr>
            </w:pPr>
            <w:r>
              <w:rPr>
                <w:kern w:val="0"/>
                <w:sz w:val="24"/>
                <w:szCs w:val="24"/>
              </w:rPr>
              <w:t>8</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3" w:type="pct"/>
            <w:noWrap w:val="0"/>
            <w:vAlign w:val="center"/>
          </w:tcPr>
          <w:p>
            <w:pPr>
              <w:jc w:val="center"/>
              <w:rPr>
                <w:kern w:val="0"/>
                <w:sz w:val="24"/>
                <w:szCs w:val="24"/>
              </w:rPr>
            </w:pPr>
            <w:r>
              <w:rPr>
                <w:rFonts w:hint="eastAsia"/>
                <w:kern w:val="0"/>
                <w:sz w:val="24"/>
                <w:szCs w:val="24"/>
              </w:rPr>
              <w:t>1</w:t>
            </w:r>
            <w:r>
              <w:rPr>
                <w:kern w:val="0"/>
                <w:sz w:val="24"/>
                <w:szCs w:val="24"/>
              </w:rPr>
              <w:t>1</w:t>
            </w:r>
          </w:p>
        </w:tc>
        <w:tc>
          <w:tcPr>
            <w:tcW w:w="889" w:type="pct"/>
            <w:noWrap w:val="0"/>
            <w:vAlign w:val="center"/>
          </w:tcPr>
          <w:p>
            <w:pPr>
              <w:jc w:val="center"/>
              <w:rPr>
                <w:kern w:val="0"/>
                <w:sz w:val="24"/>
                <w:szCs w:val="24"/>
              </w:rPr>
            </w:pPr>
            <w:r>
              <w:rPr>
                <w:kern w:val="0"/>
                <w:sz w:val="24"/>
                <w:szCs w:val="24"/>
              </w:rPr>
              <w:t>11</w:t>
            </w:r>
            <w:r>
              <w:rPr>
                <w:rFonts w:hint="eastAsia"/>
                <w:kern w:val="0"/>
                <w:sz w:val="24"/>
                <w:szCs w:val="24"/>
              </w:rPr>
              <w:t>层</w:t>
            </w:r>
          </w:p>
        </w:tc>
        <w:tc>
          <w:tcPr>
            <w:tcW w:w="890" w:type="pct"/>
            <w:noWrap w:val="0"/>
            <w:vAlign w:val="center"/>
          </w:tcPr>
          <w:p>
            <w:pPr>
              <w:jc w:val="center"/>
              <w:rPr>
                <w:kern w:val="0"/>
                <w:sz w:val="24"/>
                <w:szCs w:val="24"/>
              </w:rPr>
            </w:pPr>
            <w:r>
              <w:rPr>
                <w:kern w:val="0"/>
                <w:sz w:val="24"/>
                <w:szCs w:val="24"/>
              </w:rPr>
              <w:t>1</w:t>
            </w:r>
          </w:p>
        </w:tc>
        <w:tc>
          <w:tcPr>
            <w:tcW w:w="889" w:type="pct"/>
            <w:noWrap w:val="0"/>
            <w:vAlign w:val="center"/>
          </w:tcPr>
          <w:p>
            <w:pPr>
              <w:jc w:val="center"/>
              <w:rPr>
                <w:kern w:val="0"/>
                <w:sz w:val="24"/>
                <w:szCs w:val="24"/>
              </w:rPr>
            </w:pPr>
            <w:r>
              <w:rPr>
                <w:rFonts w:hint="eastAsia"/>
                <w:kern w:val="0"/>
                <w:sz w:val="24"/>
                <w:szCs w:val="24"/>
              </w:rPr>
              <w:t>1</w:t>
            </w:r>
            <w:r>
              <w:rPr>
                <w:kern w:val="0"/>
                <w:sz w:val="24"/>
                <w:szCs w:val="24"/>
              </w:rPr>
              <w:t>6</w:t>
            </w:r>
          </w:p>
        </w:tc>
        <w:tc>
          <w:tcPr>
            <w:tcW w:w="890" w:type="pct"/>
            <w:noWrap w:val="0"/>
            <w:vAlign w:val="center"/>
          </w:tcPr>
          <w:p>
            <w:pPr>
              <w:jc w:val="center"/>
              <w:rPr>
                <w:kern w:val="0"/>
                <w:sz w:val="24"/>
                <w:szCs w:val="24"/>
              </w:rPr>
            </w:pPr>
            <w:r>
              <w:rPr>
                <w:kern w:val="0"/>
                <w:sz w:val="24"/>
                <w:szCs w:val="24"/>
              </w:rPr>
              <w:t>3</w:t>
            </w:r>
          </w:p>
        </w:tc>
        <w:tc>
          <w:tcPr>
            <w:tcW w:w="886" w:type="pct"/>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53" w:type="pct"/>
            <w:noWrap w:val="0"/>
            <w:vAlign w:val="center"/>
          </w:tcPr>
          <w:p>
            <w:pPr>
              <w:jc w:val="center"/>
              <w:rPr>
                <w:kern w:val="0"/>
                <w:sz w:val="24"/>
                <w:szCs w:val="24"/>
              </w:rPr>
            </w:pPr>
            <w:r>
              <w:rPr>
                <w:kern w:val="0"/>
                <w:sz w:val="24"/>
                <w:szCs w:val="24"/>
              </w:rPr>
              <w:t>12</w:t>
            </w:r>
          </w:p>
        </w:tc>
        <w:tc>
          <w:tcPr>
            <w:tcW w:w="889" w:type="pct"/>
            <w:noWrap w:val="0"/>
            <w:vAlign w:val="center"/>
          </w:tcPr>
          <w:p>
            <w:pPr>
              <w:jc w:val="center"/>
              <w:rPr>
                <w:kern w:val="0"/>
                <w:sz w:val="24"/>
                <w:szCs w:val="24"/>
              </w:rPr>
            </w:pPr>
            <w:r>
              <w:rPr>
                <w:rFonts w:hint="eastAsia"/>
                <w:kern w:val="0"/>
                <w:sz w:val="24"/>
                <w:szCs w:val="24"/>
              </w:rPr>
              <w:t>合计</w:t>
            </w:r>
          </w:p>
        </w:tc>
        <w:tc>
          <w:tcPr>
            <w:tcW w:w="890" w:type="pct"/>
            <w:noWrap w:val="0"/>
            <w:vAlign w:val="center"/>
          </w:tcPr>
          <w:p>
            <w:pPr>
              <w:jc w:val="center"/>
              <w:rPr>
                <w:kern w:val="0"/>
                <w:sz w:val="24"/>
                <w:szCs w:val="24"/>
              </w:rPr>
            </w:pPr>
            <w:r>
              <w:rPr>
                <w:kern w:val="0"/>
                <w:sz w:val="24"/>
                <w:szCs w:val="24"/>
              </w:rPr>
              <w:t>13</w:t>
            </w:r>
          </w:p>
        </w:tc>
        <w:tc>
          <w:tcPr>
            <w:tcW w:w="889" w:type="pct"/>
            <w:noWrap w:val="0"/>
            <w:vAlign w:val="center"/>
          </w:tcPr>
          <w:p>
            <w:pPr>
              <w:jc w:val="center"/>
              <w:rPr>
                <w:kern w:val="0"/>
                <w:sz w:val="24"/>
                <w:szCs w:val="24"/>
              </w:rPr>
            </w:pPr>
            <w:r>
              <w:rPr>
                <w:kern w:val="0"/>
                <w:sz w:val="24"/>
                <w:szCs w:val="24"/>
              </w:rPr>
              <w:t>265</w:t>
            </w:r>
          </w:p>
        </w:tc>
        <w:tc>
          <w:tcPr>
            <w:tcW w:w="890" w:type="pct"/>
            <w:noWrap w:val="0"/>
            <w:vAlign w:val="center"/>
          </w:tcPr>
          <w:p>
            <w:pPr>
              <w:jc w:val="center"/>
              <w:rPr>
                <w:kern w:val="0"/>
                <w:sz w:val="24"/>
                <w:szCs w:val="24"/>
              </w:rPr>
            </w:pPr>
            <w:r>
              <w:rPr>
                <w:kern w:val="0"/>
                <w:sz w:val="24"/>
                <w:szCs w:val="24"/>
              </w:rPr>
              <w:t>95</w:t>
            </w:r>
          </w:p>
        </w:tc>
        <w:tc>
          <w:tcPr>
            <w:tcW w:w="886" w:type="pct"/>
            <w:noWrap w:val="0"/>
            <w:vAlign w:val="center"/>
          </w:tcPr>
          <w:p>
            <w:pPr>
              <w:jc w:val="center"/>
              <w:rPr>
                <w:kern w:val="0"/>
                <w:sz w:val="24"/>
                <w:szCs w:val="24"/>
              </w:rPr>
            </w:pPr>
          </w:p>
        </w:tc>
      </w:tr>
    </w:tbl>
    <w:p>
      <w:pPr>
        <w:tabs>
          <w:tab w:val="left" w:pos="638"/>
        </w:tabs>
        <w:spacing w:line="360" w:lineRule="auto"/>
        <w:jc w:val="left"/>
        <w:rPr>
          <w:rFonts w:hint="eastAsia"/>
          <w:sz w:val="24"/>
          <w:szCs w:val="24"/>
        </w:rPr>
      </w:pPr>
      <w:r>
        <w:rPr>
          <w:rFonts w:hint="eastAsia"/>
          <w:sz w:val="24"/>
          <w:szCs w:val="24"/>
        </w:rPr>
        <w:t>4、设备清单</w:t>
      </w:r>
    </w:p>
    <w:tbl>
      <w:tblPr>
        <w:tblStyle w:val="24"/>
        <w:tblW w:w="46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3054"/>
        <w:gridCol w:w="1789"/>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9" w:type="pct"/>
            <w:noWrap w:val="0"/>
            <w:vAlign w:val="center"/>
          </w:tcPr>
          <w:p>
            <w:pPr>
              <w:jc w:val="center"/>
              <w:rPr>
                <w:b/>
                <w:sz w:val="24"/>
                <w:szCs w:val="28"/>
              </w:rPr>
            </w:pPr>
            <w:r>
              <w:rPr>
                <w:rFonts w:hint="eastAsia"/>
                <w:b/>
                <w:sz w:val="24"/>
                <w:szCs w:val="28"/>
              </w:rPr>
              <w:t>序号</w:t>
            </w:r>
          </w:p>
        </w:tc>
        <w:tc>
          <w:tcPr>
            <w:tcW w:w="1915" w:type="pct"/>
            <w:noWrap w:val="0"/>
            <w:vAlign w:val="center"/>
          </w:tcPr>
          <w:p>
            <w:pPr>
              <w:jc w:val="center"/>
              <w:rPr>
                <w:b/>
                <w:sz w:val="24"/>
                <w:szCs w:val="28"/>
              </w:rPr>
            </w:pPr>
            <w:r>
              <w:rPr>
                <w:rFonts w:hint="eastAsia"/>
                <w:b/>
                <w:sz w:val="24"/>
                <w:szCs w:val="28"/>
              </w:rPr>
              <w:t>设备名称</w:t>
            </w:r>
          </w:p>
        </w:tc>
        <w:tc>
          <w:tcPr>
            <w:tcW w:w="1122" w:type="pct"/>
            <w:noWrap w:val="0"/>
            <w:vAlign w:val="center"/>
          </w:tcPr>
          <w:p>
            <w:pPr>
              <w:jc w:val="center"/>
              <w:rPr>
                <w:b/>
                <w:sz w:val="24"/>
                <w:szCs w:val="28"/>
              </w:rPr>
            </w:pPr>
            <w:r>
              <w:rPr>
                <w:rFonts w:hint="eastAsia"/>
                <w:b/>
                <w:sz w:val="24"/>
                <w:szCs w:val="28"/>
              </w:rPr>
              <w:t>数量</w:t>
            </w:r>
          </w:p>
        </w:tc>
        <w:tc>
          <w:tcPr>
            <w:tcW w:w="1192" w:type="pct"/>
            <w:noWrap w:val="0"/>
            <w:vAlign w:val="center"/>
          </w:tcPr>
          <w:p>
            <w:pPr>
              <w:jc w:val="center"/>
              <w:rPr>
                <w:b/>
                <w:sz w:val="24"/>
                <w:szCs w:val="28"/>
              </w:rPr>
            </w:pPr>
            <w:r>
              <w:rPr>
                <w:rFonts w:hint="eastAsia"/>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69" w:type="pct"/>
            <w:noWrap w:val="0"/>
            <w:vAlign w:val="center"/>
          </w:tcPr>
          <w:p>
            <w:pPr>
              <w:jc w:val="center"/>
              <w:rPr>
                <w:rFonts w:ascii="宋体" w:hAnsi="宋体"/>
                <w:sz w:val="24"/>
              </w:rPr>
            </w:pPr>
            <w:r>
              <w:rPr>
                <w:rFonts w:hint="eastAsia" w:ascii="宋体" w:hAnsi="宋体"/>
                <w:sz w:val="24"/>
              </w:rPr>
              <w:t>1</w:t>
            </w:r>
          </w:p>
        </w:tc>
        <w:tc>
          <w:tcPr>
            <w:tcW w:w="1915" w:type="pct"/>
            <w:noWrap w:val="0"/>
            <w:vAlign w:val="center"/>
          </w:tcPr>
          <w:p>
            <w:pPr>
              <w:jc w:val="center"/>
              <w:rPr>
                <w:rFonts w:ascii="宋体" w:hAnsi="宋体"/>
                <w:sz w:val="24"/>
              </w:rPr>
            </w:pPr>
            <w:r>
              <w:rPr>
                <w:rFonts w:hint="eastAsia" w:ascii="宋体" w:hAnsi="宋体"/>
                <w:sz w:val="24"/>
              </w:rPr>
              <w:t>无线控制器</w:t>
            </w:r>
          </w:p>
        </w:tc>
        <w:tc>
          <w:tcPr>
            <w:tcW w:w="1122" w:type="pct"/>
            <w:noWrap w:val="0"/>
            <w:vAlign w:val="center"/>
          </w:tcPr>
          <w:p>
            <w:pPr>
              <w:jc w:val="center"/>
              <w:rPr>
                <w:rFonts w:ascii="宋体" w:hAnsi="宋体"/>
                <w:sz w:val="24"/>
              </w:rPr>
            </w:pPr>
            <w:r>
              <w:rPr>
                <w:rFonts w:hint="eastAsia" w:ascii="宋体" w:hAnsi="宋体"/>
                <w:sz w:val="24"/>
              </w:rPr>
              <w:t>1</w:t>
            </w:r>
          </w:p>
        </w:tc>
        <w:tc>
          <w:tcPr>
            <w:tcW w:w="1192" w:type="pct"/>
            <w:noWrap w:val="0"/>
            <w:vAlign w:val="center"/>
          </w:tcPr>
          <w:p>
            <w:pPr>
              <w:jc w:val="center"/>
              <w:rPr>
                <w:rFonts w:hint="eastAsia" w:ascii="宋体" w:hAnsi="宋体"/>
                <w:sz w:val="24"/>
              </w:rPr>
            </w:pPr>
            <w:r>
              <w:rPr>
                <w:rFonts w:hint="eastAsia" w:ascii="宋体" w:hAnsi="宋体"/>
                <w:b/>
                <w:bCs/>
                <w:sz w:val="24"/>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9" w:type="pct"/>
            <w:noWrap w:val="0"/>
            <w:vAlign w:val="center"/>
          </w:tcPr>
          <w:p>
            <w:pPr>
              <w:jc w:val="center"/>
              <w:rPr>
                <w:rFonts w:ascii="宋体" w:hAnsi="宋体"/>
                <w:sz w:val="24"/>
              </w:rPr>
            </w:pPr>
            <w:r>
              <w:rPr>
                <w:rFonts w:hint="eastAsia" w:ascii="宋体" w:hAnsi="宋体"/>
                <w:sz w:val="24"/>
              </w:rPr>
              <w:t>2</w:t>
            </w:r>
          </w:p>
        </w:tc>
        <w:tc>
          <w:tcPr>
            <w:tcW w:w="1915" w:type="pct"/>
            <w:noWrap w:val="0"/>
            <w:vAlign w:val="center"/>
          </w:tcPr>
          <w:p>
            <w:pPr>
              <w:jc w:val="center"/>
              <w:rPr>
                <w:rFonts w:ascii="宋体" w:hAnsi="宋体"/>
                <w:sz w:val="24"/>
              </w:rPr>
            </w:pPr>
            <w:r>
              <w:rPr>
                <w:rFonts w:hint="eastAsia" w:ascii="宋体" w:hAnsi="宋体"/>
                <w:sz w:val="24"/>
              </w:rPr>
              <w:t>无线管理平台</w:t>
            </w:r>
          </w:p>
        </w:tc>
        <w:tc>
          <w:tcPr>
            <w:tcW w:w="1122" w:type="pct"/>
            <w:noWrap w:val="0"/>
            <w:vAlign w:val="center"/>
          </w:tcPr>
          <w:p>
            <w:pPr>
              <w:jc w:val="center"/>
              <w:rPr>
                <w:rFonts w:ascii="宋体" w:hAnsi="宋体"/>
                <w:sz w:val="24"/>
              </w:rPr>
            </w:pPr>
            <w:r>
              <w:rPr>
                <w:rFonts w:hint="eastAsia" w:ascii="宋体" w:hAnsi="宋体"/>
                <w:sz w:val="24"/>
              </w:rPr>
              <w:t>1</w:t>
            </w:r>
          </w:p>
        </w:tc>
        <w:tc>
          <w:tcPr>
            <w:tcW w:w="1192" w:type="pct"/>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69" w:type="pct"/>
            <w:noWrap w:val="0"/>
            <w:vAlign w:val="center"/>
          </w:tcPr>
          <w:p>
            <w:pPr>
              <w:jc w:val="center"/>
              <w:rPr>
                <w:rFonts w:ascii="宋体" w:hAnsi="宋体"/>
                <w:sz w:val="24"/>
              </w:rPr>
            </w:pPr>
            <w:r>
              <w:rPr>
                <w:rFonts w:hint="eastAsia" w:ascii="宋体" w:hAnsi="宋体"/>
                <w:sz w:val="24"/>
              </w:rPr>
              <w:t>3</w:t>
            </w:r>
          </w:p>
        </w:tc>
        <w:tc>
          <w:tcPr>
            <w:tcW w:w="1915" w:type="pct"/>
            <w:noWrap w:val="0"/>
            <w:vAlign w:val="center"/>
          </w:tcPr>
          <w:p>
            <w:pPr>
              <w:jc w:val="center"/>
              <w:rPr>
                <w:rFonts w:ascii="宋体" w:hAnsi="宋体"/>
                <w:sz w:val="24"/>
              </w:rPr>
            </w:pPr>
            <w:r>
              <w:rPr>
                <w:rFonts w:hint="eastAsia" w:ascii="宋体" w:hAnsi="宋体"/>
                <w:sz w:val="24"/>
              </w:rPr>
              <w:t>放装</w:t>
            </w:r>
            <w:r>
              <w:rPr>
                <w:rFonts w:ascii="宋体" w:hAnsi="宋体"/>
                <w:sz w:val="24"/>
              </w:rPr>
              <w:t>AP</w:t>
            </w:r>
          </w:p>
        </w:tc>
        <w:tc>
          <w:tcPr>
            <w:tcW w:w="1122" w:type="pct"/>
            <w:noWrap w:val="0"/>
            <w:vAlign w:val="center"/>
          </w:tcPr>
          <w:p>
            <w:pPr>
              <w:jc w:val="center"/>
              <w:rPr>
                <w:rFonts w:ascii="宋体" w:hAnsi="宋体"/>
                <w:sz w:val="24"/>
              </w:rPr>
            </w:pPr>
            <w:r>
              <w:rPr>
                <w:rFonts w:hint="eastAsia" w:ascii="宋体" w:hAnsi="宋体"/>
                <w:sz w:val="24"/>
              </w:rPr>
              <w:t>2</w:t>
            </w:r>
            <w:r>
              <w:rPr>
                <w:rFonts w:ascii="宋体" w:hAnsi="宋体"/>
                <w:sz w:val="24"/>
              </w:rPr>
              <w:t>65</w:t>
            </w:r>
          </w:p>
        </w:tc>
        <w:tc>
          <w:tcPr>
            <w:tcW w:w="1192" w:type="pct"/>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9" w:type="pct"/>
            <w:noWrap w:val="0"/>
            <w:vAlign w:val="center"/>
          </w:tcPr>
          <w:p>
            <w:pPr>
              <w:jc w:val="center"/>
              <w:rPr>
                <w:rFonts w:ascii="宋体" w:hAnsi="宋体"/>
                <w:sz w:val="24"/>
              </w:rPr>
            </w:pPr>
            <w:r>
              <w:rPr>
                <w:rFonts w:hint="eastAsia" w:ascii="宋体" w:hAnsi="宋体"/>
                <w:sz w:val="24"/>
              </w:rPr>
              <w:t>4</w:t>
            </w:r>
          </w:p>
        </w:tc>
        <w:tc>
          <w:tcPr>
            <w:tcW w:w="1915" w:type="pct"/>
            <w:noWrap w:val="0"/>
            <w:vAlign w:val="center"/>
          </w:tcPr>
          <w:p>
            <w:pPr>
              <w:jc w:val="center"/>
              <w:rPr>
                <w:rFonts w:ascii="宋体" w:hAnsi="宋体"/>
                <w:sz w:val="24"/>
              </w:rPr>
            </w:pPr>
            <w:r>
              <w:rPr>
                <w:rFonts w:hint="eastAsia" w:ascii="宋体" w:hAnsi="宋体"/>
                <w:sz w:val="24"/>
              </w:rPr>
              <w:t>高密</w:t>
            </w:r>
            <w:r>
              <w:rPr>
                <w:rFonts w:ascii="宋体" w:hAnsi="宋体"/>
                <w:sz w:val="24"/>
              </w:rPr>
              <w:t>AP</w:t>
            </w:r>
          </w:p>
        </w:tc>
        <w:tc>
          <w:tcPr>
            <w:tcW w:w="1122" w:type="pct"/>
            <w:noWrap w:val="0"/>
            <w:vAlign w:val="center"/>
          </w:tcPr>
          <w:p>
            <w:pPr>
              <w:jc w:val="center"/>
              <w:rPr>
                <w:rFonts w:ascii="宋体" w:hAnsi="宋体"/>
                <w:sz w:val="24"/>
              </w:rPr>
            </w:pPr>
            <w:r>
              <w:rPr>
                <w:rFonts w:ascii="宋体" w:hAnsi="宋体"/>
                <w:sz w:val="24"/>
              </w:rPr>
              <w:t>13</w:t>
            </w:r>
          </w:p>
        </w:tc>
        <w:tc>
          <w:tcPr>
            <w:tcW w:w="1192" w:type="pct"/>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9" w:type="pct"/>
            <w:noWrap w:val="0"/>
            <w:vAlign w:val="center"/>
          </w:tcPr>
          <w:p>
            <w:pPr>
              <w:jc w:val="center"/>
              <w:rPr>
                <w:rFonts w:ascii="宋体" w:hAnsi="宋体"/>
                <w:sz w:val="24"/>
              </w:rPr>
            </w:pPr>
            <w:r>
              <w:rPr>
                <w:rFonts w:ascii="宋体" w:hAnsi="宋体"/>
                <w:sz w:val="24"/>
              </w:rPr>
              <w:t>5</w:t>
            </w:r>
          </w:p>
        </w:tc>
        <w:tc>
          <w:tcPr>
            <w:tcW w:w="1915" w:type="pct"/>
            <w:noWrap w:val="0"/>
            <w:vAlign w:val="center"/>
          </w:tcPr>
          <w:p>
            <w:pPr>
              <w:jc w:val="center"/>
              <w:rPr>
                <w:rFonts w:ascii="宋体" w:hAnsi="宋体"/>
                <w:sz w:val="24"/>
              </w:rPr>
            </w:pPr>
            <w:r>
              <w:rPr>
                <w:rFonts w:hint="eastAsia" w:ascii="宋体" w:hAnsi="宋体"/>
                <w:sz w:val="24"/>
              </w:rPr>
              <w:t>面板A</w:t>
            </w:r>
            <w:r>
              <w:rPr>
                <w:rFonts w:ascii="宋体" w:hAnsi="宋体"/>
                <w:sz w:val="24"/>
              </w:rPr>
              <w:t>P</w:t>
            </w:r>
          </w:p>
        </w:tc>
        <w:tc>
          <w:tcPr>
            <w:tcW w:w="1122" w:type="pct"/>
            <w:noWrap w:val="0"/>
            <w:vAlign w:val="center"/>
          </w:tcPr>
          <w:p>
            <w:pPr>
              <w:jc w:val="center"/>
              <w:rPr>
                <w:rFonts w:ascii="宋体" w:hAnsi="宋体"/>
                <w:sz w:val="24"/>
              </w:rPr>
            </w:pPr>
            <w:r>
              <w:rPr>
                <w:rFonts w:ascii="宋体" w:hAnsi="宋体"/>
                <w:sz w:val="24"/>
              </w:rPr>
              <w:t>95</w:t>
            </w:r>
          </w:p>
        </w:tc>
        <w:tc>
          <w:tcPr>
            <w:tcW w:w="1192" w:type="pct"/>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69" w:type="pct"/>
            <w:noWrap w:val="0"/>
            <w:vAlign w:val="center"/>
          </w:tcPr>
          <w:p>
            <w:pPr>
              <w:jc w:val="center"/>
              <w:rPr>
                <w:rFonts w:ascii="宋体" w:hAnsi="宋体"/>
                <w:sz w:val="24"/>
              </w:rPr>
            </w:pPr>
            <w:r>
              <w:rPr>
                <w:rFonts w:ascii="宋体" w:hAnsi="宋体"/>
                <w:sz w:val="24"/>
              </w:rPr>
              <w:t>6</w:t>
            </w:r>
          </w:p>
        </w:tc>
        <w:tc>
          <w:tcPr>
            <w:tcW w:w="1915" w:type="pct"/>
            <w:noWrap w:val="0"/>
            <w:vAlign w:val="center"/>
          </w:tcPr>
          <w:p>
            <w:pPr>
              <w:jc w:val="center"/>
              <w:rPr>
                <w:rFonts w:ascii="宋体" w:hAnsi="宋体"/>
                <w:sz w:val="24"/>
              </w:rPr>
            </w:pPr>
            <w:r>
              <w:rPr>
                <w:rFonts w:hint="eastAsia" w:ascii="宋体" w:hAnsi="宋体"/>
                <w:color w:val="000000"/>
                <w:sz w:val="24"/>
              </w:rPr>
              <w:t>2</w:t>
            </w:r>
            <w:r>
              <w:rPr>
                <w:rFonts w:ascii="宋体" w:hAnsi="宋体"/>
                <w:color w:val="000000"/>
                <w:sz w:val="24"/>
              </w:rPr>
              <w:t>4</w:t>
            </w:r>
            <w:r>
              <w:rPr>
                <w:rFonts w:hint="eastAsia" w:ascii="宋体" w:hAnsi="宋体"/>
                <w:color w:val="000000"/>
                <w:sz w:val="24"/>
              </w:rPr>
              <w:t>口</w:t>
            </w:r>
            <w:r>
              <w:rPr>
                <w:rFonts w:ascii="宋体" w:hAnsi="宋体"/>
                <w:color w:val="000000"/>
                <w:sz w:val="24"/>
              </w:rPr>
              <w:t>POE</w:t>
            </w:r>
            <w:r>
              <w:rPr>
                <w:rFonts w:hint="eastAsia" w:ascii="宋体" w:hAnsi="宋体"/>
                <w:color w:val="000000"/>
                <w:sz w:val="24"/>
              </w:rPr>
              <w:t>交换机</w:t>
            </w:r>
          </w:p>
        </w:tc>
        <w:tc>
          <w:tcPr>
            <w:tcW w:w="1122" w:type="pct"/>
            <w:noWrap w:val="0"/>
            <w:vAlign w:val="center"/>
          </w:tcPr>
          <w:p>
            <w:pPr>
              <w:jc w:val="center"/>
              <w:rPr>
                <w:rFonts w:ascii="宋体" w:hAnsi="宋体"/>
                <w:sz w:val="24"/>
              </w:rPr>
            </w:pPr>
            <w:r>
              <w:rPr>
                <w:rFonts w:ascii="宋体" w:hAnsi="宋体"/>
                <w:sz w:val="24"/>
              </w:rPr>
              <w:t>23</w:t>
            </w:r>
          </w:p>
        </w:tc>
        <w:tc>
          <w:tcPr>
            <w:tcW w:w="1192" w:type="pct"/>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9" w:type="pct"/>
            <w:noWrap w:val="0"/>
            <w:vAlign w:val="center"/>
          </w:tcPr>
          <w:p>
            <w:pPr>
              <w:jc w:val="center"/>
              <w:rPr>
                <w:rFonts w:ascii="宋体" w:hAnsi="宋体"/>
                <w:sz w:val="24"/>
              </w:rPr>
            </w:pPr>
            <w:r>
              <w:rPr>
                <w:rFonts w:ascii="宋体" w:hAnsi="宋体"/>
                <w:sz w:val="24"/>
              </w:rPr>
              <w:t>7</w:t>
            </w:r>
          </w:p>
        </w:tc>
        <w:tc>
          <w:tcPr>
            <w:tcW w:w="1915" w:type="pct"/>
            <w:noWrap w:val="0"/>
            <w:vAlign w:val="center"/>
          </w:tcPr>
          <w:p>
            <w:pPr>
              <w:jc w:val="center"/>
              <w:rPr>
                <w:rFonts w:ascii="宋体" w:hAnsi="宋体"/>
                <w:sz w:val="24"/>
              </w:rPr>
            </w:pPr>
            <w:r>
              <w:rPr>
                <w:rFonts w:hint="eastAsia" w:ascii="宋体" w:hAnsi="宋体"/>
                <w:sz w:val="24"/>
              </w:rPr>
              <w:t>汇聚交换机</w:t>
            </w:r>
          </w:p>
        </w:tc>
        <w:tc>
          <w:tcPr>
            <w:tcW w:w="1122" w:type="pct"/>
            <w:noWrap w:val="0"/>
            <w:vAlign w:val="center"/>
          </w:tcPr>
          <w:p>
            <w:pPr>
              <w:jc w:val="center"/>
              <w:rPr>
                <w:rFonts w:ascii="宋体" w:hAnsi="宋体"/>
                <w:sz w:val="24"/>
              </w:rPr>
            </w:pPr>
            <w:r>
              <w:rPr>
                <w:rFonts w:hint="eastAsia" w:ascii="宋体" w:hAnsi="宋体"/>
                <w:sz w:val="24"/>
              </w:rPr>
              <w:t>4</w:t>
            </w:r>
          </w:p>
        </w:tc>
        <w:tc>
          <w:tcPr>
            <w:tcW w:w="1192" w:type="pct"/>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69" w:type="pct"/>
            <w:noWrap w:val="0"/>
            <w:vAlign w:val="center"/>
          </w:tcPr>
          <w:p>
            <w:pPr>
              <w:jc w:val="center"/>
              <w:rPr>
                <w:rFonts w:ascii="宋体" w:hAnsi="宋体"/>
                <w:sz w:val="24"/>
              </w:rPr>
            </w:pPr>
            <w:r>
              <w:rPr>
                <w:rFonts w:ascii="宋体" w:hAnsi="宋体"/>
                <w:sz w:val="24"/>
              </w:rPr>
              <w:t>8</w:t>
            </w:r>
          </w:p>
        </w:tc>
        <w:tc>
          <w:tcPr>
            <w:tcW w:w="1915" w:type="pct"/>
            <w:noWrap w:val="0"/>
            <w:vAlign w:val="center"/>
          </w:tcPr>
          <w:p>
            <w:pPr>
              <w:jc w:val="center"/>
              <w:rPr>
                <w:rFonts w:ascii="宋体" w:hAnsi="宋体"/>
                <w:sz w:val="24"/>
              </w:rPr>
            </w:pPr>
            <w:r>
              <w:rPr>
                <w:rFonts w:hint="eastAsia" w:ascii="宋体" w:hAnsi="宋体"/>
                <w:sz w:val="24"/>
              </w:rPr>
              <w:t>数据中心交换机</w:t>
            </w:r>
          </w:p>
        </w:tc>
        <w:tc>
          <w:tcPr>
            <w:tcW w:w="1122" w:type="pct"/>
            <w:noWrap w:val="0"/>
            <w:vAlign w:val="center"/>
          </w:tcPr>
          <w:p>
            <w:pPr>
              <w:jc w:val="center"/>
              <w:rPr>
                <w:rFonts w:ascii="宋体" w:hAnsi="宋体"/>
                <w:sz w:val="24"/>
              </w:rPr>
            </w:pPr>
            <w:r>
              <w:rPr>
                <w:rFonts w:hint="eastAsia" w:ascii="宋体" w:hAnsi="宋体"/>
                <w:sz w:val="24"/>
              </w:rPr>
              <w:t>1</w:t>
            </w:r>
          </w:p>
        </w:tc>
        <w:tc>
          <w:tcPr>
            <w:tcW w:w="1192" w:type="pct"/>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9" w:type="pct"/>
            <w:noWrap w:val="0"/>
            <w:vAlign w:val="center"/>
          </w:tcPr>
          <w:p>
            <w:pPr>
              <w:jc w:val="center"/>
              <w:rPr>
                <w:rFonts w:ascii="宋体" w:hAnsi="宋体"/>
                <w:sz w:val="24"/>
              </w:rPr>
            </w:pPr>
            <w:r>
              <w:rPr>
                <w:rFonts w:ascii="宋体" w:hAnsi="宋体"/>
                <w:sz w:val="24"/>
              </w:rPr>
              <w:t>9</w:t>
            </w:r>
          </w:p>
        </w:tc>
        <w:tc>
          <w:tcPr>
            <w:tcW w:w="1915" w:type="pct"/>
            <w:noWrap w:val="0"/>
            <w:vAlign w:val="center"/>
          </w:tcPr>
          <w:p>
            <w:pPr>
              <w:jc w:val="center"/>
              <w:rPr>
                <w:rFonts w:ascii="宋体" w:hAnsi="宋体"/>
                <w:sz w:val="24"/>
              </w:rPr>
            </w:pPr>
            <w:r>
              <w:rPr>
                <w:rFonts w:hint="eastAsia" w:ascii="宋体" w:hAnsi="宋体"/>
                <w:sz w:val="24"/>
              </w:rPr>
              <w:t>综合布线施工</w:t>
            </w:r>
          </w:p>
        </w:tc>
        <w:tc>
          <w:tcPr>
            <w:tcW w:w="1122" w:type="pct"/>
            <w:noWrap w:val="0"/>
            <w:vAlign w:val="center"/>
          </w:tcPr>
          <w:p>
            <w:pPr>
              <w:jc w:val="center"/>
              <w:rPr>
                <w:rFonts w:ascii="宋体" w:hAnsi="宋体"/>
                <w:sz w:val="24"/>
              </w:rPr>
            </w:pPr>
            <w:r>
              <w:rPr>
                <w:rFonts w:hint="eastAsia" w:ascii="宋体" w:hAnsi="宋体"/>
                <w:sz w:val="24"/>
              </w:rPr>
              <w:t>1</w:t>
            </w:r>
          </w:p>
        </w:tc>
        <w:tc>
          <w:tcPr>
            <w:tcW w:w="1192" w:type="pct"/>
            <w:noWrap w:val="0"/>
            <w:vAlign w:val="center"/>
          </w:tcPr>
          <w:p>
            <w:pPr>
              <w:jc w:val="center"/>
              <w:rPr>
                <w:rFonts w:ascii="宋体" w:hAnsi="宋体"/>
                <w:sz w:val="24"/>
              </w:rPr>
            </w:pPr>
          </w:p>
        </w:tc>
      </w:tr>
    </w:tbl>
    <w:p>
      <w:pPr>
        <w:spacing w:line="360" w:lineRule="auto"/>
        <w:rPr>
          <w:rFonts w:hint="eastAsia"/>
          <w:sz w:val="24"/>
          <w:szCs w:val="24"/>
        </w:rPr>
      </w:pPr>
      <w:r>
        <w:rPr>
          <w:rFonts w:hint="eastAsia"/>
          <w:sz w:val="24"/>
          <w:szCs w:val="24"/>
        </w:rPr>
        <w:t>5、主要设备参数及要求</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5.1无线控制器（1台）</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411"/>
        <w:gridCol w:w="6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b/>
                <w:color w:val="000000"/>
              </w:rPr>
            </w:pPr>
            <w:r>
              <w:rPr>
                <w:rFonts w:ascii="宋体" w:hAnsi="宋体" w:cs="Arial"/>
                <w:b/>
                <w:color w:val="000000"/>
              </w:rPr>
              <w:t>序号</w:t>
            </w:r>
          </w:p>
        </w:tc>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b/>
                <w:color w:val="000000"/>
              </w:rPr>
            </w:pPr>
            <w:r>
              <w:rPr>
                <w:rFonts w:ascii="宋体" w:hAnsi="宋体" w:cs="Arial"/>
                <w:b/>
                <w:color w:val="000000"/>
              </w:rPr>
              <w:t>指标项</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b/>
                <w:color w:val="000000"/>
              </w:rPr>
            </w:pPr>
            <w:r>
              <w:rPr>
                <w:rFonts w:ascii="宋体" w:hAnsi="宋体" w:cs="Arial"/>
                <w:b/>
                <w:color w:val="000000"/>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1</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hint="eastAsia" w:ascii="宋体" w:hAnsi="宋体" w:cs="宋体"/>
              </w:rPr>
              <w:t>▲</w:t>
            </w:r>
            <w:r>
              <w:rPr>
                <w:rFonts w:ascii="宋体" w:hAnsi="宋体" w:cs="Arial"/>
                <w:color w:val="000000"/>
              </w:rPr>
              <w:t>管理AP</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单台实配硬件满足管理AP数量≥2048个。</w:t>
            </w:r>
          </w:p>
          <w:p>
            <w:pPr>
              <w:autoSpaceDE w:val="0"/>
              <w:autoSpaceDN w:val="0"/>
              <w:rPr>
                <w:rFonts w:ascii="宋体" w:hAnsi="宋体" w:cs="Arial"/>
                <w:color w:val="000000"/>
              </w:rPr>
            </w:pPr>
            <w:r>
              <w:rPr>
                <w:rFonts w:ascii="宋体" w:hAnsi="宋体" w:cs="Arial"/>
                <w:color w:val="000000"/>
              </w:rPr>
              <w:t>管理AP许可不少于373</w:t>
            </w:r>
          </w:p>
          <w:p>
            <w:pPr>
              <w:autoSpaceDE w:val="0"/>
              <w:autoSpaceDN w:val="0"/>
              <w:rPr>
                <w:rFonts w:ascii="宋体" w:hAnsi="宋体" w:cs="Arial"/>
                <w:color w:val="000000"/>
              </w:rPr>
            </w:pPr>
            <w:r>
              <w:rPr>
                <w:rFonts w:ascii="宋体" w:hAnsi="宋体" w:cs="Arial"/>
                <w:color w:val="000000"/>
              </w:rPr>
              <w:t>安全策略许可不少于373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2</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hint="eastAsia" w:ascii="宋体" w:hAnsi="宋体" w:cs="宋体"/>
              </w:rPr>
              <w:t>▲</w:t>
            </w:r>
            <w:r>
              <w:rPr>
                <w:rFonts w:ascii="宋体" w:hAnsi="宋体" w:cs="Arial"/>
                <w:color w:val="000000"/>
              </w:rPr>
              <w:t>接口要求</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万兆端口数≥4个</w:t>
            </w:r>
          </w:p>
          <w:p>
            <w:pPr>
              <w:autoSpaceDE w:val="0"/>
              <w:autoSpaceDN w:val="0"/>
              <w:rPr>
                <w:rFonts w:ascii="宋体" w:hAnsi="宋体" w:cs="Arial"/>
                <w:color w:val="000000"/>
              </w:rPr>
            </w:pPr>
            <w:r>
              <w:rPr>
                <w:rFonts w:ascii="宋体" w:hAnsi="宋体" w:cs="Arial"/>
                <w:color w:val="000000"/>
              </w:rPr>
              <w:t>千兆端口数≥2个（光电复用）</w:t>
            </w:r>
          </w:p>
          <w:p>
            <w:pPr>
              <w:autoSpaceDE w:val="0"/>
              <w:autoSpaceDN w:val="0"/>
              <w:rPr>
                <w:rFonts w:ascii="宋体" w:hAnsi="宋体" w:cs="Arial"/>
                <w:color w:val="000000"/>
              </w:rPr>
            </w:pPr>
            <w:r>
              <w:rPr>
                <w:rFonts w:ascii="宋体" w:hAnsi="宋体" w:cs="Arial"/>
                <w:color w:val="000000"/>
              </w:rPr>
              <w:t>每台实际配置2个多模万兆光模块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3</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Segoe UI Symbol"/>
                <w:color w:val="000000"/>
              </w:rPr>
              <w:t>★</w:t>
            </w:r>
            <w:r>
              <w:rPr>
                <w:rFonts w:ascii="宋体" w:hAnsi="宋体" w:cs="Arial"/>
                <w:color w:val="000000"/>
              </w:rPr>
              <w:t>组网要求</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bookmarkStart w:id="139" w:name="OLE_LINK10"/>
            <w:bookmarkStart w:id="140" w:name="OLE_LINK11"/>
            <w:r>
              <w:rPr>
                <w:rFonts w:ascii="宋体" w:hAnsi="宋体" w:cs="Arial"/>
                <w:color w:val="000000"/>
              </w:rPr>
              <w:t>投标</w:t>
            </w:r>
            <w:r>
              <w:rPr>
                <w:rFonts w:hint="eastAsia" w:ascii="宋体" w:hAnsi="宋体" w:cs="Arial"/>
                <w:color w:val="000000"/>
              </w:rPr>
              <w:t>产品需</w:t>
            </w:r>
            <w:r>
              <w:rPr>
                <w:rFonts w:ascii="宋体" w:hAnsi="宋体" w:cs="Arial"/>
                <w:color w:val="000000"/>
              </w:rPr>
              <w:t>与</w:t>
            </w:r>
            <w:r>
              <w:rPr>
                <w:rFonts w:hint="eastAsia" w:ascii="宋体" w:hAnsi="宋体" w:cs="Arial"/>
                <w:color w:val="000000"/>
              </w:rPr>
              <w:t>陕西科技大学</w:t>
            </w:r>
            <w:r>
              <w:rPr>
                <w:rFonts w:ascii="宋体" w:hAnsi="宋体" w:cs="Arial"/>
                <w:color w:val="000000"/>
              </w:rPr>
              <w:t>现网运行的无线控制器（2台安移通7220无线控制器）组建集群</w:t>
            </w:r>
            <w:bookmarkEnd w:id="139"/>
            <w:bookmarkEnd w:id="140"/>
            <w:r>
              <w:rPr>
                <w:rFonts w:ascii="宋体" w:hAnsi="宋体" w:cs="Arial"/>
                <w:color w:val="000000"/>
              </w:rPr>
              <w:t>。（集群内的无线控制器能够满足N+1冗余备份，实现对全网的AP和无线终端统一管理、认证、漫游和应用管理）</w:t>
            </w:r>
            <w:r>
              <w:rPr>
                <w:rFonts w:hint="eastAsia" w:ascii="宋体" w:hAnsi="宋体" w:cs="Arial"/>
                <w:color w:val="000000"/>
              </w:rPr>
              <w:t>，</w:t>
            </w:r>
            <w:r>
              <w:rPr>
                <w:rFonts w:ascii="宋体" w:hAnsi="宋体" w:cs="Arial"/>
                <w:color w:val="000000"/>
              </w:rPr>
              <w:t>提供可实现功能的相关证明材料</w:t>
            </w:r>
            <w:r>
              <w:rPr>
                <w:rFonts w:hint="eastAsia" w:ascii="宋体" w:hAnsi="宋体" w:cs="Arial"/>
                <w:color w:val="000000"/>
              </w:rPr>
              <w:t>，</w:t>
            </w:r>
            <w:r>
              <w:rPr>
                <w:rFonts w:ascii="宋体" w:hAnsi="宋体" w:cs="Arial"/>
                <w:color w:val="000000"/>
                <w:highlight w:val="none"/>
              </w:rPr>
              <w:t>加盖生产厂商</w:t>
            </w:r>
            <w:r>
              <w:rPr>
                <w:rFonts w:hint="eastAsia" w:ascii="宋体" w:hAnsi="宋体" w:cs="Arial"/>
                <w:color w:val="000000"/>
                <w:highlight w:val="none"/>
              </w:rPr>
              <w:t>公</w:t>
            </w:r>
            <w:r>
              <w:rPr>
                <w:rFonts w:ascii="宋体" w:hAnsi="宋体" w:cs="Arial"/>
                <w:color w:val="000000"/>
                <w:highlight w:val="none"/>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4</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IPv6</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支持IPv4/IPv6双栈协议，支持在纯IPv6网络中部署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5</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干扰避免</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AP可以实时探测电磁波信号，针对无线环境中的电磁干扰作出分析和报告，并自动进行规避。支持对非WIFI干扰源(如微波炉,无绳电话等)的识别和规避。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6</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射频优化</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基于AP、频段和信道的负载均衡，支持在802.11a/b/g/n的混合模式下的无线用户流量整型功能，支持AP公平时分模式和针对终端的优化模式。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7</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组播协议</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要求具备良好的组播业务优化支持能力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8</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频谱分析</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支持自动实时射频频谱分析，通过无线控制器的管理界面，实时查看FFT图、占空比图、干扰设备列表、信道占用率列表、干扰功率列表、信道质量列表等。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9</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设备类型识别和控制</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支持自动设别终端类型，并针对不同设备作相应的安全控制策略，支持不同的终端类型赋予不同的Portal认证页面与欢迎页面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10</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应用识别</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kern w:val="0"/>
              </w:rPr>
              <w:t>可以识别出常用的应用类型，如微信、QQ、流媒体、购物、游戏、WEB、IP地址和端口，并通过图形界面显示流量和用户数，管理人员可以根据不同应用限制带宽或拒绝访问。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11</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安全功能</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 xml:space="preserve">支持用户之间的隔离；支持ARP攻击防御 ， </w:t>
            </w:r>
          </w:p>
          <w:p>
            <w:pPr>
              <w:autoSpaceDE w:val="0"/>
              <w:autoSpaceDN w:val="0"/>
              <w:rPr>
                <w:rFonts w:ascii="宋体" w:hAnsi="宋体" w:cs="Arial"/>
                <w:color w:val="000000"/>
              </w:rPr>
            </w:pPr>
            <w:r>
              <w:rPr>
                <w:rFonts w:ascii="宋体" w:hAnsi="宋体" w:cs="Arial"/>
                <w:color w:val="000000"/>
              </w:rPr>
              <w:t>支持强制DHCP获取IP地址的用户才能正常上网；</w:t>
            </w:r>
          </w:p>
          <w:p>
            <w:pPr>
              <w:autoSpaceDE w:val="0"/>
              <w:autoSpaceDN w:val="0"/>
              <w:rPr>
                <w:rFonts w:ascii="宋体" w:hAnsi="宋体" w:cs="Arial"/>
                <w:color w:val="000000"/>
              </w:rPr>
            </w:pPr>
            <w:r>
              <w:rPr>
                <w:rFonts w:ascii="宋体" w:hAnsi="宋体" w:cs="Arial"/>
                <w:color w:val="000000"/>
              </w:rPr>
              <w:t>支持基于IP、域名、端口的安全控制；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12</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Segoe UI Symbol"/>
                <w:color w:val="000000"/>
              </w:rPr>
              <w:t>★</w:t>
            </w:r>
            <w:r>
              <w:rPr>
                <w:rFonts w:ascii="宋体" w:hAnsi="宋体" w:cs="Arial"/>
                <w:color w:val="000000"/>
              </w:rPr>
              <w:t>防火墙功能</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支持基于用户身份的策略控制，并具备基于应用感知的服务质量控制，针对无线网络实施应用层的安全、优先级、流量转发以及网络性能策略。无线控制器可以在整个网络中对所有流量实现用户感知，为每位用户实施有状态防火墙实例，从而严格控制允许用户执行的操作，并提供用户分类之间的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13</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Segoe UI Symbol"/>
                <w:color w:val="000000"/>
              </w:rPr>
              <w:t>★</w:t>
            </w:r>
            <w:r>
              <w:rPr>
                <w:rFonts w:hint="eastAsia" w:ascii="宋体" w:hAnsi="宋体" w:cs="Arial"/>
                <w:color w:val="000000"/>
              </w:rPr>
              <w:t>物联网</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hint="eastAsia" w:ascii="宋体" w:hAnsi="宋体" w:cs="Arial"/>
                <w:color w:val="000000"/>
              </w:rPr>
              <w:t>支持物联网设备的准入认证和安全控制。</w:t>
            </w:r>
          </w:p>
          <w:p>
            <w:pPr>
              <w:autoSpaceDE w:val="0"/>
              <w:autoSpaceDN w:val="0"/>
              <w:rPr>
                <w:rFonts w:ascii="宋体" w:hAnsi="宋体" w:cs="Arial"/>
                <w:color w:val="000000"/>
              </w:rPr>
            </w:pPr>
            <w:r>
              <w:rPr>
                <w:rFonts w:hint="eastAsia" w:ascii="宋体" w:hAnsi="宋体" w:cs="Arial"/>
                <w:color w:val="000000"/>
              </w:rPr>
              <w:t>基于无线网和有线网设备，可以构建物联网专网，支持跨多园区，支持远程接入。</w:t>
            </w:r>
          </w:p>
          <w:p>
            <w:pPr>
              <w:autoSpaceDE w:val="0"/>
              <w:autoSpaceDN w:val="0"/>
              <w:rPr>
                <w:rFonts w:ascii="宋体" w:hAnsi="宋体" w:cs="Arial"/>
                <w:color w:val="000000"/>
              </w:rPr>
            </w:pPr>
            <w:r>
              <w:rPr>
                <w:rFonts w:hint="eastAsia" w:ascii="宋体" w:hAnsi="宋体" w:cs="Arial"/>
                <w:color w:val="000000"/>
              </w:rPr>
              <w:t>每个物联网应用，可以使用独立的物理控制器，设置独立的安全控制策略。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14</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可靠性</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支持1+1、N+1、N+N动态冗余备份方式；</w:t>
            </w:r>
          </w:p>
          <w:p>
            <w:pPr>
              <w:autoSpaceDE w:val="0"/>
              <w:autoSpaceDN w:val="0"/>
              <w:rPr>
                <w:rFonts w:ascii="宋体" w:hAnsi="宋体" w:cs="Arial"/>
                <w:color w:val="000000"/>
              </w:rPr>
            </w:pPr>
            <w:r>
              <w:rPr>
                <w:rFonts w:ascii="宋体" w:hAnsi="宋体" w:cs="Arial"/>
                <w:color w:val="000000"/>
              </w:rPr>
              <w:t>支持集群工作模式（主从结构），通过主控制器统一管理其他控制器；</w:t>
            </w:r>
          </w:p>
          <w:p>
            <w:pPr>
              <w:autoSpaceDE w:val="0"/>
              <w:autoSpaceDN w:val="0"/>
              <w:rPr>
                <w:rFonts w:ascii="宋体" w:hAnsi="宋体" w:cs="Arial"/>
                <w:color w:val="000000"/>
              </w:rPr>
            </w:pPr>
            <w:r>
              <w:rPr>
                <w:rFonts w:ascii="宋体" w:hAnsi="宋体" w:cs="Arial"/>
                <w:color w:val="000000"/>
              </w:rPr>
              <w:t>集群中的每台无线控制器可以单独升级，不同控制器的软件版本可以不一致。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15</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漫游</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支持主动引导无线终端到最佳AP、最佳频段、最佳信道，提升用户体验。</w:t>
            </w:r>
          </w:p>
          <w:p>
            <w:pPr>
              <w:autoSpaceDE w:val="0"/>
              <w:autoSpaceDN w:val="0"/>
              <w:rPr>
                <w:rFonts w:ascii="宋体" w:hAnsi="宋体" w:cs="Arial"/>
                <w:color w:val="000000"/>
              </w:rPr>
            </w:pPr>
            <w:r>
              <w:rPr>
                <w:rFonts w:ascii="宋体" w:hAnsi="宋体" w:cs="Arial"/>
                <w:color w:val="000000"/>
              </w:rPr>
              <w:t>无线用户跨不同无线控制器管理的AP漫游，0丢包。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16</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软件系统</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支持保修期内无线控制器软件免费升级；</w:t>
            </w:r>
          </w:p>
          <w:p>
            <w:pPr>
              <w:autoSpaceDE w:val="0"/>
              <w:autoSpaceDN w:val="0"/>
              <w:rPr>
                <w:rFonts w:ascii="宋体" w:hAnsi="宋体" w:cs="Arial"/>
                <w:color w:val="000000"/>
              </w:rPr>
            </w:pPr>
            <w:r>
              <w:rPr>
                <w:rFonts w:ascii="宋体" w:hAnsi="宋体" w:cs="Arial"/>
                <w:color w:val="000000"/>
              </w:rPr>
              <w:t>提供丰富的API接口。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ascii="宋体" w:hAnsi="宋体" w:cs="Arial"/>
                <w:color w:val="000000"/>
              </w:rPr>
              <w:t>17</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供电</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ascii="宋体" w:hAnsi="宋体" w:cs="Arial"/>
                <w:color w:val="000000"/>
              </w:rPr>
              <w:t>冗余电源</w:t>
            </w:r>
          </w:p>
          <w:p>
            <w:pPr>
              <w:autoSpaceDE w:val="0"/>
              <w:autoSpaceDN w:val="0"/>
              <w:rPr>
                <w:rFonts w:ascii="宋体" w:hAnsi="宋体" w:cs="Arial"/>
                <w:color w:val="000000"/>
              </w:rPr>
            </w:pPr>
            <w:r>
              <w:rPr>
                <w:rFonts w:ascii="宋体" w:hAnsi="宋体" w:cs="Arial"/>
                <w:color w:val="000000"/>
              </w:rPr>
              <w:t>AC 输入电压：100 VAC 到 240 VAC</w:t>
            </w:r>
          </w:p>
          <w:p>
            <w:pPr>
              <w:autoSpaceDE w:val="0"/>
              <w:autoSpaceDN w:val="0"/>
              <w:rPr>
                <w:rFonts w:ascii="宋体" w:hAnsi="宋体" w:cs="Arial"/>
                <w:color w:val="000000"/>
              </w:rPr>
            </w:pPr>
            <w:r>
              <w:rPr>
                <w:rFonts w:ascii="宋体" w:hAnsi="宋体" w:cs="Arial"/>
                <w:color w:val="000000"/>
              </w:rPr>
              <w:t>AC 输入频率：50-60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hint="eastAsia" w:ascii="宋体" w:hAnsi="宋体" w:cs="Arial"/>
                <w:color w:val="000000"/>
              </w:rPr>
              <w:t>1</w:t>
            </w:r>
            <w:r>
              <w:rPr>
                <w:rFonts w:ascii="宋体" w:hAnsi="宋体" w:cs="Arial"/>
                <w:color w:val="000000"/>
              </w:rPr>
              <w:t>8</w:t>
            </w:r>
          </w:p>
        </w:tc>
        <w:tc>
          <w:tcPr>
            <w:tcW w:w="82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hint="eastAsia" w:ascii="宋体" w:hAnsi="宋体" w:cs="宋体"/>
              </w:rPr>
              <w:t>▲</w:t>
            </w:r>
            <w:r>
              <w:rPr>
                <w:rFonts w:hint="eastAsia" w:ascii="宋体" w:hAnsi="宋体" w:cs="Arial"/>
                <w:color w:val="000000"/>
              </w:rPr>
              <w:t>质保</w:t>
            </w:r>
            <w:r>
              <w:rPr>
                <w:rFonts w:ascii="宋体" w:hAnsi="宋体" w:cs="Arial"/>
                <w:color w:val="000000"/>
              </w:rPr>
              <w:t>要求</w:t>
            </w:r>
          </w:p>
        </w:tc>
        <w:tc>
          <w:tcPr>
            <w:tcW w:w="37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宋体" w:hAnsi="宋体" w:cs="Arial"/>
                <w:color w:val="000000"/>
              </w:rPr>
            </w:pPr>
            <w:r>
              <w:rPr>
                <w:rFonts w:hint="eastAsia" w:ascii="宋体" w:hAnsi="宋体" w:cs="Arial"/>
                <w:color w:val="000000"/>
              </w:rPr>
              <w:t>提供不少于3年原厂质保服务，提供</w:t>
            </w:r>
            <w:r>
              <w:rPr>
                <w:rFonts w:hint="eastAsia" w:hAnsi="宋体"/>
              </w:rPr>
              <w:t>服务承诺证明文件</w:t>
            </w:r>
          </w:p>
        </w:tc>
      </w:tr>
    </w:tbl>
    <w:p>
      <w:pPr>
        <w:rPr>
          <w:rFonts w:hint="eastAsia" w:ascii="宋体" w:hAnsi="宋体" w:cs="宋体"/>
          <w:sz w:val="24"/>
          <w:szCs w:val="24"/>
        </w:rPr>
      </w:pPr>
      <w:r>
        <w:rPr>
          <w:rFonts w:hint="eastAsia" w:ascii="宋体" w:hAnsi="宋体" w:cs="宋体"/>
          <w:sz w:val="24"/>
          <w:szCs w:val="24"/>
        </w:rPr>
        <w:br w:type="page"/>
      </w:r>
    </w:p>
    <w:p>
      <w:pPr>
        <w:rPr>
          <w:rFonts w:hint="eastAsia" w:ascii="宋体" w:hAnsi="宋体" w:cs="宋体"/>
          <w:b/>
          <w:bCs/>
          <w:sz w:val="24"/>
          <w:szCs w:val="24"/>
        </w:rPr>
      </w:pPr>
      <w:r>
        <w:rPr>
          <w:rFonts w:hint="eastAsia" w:ascii="宋体" w:hAnsi="宋体" w:cs="宋体"/>
          <w:b/>
          <w:bCs/>
          <w:sz w:val="24"/>
          <w:szCs w:val="24"/>
        </w:rPr>
        <w:t>5.2无线管理平台（1套）</w:t>
      </w:r>
    </w:p>
    <w:tbl>
      <w:tblPr>
        <w:tblStyle w:val="24"/>
        <w:tblW w:w="5000" w:type="pct"/>
        <w:tblInd w:w="0" w:type="dxa"/>
        <w:tblLayout w:type="autofit"/>
        <w:tblCellMar>
          <w:top w:w="0" w:type="dxa"/>
          <w:left w:w="108" w:type="dxa"/>
          <w:bottom w:w="0" w:type="dxa"/>
          <w:right w:w="108" w:type="dxa"/>
        </w:tblCellMar>
      </w:tblPr>
      <w:tblGrid>
        <w:gridCol w:w="652"/>
        <w:gridCol w:w="1276"/>
        <w:gridCol w:w="6588"/>
      </w:tblGrid>
      <w:tr>
        <w:tblPrEx>
          <w:tblCellMar>
            <w:top w:w="0" w:type="dxa"/>
            <w:left w:w="108" w:type="dxa"/>
            <w:bottom w:w="0" w:type="dxa"/>
            <w:right w:w="108" w:type="dxa"/>
          </w:tblCellMar>
        </w:tblPrEx>
        <w:trPr>
          <w:trHeight w:val="517"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b/>
              </w:rPr>
            </w:pPr>
            <w:r>
              <w:rPr>
                <w:rFonts w:ascii="宋体" w:hAnsi="宋体" w:cs="Arial"/>
                <w:b/>
              </w:rPr>
              <w:t>序号</w:t>
            </w:r>
          </w:p>
        </w:tc>
        <w:tc>
          <w:tcPr>
            <w:tcW w:w="749" w:type="pct"/>
            <w:tcBorders>
              <w:top w:val="single" w:color="000000" w:sz="4" w:space="0"/>
              <w:left w:val="nil"/>
              <w:bottom w:val="single" w:color="000000" w:sz="4" w:space="0"/>
              <w:right w:val="single" w:color="000000" w:sz="4" w:space="0"/>
            </w:tcBorders>
            <w:noWrap w:val="0"/>
            <w:vAlign w:val="center"/>
          </w:tcPr>
          <w:p>
            <w:pPr>
              <w:jc w:val="center"/>
              <w:rPr>
                <w:rFonts w:ascii="宋体" w:hAnsi="宋体" w:cs="Arial"/>
                <w:b/>
              </w:rPr>
            </w:pPr>
            <w:r>
              <w:rPr>
                <w:rFonts w:ascii="宋体" w:hAnsi="宋体" w:cs="Arial"/>
                <w:b/>
              </w:rPr>
              <w:t>指标项</w:t>
            </w:r>
          </w:p>
        </w:tc>
        <w:tc>
          <w:tcPr>
            <w:tcW w:w="3867" w:type="pct"/>
            <w:tcBorders>
              <w:top w:val="single" w:color="000000" w:sz="4" w:space="0"/>
              <w:left w:val="nil"/>
              <w:bottom w:val="single" w:color="000000" w:sz="4" w:space="0"/>
              <w:right w:val="single" w:color="000000" w:sz="4" w:space="0"/>
            </w:tcBorders>
            <w:noWrap w:val="0"/>
            <w:vAlign w:val="center"/>
          </w:tcPr>
          <w:p>
            <w:pPr>
              <w:jc w:val="center"/>
              <w:rPr>
                <w:rFonts w:ascii="宋体" w:hAnsi="宋体" w:cs="Arial"/>
                <w:b/>
              </w:rPr>
            </w:pPr>
            <w:r>
              <w:rPr>
                <w:rFonts w:ascii="宋体" w:hAnsi="宋体" w:cs="Arial"/>
                <w:b/>
              </w:rPr>
              <w:t>指标要求</w:t>
            </w:r>
          </w:p>
        </w:tc>
      </w:tr>
      <w:tr>
        <w:tblPrEx>
          <w:tblCellMar>
            <w:top w:w="0" w:type="dxa"/>
            <w:left w:w="108" w:type="dxa"/>
            <w:bottom w:w="0" w:type="dxa"/>
            <w:right w:w="108" w:type="dxa"/>
          </w:tblCellMar>
        </w:tblPrEx>
        <w:trPr>
          <w:trHeight w:val="45"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1</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部署环境</w:t>
            </w:r>
          </w:p>
        </w:tc>
        <w:tc>
          <w:tcPr>
            <w:tcW w:w="3867"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支持物理服务器或Vmware、Hyper-V等虚拟化平台部署。</w:t>
            </w:r>
          </w:p>
        </w:tc>
      </w:tr>
      <w:tr>
        <w:tblPrEx>
          <w:tblCellMar>
            <w:top w:w="0" w:type="dxa"/>
            <w:left w:w="108" w:type="dxa"/>
            <w:bottom w:w="0" w:type="dxa"/>
            <w:right w:w="108" w:type="dxa"/>
          </w:tblCellMar>
        </w:tblPrEx>
        <w:trPr>
          <w:trHeight w:val="45"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2</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ascii="宋体" w:hAnsi="宋体" w:cs="Segoe UI Symbol"/>
              </w:rPr>
              <w:t>★</w:t>
            </w:r>
            <w:r>
              <w:rPr>
                <w:rFonts w:hint="eastAsia" w:ascii="宋体" w:hAnsi="宋体" w:cs="宋体"/>
              </w:rPr>
              <w:t>管控容量</w:t>
            </w:r>
          </w:p>
        </w:tc>
        <w:tc>
          <w:tcPr>
            <w:tcW w:w="3867"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支持平滑扩容，支持AC≥</w:t>
            </w:r>
            <w:r>
              <w:rPr>
                <w:rFonts w:ascii="宋体" w:hAnsi="宋体" w:cs="宋体"/>
              </w:rPr>
              <w:t>50</w:t>
            </w:r>
            <w:r>
              <w:rPr>
                <w:rFonts w:hint="eastAsia" w:ascii="宋体" w:hAnsi="宋体" w:cs="宋体"/>
              </w:rPr>
              <w:t>个，AP≥</w:t>
            </w:r>
            <w:r>
              <w:rPr>
                <w:rFonts w:ascii="宋体" w:hAnsi="宋体" w:cs="宋体"/>
              </w:rPr>
              <w:t>5</w:t>
            </w:r>
            <w:r>
              <w:rPr>
                <w:rFonts w:hint="eastAsia" w:ascii="宋体" w:hAnsi="宋体" w:cs="宋体"/>
              </w:rPr>
              <w:t>00</w:t>
            </w:r>
            <w:r>
              <w:rPr>
                <w:rFonts w:ascii="宋体" w:hAnsi="宋体" w:cs="宋体"/>
              </w:rPr>
              <w:t>0</w:t>
            </w:r>
            <w:r>
              <w:rPr>
                <w:rFonts w:hint="eastAsia" w:ascii="宋体" w:hAnsi="宋体" w:cs="宋体"/>
              </w:rPr>
              <w:t>。</w:t>
            </w:r>
          </w:p>
        </w:tc>
      </w:tr>
      <w:tr>
        <w:tblPrEx>
          <w:tblCellMar>
            <w:top w:w="0" w:type="dxa"/>
            <w:left w:w="108" w:type="dxa"/>
            <w:bottom w:w="0" w:type="dxa"/>
            <w:right w:w="108" w:type="dxa"/>
          </w:tblCellMar>
        </w:tblPrEx>
        <w:trPr>
          <w:trHeight w:val="1416"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3</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ascii="宋体" w:hAnsi="宋体" w:cs="Segoe UI Symbol"/>
              </w:rPr>
              <w:t>★</w:t>
            </w:r>
            <w:r>
              <w:rPr>
                <w:rFonts w:hint="eastAsia" w:ascii="宋体" w:hAnsi="宋体" w:cs="宋体"/>
              </w:rPr>
              <w:t>控制器集群支持</w:t>
            </w:r>
          </w:p>
        </w:tc>
        <w:tc>
          <w:tcPr>
            <w:tcW w:w="3867" w:type="pc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kern w:val="0"/>
              </w:rPr>
            </w:pPr>
            <w:r>
              <w:rPr>
                <w:rFonts w:hint="eastAsia" w:ascii="宋体" w:hAnsi="宋体" w:cs="宋体"/>
                <w:kern w:val="0"/>
              </w:rPr>
              <w:t>支持管理和组建多个控制器集群，单集群支持控制器数量 ≥1</w:t>
            </w:r>
            <w:r>
              <w:rPr>
                <w:rFonts w:ascii="宋体" w:hAnsi="宋体" w:cs="宋体"/>
                <w:kern w:val="0"/>
              </w:rPr>
              <w:t>0</w:t>
            </w:r>
            <w:r>
              <w:rPr>
                <w:rFonts w:hint="eastAsia" w:ascii="宋体" w:hAnsi="宋体" w:cs="宋体"/>
                <w:kern w:val="0"/>
              </w:rPr>
              <w:t>个</w:t>
            </w:r>
          </w:p>
          <w:p>
            <w:pPr>
              <w:widowControl/>
              <w:jc w:val="center"/>
              <w:rPr>
                <w:rFonts w:ascii="宋体" w:hAnsi="宋体" w:cs="宋体"/>
                <w:kern w:val="0"/>
              </w:rPr>
            </w:pPr>
            <w:r>
              <w:rPr>
                <w:rFonts w:ascii="宋体" w:hAnsi="宋体" w:cs="宋体"/>
                <w:kern w:val="0"/>
              </w:rPr>
              <w:t>单一配置界面管理，仅需要登录一个IP的WEB管理页面</w:t>
            </w:r>
            <w:r>
              <w:rPr>
                <w:rFonts w:hint="eastAsia" w:ascii="宋体" w:hAnsi="宋体" w:cs="宋体"/>
                <w:kern w:val="0"/>
              </w:rPr>
              <w:t>(或SSH命令行</w:t>
            </w:r>
            <w:r>
              <w:rPr>
                <w:rFonts w:ascii="宋体" w:hAnsi="宋体" w:cs="宋体"/>
                <w:kern w:val="0"/>
              </w:rPr>
              <w:t>)，就可以对所有控制器和AP进行统一的配置和监控</w:t>
            </w:r>
            <w:r>
              <w:rPr>
                <w:rFonts w:hint="eastAsia" w:ascii="宋体" w:hAnsi="宋体" w:cs="宋体"/>
                <w:kern w:val="0"/>
              </w:rPr>
              <w:t>。</w:t>
            </w:r>
          </w:p>
          <w:p>
            <w:pPr>
              <w:widowControl/>
              <w:jc w:val="center"/>
              <w:rPr>
                <w:rFonts w:ascii="宋体" w:hAnsi="宋体" w:cs="宋体"/>
                <w:kern w:val="0"/>
              </w:rPr>
            </w:pPr>
            <w:r>
              <w:rPr>
                <w:rFonts w:ascii="宋体" w:hAnsi="宋体" w:cs="宋体"/>
                <w:kern w:val="0"/>
              </w:rPr>
              <w:t>支持</w:t>
            </w:r>
            <w:r>
              <w:rPr>
                <w:rFonts w:hint="eastAsia" w:ascii="宋体" w:hAnsi="宋体" w:cs="宋体"/>
                <w:kern w:val="0"/>
              </w:rPr>
              <w:t>业务不中断实时</w:t>
            </w:r>
            <w:r>
              <w:rPr>
                <w:rFonts w:ascii="宋体" w:hAnsi="宋体" w:cs="宋体"/>
                <w:kern w:val="0"/>
              </w:rPr>
              <w:t>更新</w:t>
            </w:r>
            <w:r>
              <w:rPr>
                <w:rFonts w:hint="eastAsia" w:ascii="宋体" w:hAnsi="宋体" w:cs="宋体"/>
                <w:kern w:val="0"/>
              </w:rPr>
              <w:t>无线网络系统。</w:t>
            </w:r>
          </w:p>
        </w:tc>
      </w:tr>
      <w:tr>
        <w:tblPrEx>
          <w:tblCellMar>
            <w:top w:w="0" w:type="dxa"/>
            <w:left w:w="108" w:type="dxa"/>
            <w:bottom w:w="0" w:type="dxa"/>
            <w:right w:w="108" w:type="dxa"/>
          </w:tblCellMar>
        </w:tblPrEx>
        <w:trPr>
          <w:trHeight w:val="46"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4</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多区域安全</w:t>
            </w:r>
          </w:p>
        </w:tc>
        <w:tc>
          <w:tcPr>
            <w:tcW w:w="3867"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支持同一个AP上的SSID同时被不同的控制器管理和配置，并且与相应控制器建立不同的数据传输通道，数据传输的分流和安全隔离。</w:t>
            </w:r>
          </w:p>
        </w:tc>
      </w:tr>
      <w:tr>
        <w:tblPrEx>
          <w:tblCellMar>
            <w:top w:w="0" w:type="dxa"/>
            <w:left w:w="108" w:type="dxa"/>
            <w:bottom w:w="0" w:type="dxa"/>
            <w:right w:w="108" w:type="dxa"/>
          </w:tblCellMar>
        </w:tblPrEx>
        <w:trPr>
          <w:trHeight w:val="45"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5</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扩展API接口</w:t>
            </w:r>
          </w:p>
        </w:tc>
        <w:tc>
          <w:tcPr>
            <w:tcW w:w="3867"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支持API接口，以易于集成的格式提供RF健康度量、应用程序利用率、设备类型和用户数据的信息。</w:t>
            </w:r>
          </w:p>
        </w:tc>
      </w:tr>
      <w:tr>
        <w:tblPrEx>
          <w:tblCellMar>
            <w:top w:w="0" w:type="dxa"/>
            <w:left w:w="108" w:type="dxa"/>
            <w:bottom w:w="0" w:type="dxa"/>
            <w:right w:w="108" w:type="dxa"/>
          </w:tblCellMar>
        </w:tblPrEx>
        <w:trPr>
          <w:trHeight w:val="45"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6</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功能模块在线升级</w:t>
            </w:r>
          </w:p>
        </w:tc>
        <w:tc>
          <w:tcPr>
            <w:tcW w:w="3867" w:type="pct"/>
            <w:tcBorders>
              <w:top w:val="single" w:color="000000" w:sz="4" w:space="0"/>
              <w:left w:val="nil"/>
              <w:bottom w:val="single" w:color="000000" w:sz="4" w:space="0"/>
              <w:right w:val="single" w:color="000000" w:sz="4" w:space="0"/>
            </w:tcBorders>
            <w:noWrap w:val="0"/>
            <w:vAlign w:val="center"/>
          </w:tcPr>
          <w:p>
            <w:pPr>
              <w:pStyle w:val="100"/>
              <w:jc w:val="center"/>
              <w:rPr>
                <w:rFonts w:hint="eastAsia" w:ascii="宋体" w:hAnsi="宋体" w:eastAsia="宋体" w:cs="宋体"/>
                <w:lang w:eastAsia="zh-CN"/>
              </w:rPr>
            </w:pPr>
            <w:r>
              <w:rPr>
                <w:rFonts w:hint="eastAsia" w:ascii="宋体" w:hAnsi="宋体" w:cs="宋体"/>
              </w:rPr>
              <w:t>支持动态更新无线系统各个独立服务模块，无需重新启动整个系统。</w:t>
            </w:r>
          </w:p>
          <w:p>
            <w:pPr>
              <w:pStyle w:val="100"/>
              <w:jc w:val="center"/>
              <w:rPr>
                <w:rFonts w:ascii="宋体" w:hAnsi="宋体" w:cs="Arial"/>
              </w:rPr>
            </w:pPr>
            <w:r>
              <w:rPr>
                <w:rFonts w:hint="eastAsia" w:ascii="宋体" w:hAnsi="宋体" w:cs="宋体"/>
              </w:rPr>
              <w:t>支持在一个集群中不同的控制器运行不同的版本，便于运维管理。</w:t>
            </w:r>
          </w:p>
        </w:tc>
      </w:tr>
      <w:tr>
        <w:tblPrEx>
          <w:tblCellMar>
            <w:top w:w="0" w:type="dxa"/>
            <w:left w:w="108" w:type="dxa"/>
            <w:bottom w:w="0" w:type="dxa"/>
            <w:right w:w="108" w:type="dxa"/>
          </w:tblCellMar>
        </w:tblPrEx>
        <w:trPr>
          <w:trHeight w:val="45"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7</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射频优化</w:t>
            </w:r>
          </w:p>
        </w:tc>
        <w:tc>
          <w:tcPr>
            <w:tcW w:w="3867" w:type="pct"/>
            <w:tcBorders>
              <w:top w:val="single" w:color="000000" w:sz="4" w:space="0"/>
              <w:left w:val="nil"/>
              <w:bottom w:val="single" w:color="000000" w:sz="4" w:space="0"/>
              <w:right w:val="single" w:color="000000" w:sz="4" w:space="0"/>
            </w:tcBorders>
            <w:noWrap w:val="0"/>
            <w:vAlign w:val="center"/>
          </w:tcPr>
          <w:p>
            <w:pPr>
              <w:pStyle w:val="100"/>
              <w:jc w:val="center"/>
              <w:rPr>
                <w:rFonts w:hint="eastAsia" w:ascii="宋体" w:hAnsi="宋体" w:eastAsia="宋体" w:cs="宋体"/>
                <w:lang w:eastAsia="zh-CN"/>
              </w:rPr>
            </w:pPr>
            <w:r>
              <w:rPr>
                <w:rFonts w:hint="eastAsia" w:ascii="宋体" w:hAnsi="宋体" w:cs="宋体"/>
              </w:rPr>
              <w:t>支持消除了粘性客户端，并通过确保客户端连接最佳接入点，提高了Wi-Fi 性能。</w:t>
            </w:r>
          </w:p>
          <w:p>
            <w:pPr>
              <w:pStyle w:val="100"/>
              <w:jc w:val="center"/>
              <w:rPr>
                <w:rFonts w:hint="eastAsia" w:ascii="宋体" w:hAnsi="宋体" w:eastAsia="宋体" w:cs="宋体"/>
                <w:lang w:eastAsia="zh-CN"/>
              </w:rPr>
            </w:pPr>
            <w:r>
              <w:rPr>
                <w:rFonts w:hint="eastAsia" w:ascii="宋体" w:hAnsi="宋体" w:cs="宋体"/>
              </w:rPr>
              <w:t>支持实时采集每一个AP的周边射频环境数据，并且具备API接口供调用。</w:t>
            </w:r>
          </w:p>
          <w:p>
            <w:pPr>
              <w:pStyle w:val="100"/>
              <w:jc w:val="center"/>
              <w:rPr>
                <w:rFonts w:hint="eastAsia" w:ascii="宋体" w:hAnsi="宋体" w:eastAsia="宋体" w:cs="宋体"/>
                <w:lang w:eastAsia="zh-CN"/>
              </w:rPr>
            </w:pPr>
            <w:r>
              <w:rPr>
                <w:rFonts w:hint="eastAsia" w:ascii="宋体" w:hAnsi="宋体" w:cs="宋体"/>
              </w:rPr>
              <w:t>支持射频大数据分析能力，采用机器学习的方法，自动优化与管理全网的AP射频状态。</w:t>
            </w:r>
          </w:p>
          <w:p>
            <w:pPr>
              <w:pStyle w:val="100"/>
              <w:jc w:val="center"/>
              <w:rPr>
                <w:rFonts w:hint="eastAsia" w:ascii="宋体" w:hAnsi="宋体" w:eastAsia="宋体" w:cs="宋体"/>
                <w:lang w:eastAsia="zh-CN"/>
              </w:rPr>
            </w:pPr>
            <w:r>
              <w:rPr>
                <w:rFonts w:hint="eastAsia" w:ascii="宋体" w:hAnsi="宋体" w:cs="宋体"/>
              </w:rPr>
              <w:t>支持自适应射频管理技术，动态调整 RF 环境，以最大程度地提高 Wi-Fi 稳定性和可预测性</w:t>
            </w:r>
          </w:p>
          <w:p>
            <w:pPr>
              <w:pStyle w:val="100"/>
              <w:jc w:val="center"/>
              <w:rPr>
                <w:rFonts w:ascii="宋体" w:hAnsi="宋体" w:cs="Arial"/>
              </w:rPr>
            </w:pPr>
            <w:r>
              <w:rPr>
                <w:rFonts w:hint="eastAsia" w:ascii="宋体" w:hAnsi="宋体" w:cs="宋体"/>
              </w:rPr>
              <w:t>系统可保护网络资源免受无线威胁并优化网络性能，非法AP遏制和分类</w:t>
            </w:r>
          </w:p>
        </w:tc>
      </w:tr>
      <w:tr>
        <w:tblPrEx>
          <w:tblCellMar>
            <w:top w:w="0" w:type="dxa"/>
            <w:left w:w="108" w:type="dxa"/>
            <w:bottom w:w="0" w:type="dxa"/>
            <w:right w:w="108" w:type="dxa"/>
          </w:tblCellMar>
        </w:tblPrEx>
        <w:trPr>
          <w:trHeight w:val="45"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8</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应用识别</w:t>
            </w:r>
          </w:p>
        </w:tc>
        <w:tc>
          <w:tcPr>
            <w:tcW w:w="3867" w:type="pct"/>
            <w:tcBorders>
              <w:top w:val="single" w:color="000000" w:sz="4" w:space="0"/>
              <w:left w:val="nil"/>
              <w:bottom w:val="single" w:color="000000" w:sz="4" w:space="0"/>
              <w:right w:val="single" w:color="000000" w:sz="4" w:space="0"/>
            </w:tcBorders>
            <w:noWrap w:val="0"/>
            <w:vAlign w:val="center"/>
          </w:tcPr>
          <w:p>
            <w:pPr>
              <w:pStyle w:val="100"/>
              <w:jc w:val="center"/>
              <w:rPr>
                <w:rFonts w:hint="eastAsia" w:ascii="宋体" w:hAnsi="宋体" w:eastAsia="宋体" w:cs="宋体"/>
                <w:lang w:eastAsia="zh-CN"/>
              </w:rPr>
            </w:pPr>
            <w:r>
              <w:rPr>
                <w:rFonts w:hint="eastAsia" w:ascii="宋体" w:hAnsi="宋体" w:cs="宋体"/>
              </w:rPr>
              <w:t>可识别多种应用程序,高颗粒度的可见性和控制,简化对不同类型流量的控制。可识别应用数量≥2500个</w:t>
            </w:r>
          </w:p>
          <w:p>
            <w:pPr>
              <w:pStyle w:val="100"/>
              <w:jc w:val="center"/>
              <w:rPr>
                <w:rFonts w:hint="eastAsia" w:ascii="宋体" w:hAnsi="宋体" w:eastAsia="宋体" w:cs="宋体"/>
                <w:lang w:eastAsia="zh-CN"/>
              </w:rPr>
            </w:pPr>
            <w:r>
              <w:rPr>
                <w:rFonts w:hint="eastAsia" w:ascii="宋体" w:hAnsi="宋体" w:cs="宋体"/>
              </w:rPr>
              <w:t>实施服务质量（QoS）标记将重要应用程序优先，提供关键应用保障</w:t>
            </w:r>
          </w:p>
          <w:p>
            <w:pPr>
              <w:pStyle w:val="100"/>
              <w:jc w:val="center"/>
              <w:rPr>
                <w:rFonts w:ascii="宋体" w:hAnsi="宋体" w:cs="Arial"/>
              </w:rPr>
            </w:pPr>
            <w:r>
              <w:rPr>
                <w:rFonts w:hint="eastAsia" w:ascii="宋体" w:hAnsi="宋体" w:cs="宋体"/>
              </w:rPr>
              <w:t>阻止不需要的应用程序，节省带宽，并停止不需要的活动。应用类别的速率限制，允许非必要流量，同时防止其影响任务关键应用程序的运行。</w:t>
            </w:r>
          </w:p>
        </w:tc>
      </w:tr>
      <w:tr>
        <w:tblPrEx>
          <w:tblCellMar>
            <w:top w:w="0" w:type="dxa"/>
            <w:left w:w="108" w:type="dxa"/>
            <w:bottom w:w="0" w:type="dxa"/>
            <w:right w:w="108" w:type="dxa"/>
          </w:tblCellMar>
        </w:tblPrEx>
        <w:trPr>
          <w:trHeight w:val="45"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9</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高可用性</w:t>
            </w:r>
          </w:p>
        </w:tc>
        <w:tc>
          <w:tcPr>
            <w:tcW w:w="3867" w:type="pct"/>
            <w:tcBorders>
              <w:top w:val="single" w:color="000000" w:sz="4" w:space="0"/>
              <w:left w:val="nil"/>
              <w:bottom w:val="single" w:color="000000" w:sz="4" w:space="0"/>
              <w:right w:val="single" w:color="000000" w:sz="4" w:space="0"/>
            </w:tcBorders>
            <w:noWrap w:val="0"/>
            <w:vAlign w:val="center"/>
          </w:tcPr>
          <w:p>
            <w:pPr>
              <w:pStyle w:val="100"/>
              <w:jc w:val="center"/>
              <w:rPr>
                <w:rFonts w:hint="eastAsia" w:ascii="宋体" w:hAnsi="宋体" w:eastAsia="宋体" w:cs="宋体"/>
                <w:lang w:eastAsia="zh-CN"/>
              </w:rPr>
            </w:pPr>
            <w:r>
              <w:rPr>
                <w:rFonts w:hint="eastAsia" w:ascii="宋体" w:hAnsi="宋体" w:cs="宋体"/>
              </w:rPr>
              <w:t>支持双活，主备，N+1高可用</w:t>
            </w:r>
          </w:p>
          <w:p>
            <w:pPr>
              <w:pStyle w:val="100"/>
              <w:jc w:val="center"/>
              <w:rPr>
                <w:rFonts w:hint="eastAsia" w:ascii="宋体" w:hAnsi="宋体" w:eastAsia="宋体" w:cs="宋体"/>
                <w:lang w:eastAsia="zh-CN"/>
              </w:rPr>
            </w:pPr>
            <w:r>
              <w:rPr>
                <w:rFonts w:hint="eastAsia" w:ascii="宋体" w:hAnsi="宋体" w:cs="宋体"/>
              </w:rPr>
              <w:t>支持网络中无线控制器的无缝切换，达到毫秒级切换</w:t>
            </w:r>
          </w:p>
          <w:p>
            <w:pPr>
              <w:pStyle w:val="100"/>
              <w:jc w:val="center"/>
              <w:rPr>
                <w:rFonts w:hint="eastAsia" w:ascii="宋体" w:hAnsi="宋体" w:eastAsia="宋体" w:cs="宋体"/>
                <w:lang w:eastAsia="zh-CN"/>
              </w:rPr>
            </w:pPr>
            <w:r>
              <w:rPr>
                <w:rFonts w:hint="eastAsia" w:ascii="宋体" w:hAnsi="宋体" w:cs="宋体"/>
              </w:rPr>
              <w:t>支持应用系统在切换中保持应用的状态同步，支持Skype等各种流媒体在切换中保持不中断</w:t>
            </w:r>
          </w:p>
          <w:p>
            <w:pPr>
              <w:pStyle w:val="100"/>
              <w:jc w:val="center"/>
              <w:rPr>
                <w:rFonts w:ascii="宋体" w:hAnsi="宋体" w:cs="Arial"/>
              </w:rPr>
            </w:pPr>
            <w:r>
              <w:rPr>
                <w:rFonts w:hint="eastAsia" w:ascii="宋体" w:hAnsi="宋体" w:cs="宋体"/>
              </w:rPr>
              <w:t>支持802.1x等各种认证模式的终端，在控制器切换中不中断</w:t>
            </w:r>
          </w:p>
        </w:tc>
      </w:tr>
      <w:tr>
        <w:tblPrEx>
          <w:tblCellMar>
            <w:top w:w="0" w:type="dxa"/>
            <w:left w:w="108" w:type="dxa"/>
            <w:bottom w:w="0" w:type="dxa"/>
            <w:right w:w="108" w:type="dxa"/>
          </w:tblCellMar>
        </w:tblPrEx>
        <w:trPr>
          <w:trHeight w:val="45"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1</w:t>
            </w:r>
            <w:r>
              <w:rPr>
                <w:rFonts w:ascii="宋体" w:hAnsi="宋体" w:cs="Arial"/>
              </w:rPr>
              <w:t>0</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ascii="宋体" w:hAnsi="宋体" w:cs="Segoe UI Symbol"/>
              </w:rPr>
              <w:t>★</w:t>
            </w:r>
            <w:r>
              <w:rPr>
                <w:rFonts w:hint="eastAsia" w:ascii="宋体" w:hAnsi="宋体" w:cs="宋体"/>
              </w:rPr>
              <w:t>负载均衡功能</w:t>
            </w:r>
          </w:p>
        </w:tc>
        <w:tc>
          <w:tcPr>
            <w:tcW w:w="3867" w:type="pct"/>
            <w:tcBorders>
              <w:top w:val="single" w:color="000000" w:sz="4" w:space="0"/>
              <w:left w:val="nil"/>
              <w:bottom w:val="single" w:color="000000" w:sz="4" w:space="0"/>
              <w:right w:val="single" w:color="000000" w:sz="4" w:space="0"/>
            </w:tcBorders>
            <w:noWrap w:val="0"/>
            <w:vAlign w:val="center"/>
          </w:tcPr>
          <w:p>
            <w:pPr>
              <w:pStyle w:val="100"/>
              <w:jc w:val="center"/>
              <w:rPr>
                <w:rFonts w:hint="eastAsia" w:ascii="宋体" w:hAnsi="宋体" w:eastAsia="宋体" w:cs="宋体"/>
                <w:lang w:eastAsia="zh-CN"/>
              </w:rPr>
            </w:pPr>
            <w:r>
              <w:rPr>
                <w:rFonts w:hint="eastAsia" w:ascii="宋体" w:hAnsi="宋体" w:cs="宋体"/>
              </w:rPr>
              <w:t>支持AP在不同的控制器自动负载均衡</w:t>
            </w:r>
          </w:p>
          <w:p>
            <w:pPr>
              <w:pStyle w:val="100"/>
              <w:jc w:val="center"/>
              <w:rPr>
                <w:rFonts w:hint="eastAsia" w:ascii="宋体" w:hAnsi="宋体" w:eastAsia="宋体" w:cs="宋体"/>
                <w:lang w:eastAsia="zh-CN"/>
              </w:rPr>
            </w:pPr>
            <w:r>
              <w:rPr>
                <w:rFonts w:hint="eastAsia" w:ascii="宋体" w:hAnsi="宋体" w:cs="宋体"/>
              </w:rPr>
              <w:t>支持用户在不同的控制器自动负载均衡</w:t>
            </w:r>
          </w:p>
          <w:p>
            <w:pPr>
              <w:pStyle w:val="100"/>
              <w:jc w:val="center"/>
              <w:rPr>
                <w:rFonts w:ascii="宋体" w:hAnsi="宋体" w:cs="Arial"/>
              </w:rPr>
            </w:pPr>
            <w:r>
              <w:rPr>
                <w:rFonts w:hint="eastAsia" w:ascii="宋体" w:hAnsi="宋体" w:cs="宋体"/>
              </w:rPr>
              <w:t>支持AP与同一个AP上的用户能够自动负载均衡在不同的控制器</w:t>
            </w:r>
          </w:p>
        </w:tc>
      </w:tr>
      <w:tr>
        <w:tblPrEx>
          <w:tblCellMar>
            <w:top w:w="0" w:type="dxa"/>
            <w:left w:w="108" w:type="dxa"/>
            <w:bottom w:w="0" w:type="dxa"/>
            <w:right w:w="108" w:type="dxa"/>
          </w:tblCellMar>
        </w:tblPrEx>
        <w:trPr>
          <w:trHeight w:val="45"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1</w:t>
            </w:r>
            <w:r>
              <w:rPr>
                <w:rFonts w:ascii="宋体" w:hAnsi="宋体" w:cs="Arial"/>
              </w:rPr>
              <w:t>1</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网络管理</w:t>
            </w:r>
          </w:p>
        </w:tc>
        <w:tc>
          <w:tcPr>
            <w:tcW w:w="3867" w:type="pc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kern w:val="0"/>
              </w:rPr>
            </w:pPr>
            <w:r>
              <w:rPr>
                <w:rFonts w:hint="eastAsia" w:ascii="宋体" w:hAnsi="宋体" w:cs="宋体"/>
                <w:kern w:val="0"/>
              </w:rPr>
              <w:t>支持ssh命令行和web的配置</w:t>
            </w:r>
          </w:p>
          <w:p>
            <w:pPr>
              <w:widowControl/>
              <w:jc w:val="center"/>
              <w:rPr>
                <w:rFonts w:ascii="宋体" w:hAnsi="宋体" w:cs="宋体"/>
                <w:kern w:val="0"/>
              </w:rPr>
            </w:pPr>
            <w:r>
              <w:rPr>
                <w:rFonts w:hint="eastAsia" w:ascii="宋体" w:hAnsi="宋体" w:cs="宋体"/>
                <w:kern w:val="0"/>
              </w:rPr>
              <w:t>支持分级管理，</w:t>
            </w:r>
            <w:r>
              <w:rPr>
                <w:rFonts w:ascii="宋体" w:hAnsi="宋体" w:cs="宋体"/>
                <w:kern w:val="0"/>
              </w:rPr>
              <w:t>无线系统可以基于分组创建不同的管理员账号</w:t>
            </w:r>
            <w:r>
              <w:rPr>
                <w:rFonts w:hint="eastAsia" w:ascii="宋体" w:hAnsi="宋体" w:cs="宋体"/>
                <w:kern w:val="0"/>
              </w:rPr>
              <w:t>，</w:t>
            </w:r>
            <w:r>
              <w:rPr>
                <w:rFonts w:ascii="宋体" w:hAnsi="宋体" w:cs="宋体"/>
                <w:kern w:val="0"/>
              </w:rPr>
              <w:t>每个账号只能修改该组的配置，无法修改其它分组配置。</w:t>
            </w:r>
          </w:p>
          <w:p>
            <w:pPr>
              <w:pStyle w:val="100"/>
              <w:jc w:val="center"/>
              <w:rPr>
                <w:rFonts w:ascii="宋体" w:hAnsi="宋体" w:cs="Arial"/>
              </w:rPr>
            </w:pPr>
            <w:r>
              <w:rPr>
                <w:rFonts w:hint="eastAsia" w:ascii="宋体" w:hAnsi="宋体" w:cs="宋体"/>
              </w:rPr>
              <w:t>支持snmp v3</w:t>
            </w:r>
          </w:p>
        </w:tc>
      </w:tr>
      <w:tr>
        <w:tblPrEx>
          <w:tblCellMar>
            <w:top w:w="0" w:type="dxa"/>
            <w:left w:w="108" w:type="dxa"/>
            <w:bottom w:w="0" w:type="dxa"/>
            <w:right w:w="108" w:type="dxa"/>
          </w:tblCellMar>
        </w:tblPrEx>
        <w:trPr>
          <w:trHeight w:val="434"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ascii="宋体" w:hAnsi="宋体" w:cs="Arial"/>
              </w:rPr>
              <w:t>12</w:t>
            </w:r>
          </w:p>
        </w:tc>
        <w:tc>
          <w:tcPr>
            <w:tcW w:w="749"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宋体"/>
              </w:rPr>
              <w:t>▲</w:t>
            </w:r>
            <w:r>
              <w:rPr>
                <w:rFonts w:ascii="宋体" w:hAnsi="宋体" w:cs="Arial"/>
              </w:rPr>
              <w:t>管理设备许可</w:t>
            </w:r>
          </w:p>
        </w:tc>
        <w:tc>
          <w:tcPr>
            <w:tcW w:w="3867" w:type="pct"/>
            <w:tcBorders>
              <w:top w:val="single" w:color="000000" w:sz="4" w:space="0"/>
              <w:left w:val="nil"/>
              <w:bottom w:val="single" w:color="000000" w:sz="4" w:space="0"/>
              <w:right w:val="single" w:color="000000" w:sz="4" w:space="0"/>
            </w:tcBorders>
            <w:noWrap w:val="0"/>
            <w:vAlign w:val="center"/>
          </w:tcPr>
          <w:p>
            <w:pPr>
              <w:pStyle w:val="100"/>
              <w:jc w:val="center"/>
              <w:rPr>
                <w:rFonts w:ascii="宋体" w:hAnsi="宋体" w:cs="Arial"/>
              </w:rPr>
            </w:pPr>
            <w:r>
              <w:rPr>
                <w:rFonts w:ascii="宋体" w:hAnsi="宋体" w:cs="Arial"/>
              </w:rPr>
              <w:t>实配</w:t>
            </w:r>
            <w:r>
              <w:rPr>
                <w:rFonts w:hint="eastAsia" w:ascii="宋体" w:hAnsi="宋体" w:cs="Arial"/>
              </w:rPr>
              <w:t>管理</w:t>
            </w:r>
            <w:r>
              <w:rPr>
                <w:rFonts w:ascii="宋体" w:hAnsi="宋体" w:cs="Arial"/>
              </w:rPr>
              <w:t>数量许可不少于5000</w:t>
            </w:r>
          </w:p>
        </w:tc>
      </w:tr>
      <w:tr>
        <w:tblPrEx>
          <w:tblCellMar>
            <w:top w:w="0" w:type="dxa"/>
            <w:left w:w="108" w:type="dxa"/>
            <w:bottom w:w="0" w:type="dxa"/>
            <w:right w:w="108" w:type="dxa"/>
          </w:tblCellMar>
        </w:tblPrEx>
        <w:trPr>
          <w:trHeight w:val="491"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ascii="宋体" w:hAnsi="宋体" w:cs="Arial"/>
              </w:rPr>
              <w:t>13</w:t>
            </w:r>
          </w:p>
        </w:tc>
        <w:tc>
          <w:tcPr>
            <w:tcW w:w="749" w:type="pct"/>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宋体" w:cs="Arial"/>
                <w:color w:val="000000"/>
              </w:rPr>
            </w:pPr>
            <w:r>
              <w:rPr>
                <w:rFonts w:ascii="宋体" w:hAnsi="宋体" w:cs="Segoe UI Symbol"/>
              </w:rPr>
              <w:t>★</w:t>
            </w:r>
            <w:r>
              <w:rPr>
                <w:rFonts w:hint="eastAsia" w:ascii="宋体" w:hAnsi="宋体" w:cs="Arial"/>
                <w:color w:val="000000"/>
              </w:rPr>
              <w:t>兼容性</w:t>
            </w:r>
          </w:p>
        </w:tc>
        <w:tc>
          <w:tcPr>
            <w:tcW w:w="3867" w:type="pct"/>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宋体" w:cs="Arial"/>
                <w:color w:val="000000"/>
              </w:rPr>
            </w:pPr>
            <w:r>
              <w:rPr>
                <w:rFonts w:hint="eastAsia" w:ascii="宋体" w:hAnsi="宋体" w:cs="Arial"/>
                <w:color w:val="000000"/>
              </w:rPr>
              <w:t>与无线控制器为同一品牌</w:t>
            </w:r>
          </w:p>
        </w:tc>
      </w:tr>
      <w:tr>
        <w:tblPrEx>
          <w:tblCellMar>
            <w:top w:w="0" w:type="dxa"/>
            <w:left w:w="108" w:type="dxa"/>
            <w:bottom w:w="0" w:type="dxa"/>
            <w:right w:w="108" w:type="dxa"/>
          </w:tblCellMar>
        </w:tblPrEx>
        <w:trPr>
          <w:trHeight w:val="491" w:hRule="atLeast"/>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pStyle w:val="100"/>
              <w:jc w:val="center"/>
              <w:rPr>
                <w:rFonts w:ascii="宋体" w:hAnsi="宋体" w:cs="Arial"/>
              </w:rPr>
            </w:pPr>
            <w:r>
              <w:rPr>
                <w:rFonts w:hint="eastAsia" w:ascii="宋体" w:hAnsi="宋体" w:cs="Arial"/>
              </w:rPr>
              <w:t>1</w:t>
            </w:r>
            <w:r>
              <w:rPr>
                <w:rFonts w:ascii="宋体" w:hAnsi="宋体" w:cs="Arial"/>
              </w:rPr>
              <w:t>4</w:t>
            </w:r>
          </w:p>
        </w:tc>
        <w:tc>
          <w:tcPr>
            <w:tcW w:w="749" w:type="pct"/>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宋体" w:cs="Arial"/>
                <w:color w:val="000000"/>
              </w:rPr>
            </w:pPr>
            <w:r>
              <w:rPr>
                <w:rFonts w:hint="eastAsia" w:ascii="宋体" w:hAnsi="宋体" w:cs="宋体"/>
              </w:rPr>
              <w:t>▲</w:t>
            </w:r>
            <w:r>
              <w:rPr>
                <w:rFonts w:hint="eastAsia" w:ascii="宋体" w:hAnsi="宋体" w:cs="Arial"/>
                <w:color w:val="000000"/>
              </w:rPr>
              <w:t>质保</w:t>
            </w:r>
            <w:r>
              <w:rPr>
                <w:rFonts w:ascii="宋体" w:hAnsi="宋体" w:cs="Arial"/>
                <w:color w:val="000000"/>
              </w:rPr>
              <w:t>要求</w:t>
            </w:r>
          </w:p>
        </w:tc>
        <w:tc>
          <w:tcPr>
            <w:tcW w:w="3867" w:type="pct"/>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宋体" w:cs="Arial"/>
                <w:color w:val="000000"/>
              </w:rPr>
            </w:pPr>
            <w:r>
              <w:rPr>
                <w:rFonts w:hint="eastAsia" w:ascii="宋体" w:hAnsi="宋体" w:cs="Arial"/>
                <w:color w:val="000000"/>
              </w:rPr>
              <w:t>提供不少于3年原厂质量保证和软件升级服务，提供</w:t>
            </w:r>
            <w:r>
              <w:rPr>
                <w:rFonts w:hint="eastAsia" w:hAnsi="宋体"/>
              </w:rPr>
              <w:t>服务承诺证明文件</w:t>
            </w:r>
          </w:p>
        </w:tc>
      </w:tr>
    </w:tbl>
    <w:p>
      <w:pPr>
        <w:spacing w:line="360" w:lineRule="auto"/>
        <w:rPr>
          <w:b/>
          <w:bCs/>
          <w:sz w:val="24"/>
          <w:szCs w:val="24"/>
        </w:rPr>
      </w:pPr>
      <w:r>
        <w:rPr>
          <w:rFonts w:hint="eastAsia"/>
          <w:b/>
          <w:bCs/>
          <w:sz w:val="24"/>
          <w:szCs w:val="24"/>
        </w:rPr>
        <w:t>5.3放装</w:t>
      </w:r>
      <w:r>
        <w:rPr>
          <w:b/>
          <w:bCs/>
          <w:sz w:val="24"/>
          <w:szCs w:val="24"/>
        </w:rPr>
        <w:t>AP</w:t>
      </w:r>
      <w:r>
        <w:rPr>
          <w:rFonts w:hint="eastAsia"/>
          <w:b/>
          <w:bCs/>
          <w:sz w:val="24"/>
          <w:szCs w:val="24"/>
        </w:rPr>
        <w:t>（</w:t>
      </w:r>
      <w:r>
        <w:rPr>
          <w:b/>
          <w:bCs/>
          <w:sz w:val="24"/>
          <w:szCs w:val="24"/>
        </w:rPr>
        <w:t>265</w:t>
      </w:r>
      <w:r>
        <w:rPr>
          <w:rFonts w:hint="eastAsia"/>
          <w:b/>
          <w:bCs/>
          <w:sz w:val="24"/>
          <w:szCs w:val="24"/>
        </w:rPr>
        <w:t>台）</w:t>
      </w:r>
    </w:p>
    <w:tbl>
      <w:tblPr>
        <w:tblStyle w:val="24"/>
        <w:tblW w:w="5001" w:type="pct"/>
        <w:tblInd w:w="-2" w:type="dxa"/>
        <w:tblLayout w:type="autofit"/>
        <w:tblCellMar>
          <w:top w:w="0" w:type="dxa"/>
          <w:left w:w="108" w:type="dxa"/>
          <w:bottom w:w="0" w:type="dxa"/>
          <w:right w:w="108" w:type="dxa"/>
        </w:tblCellMar>
      </w:tblPr>
      <w:tblGrid>
        <w:gridCol w:w="700"/>
        <w:gridCol w:w="1544"/>
        <w:gridCol w:w="6274"/>
      </w:tblGrid>
      <w:tr>
        <w:tblPrEx>
          <w:tblCellMar>
            <w:top w:w="0" w:type="dxa"/>
            <w:left w:w="108" w:type="dxa"/>
            <w:bottom w:w="0" w:type="dxa"/>
            <w:right w:w="108" w:type="dxa"/>
          </w:tblCellMar>
        </w:tblPrEx>
        <w:trPr>
          <w:trHeight w:val="545" w:hRule="atLeast"/>
        </w:trPr>
        <w:tc>
          <w:tcPr>
            <w:tcW w:w="4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rPr>
            </w:pPr>
            <w:r>
              <w:rPr>
                <w:rFonts w:ascii="宋体" w:hAnsi="宋体" w:cs="Arial"/>
              </w:rPr>
              <w:t>序号</w:t>
            </w:r>
          </w:p>
        </w:tc>
        <w:tc>
          <w:tcPr>
            <w:tcW w:w="90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rPr>
            </w:pPr>
            <w:r>
              <w:rPr>
                <w:rFonts w:ascii="宋体" w:hAnsi="宋体" w:cs="Arial"/>
              </w:rPr>
              <w:t>指标项</w:t>
            </w:r>
          </w:p>
        </w:tc>
        <w:tc>
          <w:tcPr>
            <w:tcW w:w="368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rPr>
            </w:pPr>
            <w:r>
              <w:rPr>
                <w:rFonts w:ascii="宋体" w:hAnsi="宋体" w:cs="Arial"/>
              </w:rPr>
              <w:t>指标要求</w:t>
            </w:r>
          </w:p>
        </w:tc>
      </w:tr>
      <w:tr>
        <w:tblPrEx>
          <w:tblCellMar>
            <w:top w:w="0" w:type="dxa"/>
            <w:left w:w="108" w:type="dxa"/>
            <w:bottom w:w="0" w:type="dxa"/>
            <w:right w:w="108" w:type="dxa"/>
          </w:tblCellMar>
        </w:tblPrEx>
        <w:trPr>
          <w:trHeight w:val="958" w:hRule="atLeast"/>
        </w:trPr>
        <w:tc>
          <w:tcPr>
            <w:tcW w:w="411"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1</w:t>
            </w:r>
          </w:p>
        </w:tc>
        <w:tc>
          <w:tcPr>
            <w:tcW w:w="906"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hint="eastAsia" w:ascii="宋体" w:hAnsi="宋体" w:cs="宋体"/>
              </w:rPr>
              <w:t>▲</w:t>
            </w:r>
            <w:r>
              <w:rPr>
                <w:rFonts w:ascii="宋体" w:hAnsi="宋体" w:cs="Arial"/>
              </w:rPr>
              <w:t>性能要求</w:t>
            </w:r>
          </w:p>
        </w:tc>
        <w:tc>
          <w:tcPr>
            <w:tcW w:w="3681" w:type="pct"/>
            <w:tcBorders>
              <w:top w:val="single" w:color="000000" w:sz="4"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 WiFi 6 （802.11ax），支持2x2:2 MIMO，2.4G频段最高支持574Mbps，5 GHz 最大接入带宽支持1.2Gbps。</w:t>
            </w:r>
          </w:p>
        </w:tc>
      </w:tr>
      <w:tr>
        <w:tblPrEx>
          <w:tblCellMar>
            <w:top w:w="0" w:type="dxa"/>
            <w:left w:w="108" w:type="dxa"/>
            <w:bottom w:w="0" w:type="dxa"/>
            <w:right w:w="108" w:type="dxa"/>
          </w:tblCellMar>
        </w:tblPrEx>
        <w:trPr>
          <w:trHeight w:val="557" w:hRule="atLeast"/>
        </w:trPr>
        <w:tc>
          <w:tcPr>
            <w:tcW w:w="411"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2</w:t>
            </w:r>
          </w:p>
        </w:tc>
        <w:tc>
          <w:tcPr>
            <w:tcW w:w="906"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hint="eastAsia" w:ascii="宋体" w:hAnsi="宋体" w:cs="宋体"/>
              </w:rPr>
              <w:t>▲</w:t>
            </w:r>
            <w:r>
              <w:rPr>
                <w:rFonts w:ascii="宋体" w:hAnsi="宋体" w:cs="Arial"/>
              </w:rPr>
              <w:t>接口</w:t>
            </w:r>
          </w:p>
        </w:tc>
        <w:tc>
          <w:tcPr>
            <w:tcW w:w="3681" w:type="pct"/>
            <w:tcBorders>
              <w:top w:val="single" w:color="000000" w:sz="4"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1个10/100/1000BASE-T以太网接口</w:t>
            </w:r>
          </w:p>
        </w:tc>
      </w:tr>
      <w:tr>
        <w:tblPrEx>
          <w:tblCellMar>
            <w:top w:w="0" w:type="dxa"/>
            <w:left w:w="108" w:type="dxa"/>
            <w:bottom w:w="0" w:type="dxa"/>
            <w:right w:w="108" w:type="dxa"/>
          </w:tblCellMar>
        </w:tblPrEx>
        <w:trPr>
          <w:trHeight w:val="557" w:hRule="atLeast"/>
        </w:trPr>
        <w:tc>
          <w:tcPr>
            <w:tcW w:w="411"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hint="eastAsia" w:ascii="宋体" w:hAnsi="宋体" w:cs="Arial"/>
              </w:rPr>
              <w:t>3</w:t>
            </w:r>
          </w:p>
        </w:tc>
        <w:tc>
          <w:tcPr>
            <w:tcW w:w="906"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Segoe UI Symbol"/>
              </w:rPr>
              <w:t>★</w:t>
            </w:r>
            <w:r>
              <w:rPr>
                <w:rFonts w:ascii="宋体" w:hAnsi="宋体" w:cs="Arial"/>
                <w:color w:val="000000"/>
                <w:kern w:val="0"/>
              </w:rPr>
              <w:t>基本要求</w:t>
            </w:r>
          </w:p>
        </w:tc>
        <w:tc>
          <w:tcPr>
            <w:tcW w:w="3681" w:type="pct"/>
            <w:tcBorders>
              <w:top w:val="single" w:color="000000" w:sz="4"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color w:val="000000"/>
                <w:kern w:val="0"/>
              </w:rPr>
              <w:t>AP能够注册到</w:t>
            </w:r>
            <w:r>
              <w:rPr>
                <w:rFonts w:hint="eastAsia" w:ascii="宋体" w:hAnsi="宋体" w:cs="Arial"/>
                <w:color w:val="000000"/>
                <w:kern w:val="0"/>
              </w:rPr>
              <w:t>陕西科技大学现</w:t>
            </w:r>
            <w:r>
              <w:rPr>
                <w:rFonts w:ascii="宋体" w:hAnsi="宋体" w:cs="Arial"/>
                <w:color w:val="000000"/>
                <w:kern w:val="0"/>
              </w:rPr>
              <w:t>网运行的无线控制器，统一认证和管理，满足无线用户在校区内无缝漫游。</w:t>
            </w:r>
          </w:p>
        </w:tc>
      </w:tr>
      <w:tr>
        <w:tblPrEx>
          <w:tblCellMar>
            <w:top w:w="0" w:type="dxa"/>
            <w:left w:w="108" w:type="dxa"/>
            <w:bottom w:w="0" w:type="dxa"/>
            <w:right w:w="108" w:type="dxa"/>
          </w:tblCellMar>
        </w:tblPrEx>
        <w:trPr>
          <w:trHeight w:val="72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4</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干扰避免</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AP可以实时探测电磁波信号，针对无线环境中的电磁干扰作出分析和报告，并自动进行规避。支持对非WiFi干扰源(如微波炉,无绳电话等)的识别和规避。</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5</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微软雅黑"/>
              </w:rPr>
              <w:t>频谱</w:t>
            </w:r>
            <w:r>
              <w:rPr>
                <w:rFonts w:ascii="宋体" w:hAnsi="宋体" w:cs="Arial"/>
              </w:rPr>
              <w:t>分析</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支持自</w:t>
            </w:r>
            <w:r>
              <w:rPr>
                <w:rFonts w:ascii="宋体" w:hAnsi="宋体" w:cs="微软雅黑"/>
              </w:rPr>
              <w:t>动实时</w:t>
            </w:r>
            <w:r>
              <w:rPr>
                <w:rFonts w:ascii="宋体" w:hAnsi="宋体" w:cs="Arial"/>
              </w:rPr>
              <w:t>射</w:t>
            </w:r>
            <w:r>
              <w:rPr>
                <w:rFonts w:ascii="宋体" w:hAnsi="宋体" w:cs="微软雅黑"/>
              </w:rPr>
              <w:t>频频谱</w:t>
            </w:r>
            <w:r>
              <w:rPr>
                <w:rFonts w:ascii="宋体" w:hAnsi="宋体" w:cs="Arial"/>
              </w:rPr>
              <w:t>分析，通</w:t>
            </w:r>
            <w:r>
              <w:rPr>
                <w:rFonts w:ascii="宋体" w:hAnsi="宋体" w:cs="微软雅黑"/>
              </w:rPr>
              <w:t>过</w:t>
            </w:r>
            <w:r>
              <w:rPr>
                <w:rFonts w:ascii="宋体" w:hAnsi="宋体" w:cs="Arial"/>
              </w:rPr>
              <w:t>无</w:t>
            </w:r>
            <w:r>
              <w:rPr>
                <w:rFonts w:ascii="宋体" w:hAnsi="宋体" w:cs="微软雅黑"/>
              </w:rPr>
              <w:t>线</w:t>
            </w:r>
            <w:r>
              <w:rPr>
                <w:rFonts w:ascii="宋体" w:hAnsi="宋体" w:cs="Arial"/>
              </w:rPr>
              <w:t>控制器的管理界面，</w:t>
            </w:r>
            <w:r>
              <w:rPr>
                <w:rFonts w:ascii="宋体" w:hAnsi="宋体" w:cs="微软雅黑"/>
              </w:rPr>
              <w:t>实时查</w:t>
            </w:r>
            <w:r>
              <w:rPr>
                <w:rFonts w:ascii="宋体" w:hAnsi="宋体" w:cs="Arial"/>
              </w:rPr>
              <w:t>看FFT</w:t>
            </w:r>
            <w:r>
              <w:rPr>
                <w:rFonts w:ascii="宋体" w:hAnsi="宋体" w:cs="微软雅黑"/>
              </w:rPr>
              <w:t>图</w:t>
            </w:r>
            <w:r>
              <w:rPr>
                <w:rFonts w:ascii="宋体" w:hAnsi="宋体" w:cs="Arial"/>
              </w:rPr>
              <w:t>、占空比</w:t>
            </w:r>
            <w:r>
              <w:rPr>
                <w:rFonts w:ascii="宋体" w:hAnsi="宋体" w:cs="微软雅黑"/>
              </w:rPr>
              <w:t>图</w:t>
            </w:r>
            <w:r>
              <w:rPr>
                <w:rFonts w:ascii="宋体" w:hAnsi="宋体" w:cs="Arial"/>
              </w:rPr>
              <w:t>、干</w:t>
            </w:r>
            <w:r>
              <w:rPr>
                <w:rFonts w:ascii="宋体" w:hAnsi="宋体" w:cs="微软雅黑"/>
              </w:rPr>
              <w:t>扰设备</w:t>
            </w:r>
            <w:r>
              <w:rPr>
                <w:rFonts w:ascii="宋体" w:hAnsi="宋体" w:cs="Arial"/>
              </w:rPr>
              <w:t>列表、信道占用率列表、干</w:t>
            </w:r>
            <w:r>
              <w:rPr>
                <w:rFonts w:ascii="宋体" w:hAnsi="宋体" w:cs="微软雅黑"/>
              </w:rPr>
              <w:t>扰</w:t>
            </w:r>
            <w:r>
              <w:rPr>
                <w:rFonts w:ascii="宋体" w:hAnsi="宋体" w:cs="Arial"/>
              </w:rPr>
              <w:t>功率列表、信道</w:t>
            </w:r>
            <w:r>
              <w:rPr>
                <w:rFonts w:ascii="宋体" w:hAnsi="宋体" w:cs="微软雅黑"/>
              </w:rPr>
              <w:t>质</w:t>
            </w:r>
            <w:r>
              <w:rPr>
                <w:rFonts w:ascii="宋体" w:hAnsi="宋体" w:cs="Arial"/>
              </w:rPr>
              <w:t>量列表等。</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6</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物</w:t>
            </w:r>
            <w:r>
              <w:rPr>
                <w:rFonts w:ascii="宋体" w:hAnsi="宋体" w:cs="微软雅黑"/>
              </w:rPr>
              <w:t>联</w:t>
            </w:r>
            <w:r>
              <w:rPr>
                <w:rFonts w:ascii="宋体" w:hAnsi="宋体" w:cs="Arial"/>
              </w:rPr>
              <w:t>网</w:t>
            </w:r>
            <w:r>
              <w:rPr>
                <w:rFonts w:ascii="宋体" w:hAnsi="宋体" w:cs="微软雅黑"/>
              </w:rPr>
              <w:t>业务</w:t>
            </w:r>
            <w:r>
              <w:rPr>
                <w:rFonts w:ascii="宋体" w:hAnsi="宋体" w:cs="Arial"/>
              </w:rPr>
              <w:t>支撑</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每个AP支持多个SSID，每个SSID可以根据不同</w:t>
            </w:r>
            <w:r>
              <w:rPr>
                <w:rFonts w:ascii="宋体" w:hAnsi="宋体" w:cs="微软雅黑"/>
              </w:rPr>
              <w:t>业务</w:t>
            </w:r>
            <w:r>
              <w:rPr>
                <w:rFonts w:ascii="宋体" w:hAnsi="宋体" w:cs="Arial"/>
              </w:rPr>
              <w:t>，分别跟不同的无</w:t>
            </w:r>
            <w:r>
              <w:rPr>
                <w:rFonts w:ascii="宋体" w:hAnsi="宋体" w:cs="微软雅黑"/>
              </w:rPr>
              <w:t>线</w:t>
            </w:r>
            <w:r>
              <w:rPr>
                <w:rFonts w:ascii="宋体" w:hAnsi="宋体" w:cs="Arial"/>
              </w:rPr>
              <w:t>控制器建立隧道，</w:t>
            </w:r>
            <w:r>
              <w:rPr>
                <w:rFonts w:ascii="宋体" w:hAnsi="宋体" w:cs="微软雅黑"/>
              </w:rPr>
              <w:t>组</w:t>
            </w:r>
            <w:r>
              <w:rPr>
                <w:rFonts w:ascii="宋体" w:hAnsi="宋体" w:cs="Arial"/>
              </w:rPr>
              <w:t>建虚</w:t>
            </w:r>
            <w:r>
              <w:rPr>
                <w:rFonts w:ascii="宋体" w:hAnsi="宋体" w:cs="微软雅黑"/>
              </w:rPr>
              <w:t>拟</w:t>
            </w:r>
            <w:r>
              <w:rPr>
                <w:rFonts w:ascii="宋体" w:hAnsi="宋体" w:cs="Arial"/>
              </w:rPr>
              <w:t>物</w:t>
            </w:r>
            <w:r>
              <w:rPr>
                <w:rFonts w:ascii="宋体" w:hAnsi="宋体" w:cs="微软雅黑"/>
              </w:rPr>
              <w:t>联</w:t>
            </w:r>
            <w:r>
              <w:rPr>
                <w:rFonts w:ascii="宋体" w:hAnsi="宋体" w:cs="Arial"/>
              </w:rPr>
              <w:t>网</w:t>
            </w:r>
            <w:r>
              <w:rPr>
                <w:rFonts w:ascii="宋体" w:hAnsi="宋体" w:cs="微软雅黑"/>
              </w:rPr>
              <w:t>专</w:t>
            </w:r>
            <w:r>
              <w:rPr>
                <w:rFonts w:ascii="宋体" w:hAnsi="宋体" w:cs="Arial"/>
              </w:rPr>
              <w:t>网。</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7</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微软雅黑"/>
              </w:rPr>
              <w:t>设备识</w:t>
            </w:r>
            <w:r>
              <w:rPr>
                <w:rFonts w:ascii="宋体" w:hAnsi="宋体" w:cs="Arial"/>
              </w:rPr>
              <w:t>别和控制</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支持自</w:t>
            </w:r>
            <w:r>
              <w:rPr>
                <w:rFonts w:ascii="宋体" w:hAnsi="宋体" w:cs="微软雅黑"/>
              </w:rPr>
              <w:t>动设</w:t>
            </w:r>
            <w:r>
              <w:rPr>
                <w:rFonts w:ascii="宋体" w:hAnsi="宋体" w:cs="Arial"/>
              </w:rPr>
              <w:t>别</w:t>
            </w:r>
            <w:r>
              <w:rPr>
                <w:rFonts w:ascii="宋体" w:hAnsi="宋体" w:cs="微软雅黑"/>
              </w:rPr>
              <w:t>终</w:t>
            </w:r>
            <w:r>
              <w:rPr>
                <w:rFonts w:ascii="宋体" w:hAnsi="宋体" w:cs="Arial"/>
              </w:rPr>
              <w:t>端类型（例如Window、iPad，iPhone，Android），并</w:t>
            </w:r>
            <w:r>
              <w:rPr>
                <w:rFonts w:ascii="宋体" w:hAnsi="宋体" w:cs="微软雅黑"/>
              </w:rPr>
              <w:t>针对</w:t>
            </w:r>
            <w:r>
              <w:rPr>
                <w:rFonts w:ascii="宋体" w:hAnsi="宋体" w:cs="Arial"/>
              </w:rPr>
              <w:t>不同</w:t>
            </w:r>
            <w:r>
              <w:rPr>
                <w:rFonts w:ascii="宋体" w:hAnsi="宋体" w:cs="微软雅黑"/>
              </w:rPr>
              <w:t>设备</w:t>
            </w:r>
            <w:r>
              <w:rPr>
                <w:rFonts w:ascii="宋体" w:hAnsi="宋体" w:cs="Arial"/>
              </w:rPr>
              <w:t>作相</w:t>
            </w:r>
            <w:r>
              <w:rPr>
                <w:rFonts w:ascii="宋体" w:hAnsi="宋体" w:cs="微软雅黑"/>
              </w:rPr>
              <w:t>应</w:t>
            </w:r>
            <w:r>
              <w:rPr>
                <w:rFonts w:ascii="宋体" w:hAnsi="宋体" w:cs="Arial"/>
              </w:rPr>
              <w:t>的安全控制策略，支持不同的</w:t>
            </w:r>
            <w:r>
              <w:rPr>
                <w:rFonts w:ascii="宋体" w:hAnsi="宋体" w:cs="微软雅黑"/>
              </w:rPr>
              <w:t>终</w:t>
            </w:r>
            <w:r>
              <w:rPr>
                <w:rFonts w:ascii="宋体" w:hAnsi="宋体" w:cs="Arial"/>
              </w:rPr>
              <w:t>端类型</w:t>
            </w:r>
            <w:r>
              <w:rPr>
                <w:rFonts w:ascii="宋体" w:hAnsi="宋体" w:cs="微软雅黑"/>
              </w:rPr>
              <w:t>赋</w:t>
            </w:r>
            <w:r>
              <w:rPr>
                <w:rFonts w:ascii="宋体" w:hAnsi="宋体" w:cs="Arial"/>
              </w:rPr>
              <w:t>予不同的Portal</w:t>
            </w:r>
            <w:r>
              <w:rPr>
                <w:rFonts w:ascii="宋体" w:hAnsi="宋体" w:cs="微软雅黑"/>
              </w:rPr>
              <w:t>认证页</w:t>
            </w:r>
            <w:r>
              <w:rPr>
                <w:rFonts w:ascii="宋体" w:hAnsi="宋体" w:cs="Arial"/>
              </w:rPr>
              <w:t>面与</w:t>
            </w:r>
            <w:r>
              <w:rPr>
                <w:rFonts w:ascii="宋体" w:hAnsi="宋体" w:cs="微软雅黑"/>
              </w:rPr>
              <w:t>欢</w:t>
            </w:r>
            <w:r>
              <w:rPr>
                <w:rFonts w:ascii="宋体" w:hAnsi="宋体" w:cs="Arial"/>
              </w:rPr>
              <w:t>迎</w:t>
            </w:r>
            <w:r>
              <w:rPr>
                <w:rFonts w:ascii="宋体" w:hAnsi="宋体" w:cs="微软雅黑"/>
              </w:rPr>
              <w:t>页</w:t>
            </w:r>
            <w:r>
              <w:rPr>
                <w:rFonts w:ascii="宋体" w:hAnsi="宋体" w:cs="Arial"/>
              </w:rPr>
              <w:t>面。</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8</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微软雅黑"/>
              </w:rPr>
              <w:t>应</w:t>
            </w:r>
            <w:r>
              <w:rPr>
                <w:rFonts w:ascii="宋体" w:hAnsi="宋体" w:cs="Arial"/>
              </w:rPr>
              <w:t>用</w:t>
            </w:r>
            <w:r>
              <w:rPr>
                <w:rFonts w:ascii="宋体" w:hAnsi="宋体" w:cs="微软雅黑"/>
              </w:rPr>
              <w:t>识</w:t>
            </w:r>
            <w:r>
              <w:rPr>
                <w:rFonts w:ascii="宋体" w:hAnsi="宋体" w:cs="Arial"/>
              </w:rPr>
              <w:t>别</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可以</w:t>
            </w:r>
            <w:r>
              <w:rPr>
                <w:rFonts w:ascii="宋体" w:hAnsi="宋体" w:cs="微软雅黑"/>
              </w:rPr>
              <w:t>识</w:t>
            </w:r>
            <w:r>
              <w:rPr>
                <w:rFonts w:ascii="宋体" w:hAnsi="宋体" w:cs="Arial"/>
              </w:rPr>
              <w:t>别出常用的</w:t>
            </w:r>
            <w:r>
              <w:rPr>
                <w:rFonts w:ascii="宋体" w:hAnsi="宋体" w:cs="微软雅黑"/>
              </w:rPr>
              <w:t>应</w:t>
            </w:r>
            <w:r>
              <w:rPr>
                <w:rFonts w:ascii="宋体" w:hAnsi="宋体" w:cs="Arial"/>
              </w:rPr>
              <w:t>用类型，如微信、QQ、流媒体、</w:t>
            </w:r>
            <w:r>
              <w:rPr>
                <w:rFonts w:ascii="宋体" w:hAnsi="宋体" w:cs="微软雅黑"/>
              </w:rPr>
              <w:t>购</w:t>
            </w:r>
            <w:r>
              <w:rPr>
                <w:rFonts w:ascii="宋体" w:hAnsi="宋体" w:cs="Arial"/>
              </w:rPr>
              <w:t>物、游</w:t>
            </w:r>
            <w:r>
              <w:rPr>
                <w:rFonts w:ascii="宋体" w:hAnsi="宋体" w:cs="微软雅黑"/>
              </w:rPr>
              <w:t>戏</w:t>
            </w:r>
            <w:r>
              <w:rPr>
                <w:rFonts w:ascii="宋体" w:hAnsi="宋体" w:cs="Arial"/>
              </w:rPr>
              <w:t>、WEB、IP地址和端口，并通</w:t>
            </w:r>
            <w:r>
              <w:rPr>
                <w:rFonts w:ascii="宋体" w:hAnsi="宋体" w:cs="微软雅黑"/>
              </w:rPr>
              <w:t>过图</w:t>
            </w:r>
            <w:r>
              <w:rPr>
                <w:rFonts w:ascii="宋体" w:hAnsi="宋体" w:cs="Arial"/>
              </w:rPr>
              <w:t>形界面</w:t>
            </w:r>
            <w:r>
              <w:rPr>
                <w:rFonts w:ascii="宋体" w:hAnsi="宋体" w:cs="微软雅黑"/>
              </w:rPr>
              <w:t>显</w:t>
            </w:r>
            <w:r>
              <w:rPr>
                <w:rFonts w:ascii="宋体" w:hAnsi="宋体" w:cs="Arial"/>
              </w:rPr>
              <w:t>示流量和用</w:t>
            </w:r>
            <w:r>
              <w:rPr>
                <w:rFonts w:ascii="宋体" w:hAnsi="宋体" w:cs="微软雅黑"/>
              </w:rPr>
              <w:t>户</w:t>
            </w:r>
            <w:r>
              <w:rPr>
                <w:rFonts w:ascii="宋体" w:hAnsi="宋体" w:cs="Arial"/>
              </w:rPr>
              <w:t>数，管理人</w:t>
            </w:r>
            <w:r>
              <w:rPr>
                <w:rFonts w:ascii="宋体" w:hAnsi="宋体" w:cs="微软雅黑"/>
              </w:rPr>
              <w:t>员</w:t>
            </w:r>
            <w:r>
              <w:rPr>
                <w:rFonts w:ascii="宋体" w:hAnsi="宋体" w:cs="Arial"/>
              </w:rPr>
              <w:t>可以根据不同</w:t>
            </w:r>
            <w:r>
              <w:rPr>
                <w:rFonts w:ascii="宋体" w:hAnsi="宋体" w:cs="微软雅黑"/>
              </w:rPr>
              <w:t>应</w:t>
            </w:r>
            <w:r>
              <w:rPr>
                <w:rFonts w:ascii="宋体" w:hAnsi="宋体" w:cs="Arial"/>
              </w:rPr>
              <w:t>用限制</w:t>
            </w:r>
            <w:r>
              <w:rPr>
                <w:rFonts w:ascii="宋体" w:hAnsi="宋体" w:cs="微软雅黑"/>
              </w:rPr>
              <w:t>带宽</w:t>
            </w:r>
            <w:r>
              <w:rPr>
                <w:rFonts w:ascii="宋体" w:hAnsi="宋体" w:cs="Arial"/>
              </w:rPr>
              <w:t>或拒</w:t>
            </w:r>
            <w:r>
              <w:rPr>
                <w:rFonts w:ascii="宋体" w:hAnsi="宋体" w:cs="微软雅黑"/>
              </w:rPr>
              <w:t>绝访问</w:t>
            </w:r>
            <w:r>
              <w:rPr>
                <w:rFonts w:ascii="宋体" w:hAnsi="宋体" w:cs="Arial"/>
              </w:rPr>
              <w:t>。</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9</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安全功能</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支持用</w:t>
            </w:r>
            <w:r>
              <w:rPr>
                <w:rFonts w:ascii="宋体" w:hAnsi="宋体" w:cs="微软雅黑"/>
              </w:rPr>
              <w:t>户</w:t>
            </w:r>
            <w:r>
              <w:rPr>
                <w:rFonts w:ascii="宋体" w:hAnsi="宋体" w:cs="Arial"/>
              </w:rPr>
              <w:t>之</w:t>
            </w:r>
            <w:r>
              <w:rPr>
                <w:rFonts w:ascii="宋体" w:hAnsi="宋体" w:cs="微软雅黑"/>
              </w:rPr>
              <w:t>间</w:t>
            </w:r>
            <w:r>
              <w:rPr>
                <w:rFonts w:ascii="宋体" w:hAnsi="宋体" w:cs="Arial"/>
              </w:rPr>
              <w:t>的隔离；支持ARP攻</w:t>
            </w:r>
            <w:r>
              <w:rPr>
                <w:rFonts w:ascii="宋体" w:hAnsi="宋体" w:cs="微软雅黑"/>
              </w:rPr>
              <w:t>击</w:t>
            </w:r>
            <w:r>
              <w:rPr>
                <w:rFonts w:ascii="宋体" w:hAnsi="宋体" w:cs="Arial"/>
              </w:rPr>
              <w:t>防御。</w:t>
            </w:r>
          </w:p>
          <w:p>
            <w:pPr>
              <w:jc w:val="center"/>
              <w:rPr>
                <w:rFonts w:ascii="宋体" w:hAnsi="宋体" w:cs="Arial"/>
              </w:rPr>
            </w:pPr>
            <w:r>
              <w:rPr>
                <w:rFonts w:ascii="宋体" w:hAnsi="宋体" w:cs="Arial"/>
              </w:rPr>
              <w:t>支持强制DHCP</w:t>
            </w:r>
            <w:r>
              <w:rPr>
                <w:rFonts w:ascii="宋体" w:hAnsi="宋体" w:cs="微软雅黑"/>
              </w:rPr>
              <w:t>获</w:t>
            </w:r>
            <w:r>
              <w:rPr>
                <w:rFonts w:ascii="宋体" w:hAnsi="宋体" w:cs="Arial"/>
              </w:rPr>
              <w:t>取IP地址的用</w:t>
            </w:r>
            <w:r>
              <w:rPr>
                <w:rFonts w:ascii="宋体" w:hAnsi="宋体" w:cs="微软雅黑"/>
              </w:rPr>
              <w:t>户</w:t>
            </w:r>
            <w:r>
              <w:rPr>
                <w:rFonts w:ascii="宋体" w:hAnsi="宋体" w:cs="Arial"/>
              </w:rPr>
              <w:t>才能正常上网。</w:t>
            </w:r>
          </w:p>
          <w:p>
            <w:pPr>
              <w:jc w:val="center"/>
              <w:rPr>
                <w:rFonts w:ascii="宋体" w:hAnsi="宋体" w:cs="Arial"/>
              </w:rPr>
            </w:pPr>
            <w:r>
              <w:rPr>
                <w:rFonts w:ascii="宋体" w:hAnsi="宋体" w:cs="Arial"/>
              </w:rPr>
              <w:t>支持基于IP、域名、端口的安全控制。</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10</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USB接口</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rPr>
              <w:t>集成USB接口，可以作为物联网设备扩展接口。（提供官网截图和产品彩页证明）</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11</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Segoe UI Symbol"/>
              </w:rPr>
              <w:t>★</w:t>
            </w:r>
            <w:r>
              <w:rPr>
                <w:rFonts w:ascii="宋体" w:hAnsi="宋体" w:cs="Arial"/>
              </w:rPr>
              <w:t>物</w:t>
            </w:r>
            <w:r>
              <w:rPr>
                <w:rFonts w:ascii="宋体" w:hAnsi="宋体" w:cs="微软雅黑"/>
              </w:rPr>
              <w:t>联</w:t>
            </w:r>
            <w:r>
              <w:rPr>
                <w:rFonts w:ascii="宋体" w:hAnsi="宋体" w:cs="Arial"/>
              </w:rPr>
              <w:t>网</w:t>
            </w:r>
            <w:r>
              <w:rPr>
                <w:rFonts w:ascii="宋体" w:hAnsi="宋体" w:cs="微软雅黑"/>
              </w:rPr>
              <w:t>协议</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内置Zigbee和BLE（</w:t>
            </w:r>
            <w:r>
              <w:rPr>
                <w:rFonts w:ascii="宋体" w:hAnsi="宋体" w:cs="微软雅黑"/>
              </w:rPr>
              <w:t>蓝</w:t>
            </w:r>
            <w:r>
              <w:rPr>
                <w:rFonts w:ascii="宋体" w:hAnsi="宋体" w:cs="Arial"/>
              </w:rPr>
              <w:t>牙）射</w:t>
            </w:r>
            <w:r>
              <w:rPr>
                <w:rFonts w:ascii="宋体" w:hAnsi="宋体" w:cs="微软雅黑"/>
              </w:rPr>
              <w:t>频</w:t>
            </w:r>
            <w:r>
              <w:rPr>
                <w:rFonts w:ascii="宋体" w:hAnsi="宋体" w:cs="Arial"/>
              </w:rPr>
              <w:t>模</w:t>
            </w:r>
            <w:r>
              <w:rPr>
                <w:rFonts w:ascii="宋体" w:hAnsi="宋体" w:cs="微软雅黑"/>
              </w:rPr>
              <w:t>块</w:t>
            </w:r>
            <w:r>
              <w:rPr>
                <w:rFonts w:ascii="宋体" w:hAnsi="宋体" w:cs="Arial"/>
              </w:rPr>
              <w:t>。（提供官网截</w:t>
            </w:r>
            <w:r>
              <w:rPr>
                <w:rFonts w:ascii="宋体" w:hAnsi="宋体" w:cs="微软雅黑"/>
              </w:rPr>
              <w:t>图</w:t>
            </w:r>
            <w:r>
              <w:rPr>
                <w:rFonts w:ascii="宋体" w:hAnsi="宋体" w:cs="Arial"/>
              </w:rPr>
              <w:t>和</w:t>
            </w:r>
            <w:r>
              <w:rPr>
                <w:rFonts w:ascii="宋体" w:hAnsi="宋体" w:cs="微软雅黑"/>
              </w:rPr>
              <w:t>产</w:t>
            </w:r>
            <w:r>
              <w:rPr>
                <w:rFonts w:ascii="宋体" w:hAnsi="宋体" w:cs="Arial"/>
              </w:rPr>
              <w:t>品彩</w:t>
            </w:r>
            <w:r>
              <w:rPr>
                <w:rFonts w:ascii="宋体" w:hAnsi="宋体" w:cs="微软雅黑"/>
              </w:rPr>
              <w:t>页证</w:t>
            </w:r>
            <w:r>
              <w:rPr>
                <w:rFonts w:ascii="宋体" w:hAnsi="宋体" w:cs="Arial"/>
              </w:rPr>
              <w:t>明）</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12</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WIFI</w:t>
            </w:r>
            <w:r>
              <w:rPr>
                <w:rFonts w:ascii="宋体" w:hAnsi="宋体" w:cs="微软雅黑"/>
              </w:rPr>
              <w:t>认证</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提供投</w:t>
            </w:r>
            <w:r>
              <w:rPr>
                <w:rFonts w:ascii="宋体" w:hAnsi="宋体" w:cs="微软雅黑"/>
              </w:rPr>
              <w:t>标</w:t>
            </w:r>
            <w:r>
              <w:rPr>
                <w:rFonts w:ascii="宋体" w:hAnsi="宋体" w:cs="Arial"/>
              </w:rPr>
              <w:t>AP和无</w:t>
            </w:r>
            <w:r>
              <w:rPr>
                <w:rFonts w:ascii="宋体" w:hAnsi="宋体" w:cs="微软雅黑"/>
              </w:rPr>
              <w:t>线</w:t>
            </w:r>
            <w:r>
              <w:rPr>
                <w:rFonts w:ascii="宋体" w:hAnsi="宋体" w:cs="Arial"/>
              </w:rPr>
              <w:t>控制器的WiFi</w:t>
            </w:r>
            <w:r>
              <w:rPr>
                <w:rFonts w:ascii="宋体" w:hAnsi="宋体" w:cs="微软雅黑"/>
              </w:rPr>
              <w:t>联</w:t>
            </w:r>
            <w:r>
              <w:rPr>
                <w:rFonts w:ascii="宋体" w:hAnsi="宋体" w:cs="Arial"/>
              </w:rPr>
              <w:t>盟</w:t>
            </w:r>
            <w:r>
              <w:rPr>
                <w:rFonts w:ascii="宋体" w:hAnsi="宋体" w:cs="微软雅黑"/>
              </w:rPr>
              <w:t>组</w:t>
            </w:r>
            <w:r>
              <w:rPr>
                <w:rFonts w:ascii="宋体" w:hAnsi="宋体" w:cs="Arial"/>
              </w:rPr>
              <w:t>合</w:t>
            </w:r>
            <w:r>
              <w:rPr>
                <w:rFonts w:ascii="宋体" w:hAnsi="宋体" w:cs="微软雅黑"/>
              </w:rPr>
              <w:t>认证</w:t>
            </w:r>
            <w:r>
              <w:rPr>
                <w:rFonts w:ascii="宋体" w:hAnsi="宋体" w:cs="Arial"/>
              </w:rPr>
              <w:t>。（提供官网</w:t>
            </w:r>
            <w:r>
              <w:rPr>
                <w:rFonts w:ascii="宋体" w:hAnsi="宋体" w:cs="微软雅黑"/>
              </w:rPr>
              <w:t>链</w:t>
            </w:r>
            <w:r>
              <w:rPr>
                <w:rFonts w:ascii="宋体" w:hAnsi="宋体" w:cs="Arial"/>
              </w:rPr>
              <w:t>接和</w:t>
            </w:r>
            <w:r>
              <w:rPr>
                <w:rFonts w:ascii="宋体" w:hAnsi="宋体" w:cs="微软雅黑"/>
              </w:rPr>
              <w:t>证</w:t>
            </w:r>
            <w:r>
              <w:rPr>
                <w:rFonts w:ascii="宋体" w:hAnsi="宋体" w:cs="Arial"/>
              </w:rPr>
              <w:t>明）</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13</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微软雅黑"/>
              </w:rPr>
              <w:t>电</w:t>
            </w:r>
            <w:r>
              <w:rPr>
                <w:rFonts w:ascii="宋体" w:hAnsi="宋体" w:cs="Arial"/>
              </w:rPr>
              <w:t>磁</w:t>
            </w:r>
            <w:r>
              <w:rPr>
                <w:rFonts w:ascii="宋体" w:hAnsi="宋体" w:cs="微软雅黑"/>
              </w:rPr>
              <w:t>环</w:t>
            </w:r>
            <w:r>
              <w:rPr>
                <w:rFonts w:ascii="宋体" w:hAnsi="宋体" w:cs="Arial"/>
              </w:rPr>
              <w:t>境</w:t>
            </w:r>
            <w:r>
              <w:rPr>
                <w:rFonts w:ascii="宋体" w:hAnsi="宋体" w:cs="微软雅黑"/>
              </w:rPr>
              <w:t>认证</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提供投</w:t>
            </w:r>
            <w:r>
              <w:rPr>
                <w:rFonts w:ascii="宋体" w:hAnsi="宋体" w:cs="微软雅黑"/>
              </w:rPr>
              <w:t>标</w:t>
            </w:r>
            <w:r>
              <w:rPr>
                <w:rFonts w:ascii="宋体" w:hAnsi="宋体" w:cs="Arial"/>
              </w:rPr>
              <w:t>AP的TUV</w:t>
            </w:r>
            <w:r>
              <w:rPr>
                <w:rFonts w:ascii="宋体" w:hAnsi="宋体" w:cs="微软雅黑"/>
              </w:rPr>
              <w:t>电</w:t>
            </w:r>
            <w:r>
              <w:rPr>
                <w:rFonts w:ascii="宋体" w:hAnsi="宋体" w:cs="Arial"/>
              </w:rPr>
              <w:t>磁</w:t>
            </w:r>
            <w:r>
              <w:rPr>
                <w:rFonts w:ascii="宋体" w:hAnsi="宋体" w:cs="微软雅黑"/>
              </w:rPr>
              <w:t>环</w:t>
            </w:r>
            <w:r>
              <w:rPr>
                <w:rFonts w:ascii="宋体" w:hAnsi="宋体" w:cs="Arial"/>
              </w:rPr>
              <w:t>境</w:t>
            </w:r>
            <w:r>
              <w:rPr>
                <w:rFonts w:ascii="宋体" w:hAnsi="宋体" w:cs="微软雅黑"/>
              </w:rPr>
              <w:t>认证</w:t>
            </w:r>
            <w:r>
              <w:rPr>
                <w:rFonts w:ascii="宋体" w:hAnsi="宋体" w:cs="Arial"/>
              </w:rPr>
              <w:t>。（提供</w:t>
            </w:r>
            <w:r>
              <w:rPr>
                <w:rFonts w:ascii="宋体" w:hAnsi="宋体" w:cs="微软雅黑"/>
              </w:rPr>
              <w:t>证书</w:t>
            </w:r>
            <w:r>
              <w:rPr>
                <w:rFonts w:ascii="宋体" w:hAnsi="宋体" w:cs="Arial"/>
              </w:rPr>
              <w:t>）</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14</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Segoe UI Symbol"/>
              </w:rPr>
              <w:t>★</w:t>
            </w:r>
            <w:r>
              <w:rPr>
                <w:rFonts w:ascii="宋体" w:hAnsi="宋体" w:cs="微软雅黑"/>
              </w:rPr>
              <w:t>远</w:t>
            </w:r>
            <w:r>
              <w:rPr>
                <w:rFonts w:ascii="宋体" w:hAnsi="宋体" w:cs="Arial"/>
              </w:rPr>
              <w:t>程工作模式</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AP支持</w:t>
            </w:r>
            <w:r>
              <w:rPr>
                <w:rFonts w:ascii="宋体" w:hAnsi="宋体" w:cs="微软雅黑"/>
              </w:rPr>
              <w:t>远</w:t>
            </w:r>
            <w:r>
              <w:rPr>
                <w:rFonts w:ascii="宋体" w:hAnsi="宋体" w:cs="Arial"/>
              </w:rPr>
              <w:t>程部署模式，可以通</w:t>
            </w:r>
            <w:r>
              <w:rPr>
                <w:rFonts w:ascii="宋体" w:hAnsi="宋体" w:cs="微软雅黑"/>
              </w:rPr>
              <w:t>过</w:t>
            </w:r>
            <w:r>
              <w:rPr>
                <w:rFonts w:ascii="宋体" w:hAnsi="宋体" w:cs="Arial"/>
              </w:rPr>
              <w:t>互</w:t>
            </w:r>
            <w:r>
              <w:rPr>
                <w:rFonts w:ascii="宋体" w:hAnsi="宋体" w:cs="微软雅黑"/>
              </w:rPr>
              <w:t>联</w:t>
            </w:r>
            <w:r>
              <w:rPr>
                <w:rFonts w:ascii="宋体" w:hAnsi="宋体" w:cs="Arial"/>
              </w:rPr>
              <w:t>网与控制器建立IPSec VPN通道。能够</w:t>
            </w:r>
            <w:r>
              <w:rPr>
                <w:rFonts w:ascii="宋体" w:hAnsi="宋体" w:cs="微软雅黑"/>
              </w:rPr>
              <w:t>满</w:t>
            </w:r>
            <w:r>
              <w:rPr>
                <w:rFonts w:ascii="宋体" w:hAnsi="宋体" w:cs="Arial"/>
              </w:rPr>
              <w:t>足疫情期</w:t>
            </w:r>
            <w:r>
              <w:rPr>
                <w:rFonts w:ascii="宋体" w:hAnsi="宋体" w:cs="微软雅黑"/>
              </w:rPr>
              <w:t>间</w:t>
            </w:r>
            <w:r>
              <w:rPr>
                <w:rFonts w:ascii="宋体" w:hAnsi="宋体" w:cs="Arial"/>
              </w:rPr>
              <w:t>，在校外</w:t>
            </w:r>
            <w:r>
              <w:rPr>
                <w:rFonts w:ascii="宋体" w:hAnsi="宋体" w:cs="微软雅黑"/>
              </w:rPr>
              <w:t>办</w:t>
            </w:r>
            <w:r>
              <w:rPr>
                <w:rFonts w:ascii="宋体" w:hAnsi="宋体" w:cs="Arial"/>
              </w:rPr>
              <w:t>公和教学的</w:t>
            </w:r>
            <w:r>
              <w:rPr>
                <w:rFonts w:ascii="宋体" w:hAnsi="宋体" w:cs="微软雅黑"/>
              </w:rPr>
              <w:t>组</w:t>
            </w:r>
            <w:r>
              <w:rPr>
                <w:rFonts w:ascii="宋体" w:hAnsi="宋体" w:cs="Arial"/>
              </w:rPr>
              <w:t>网需求。（提供官网截</w:t>
            </w:r>
            <w:r>
              <w:rPr>
                <w:rFonts w:ascii="宋体" w:hAnsi="宋体" w:cs="微软雅黑"/>
              </w:rPr>
              <w:t>图</w:t>
            </w:r>
            <w:r>
              <w:rPr>
                <w:rFonts w:ascii="宋体" w:hAnsi="宋体" w:cs="Arial"/>
              </w:rPr>
              <w:t>和</w:t>
            </w:r>
            <w:r>
              <w:rPr>
                <w:rFonts w:ascii="宋体" w:hAnsi="宋体" w:cs="微软雅黑"/>
              </w:rPr>
              <w:t>产</w:t>
            </w:r>
            <w:r>
              <w:rPr>
                <w:rFonts w:ascii="宋体" w:hAnsi="宋体" w:cs="Arial"/>
              </w:rPr>
              <w:t>品彩</w:t>
            </w:r>
            <w:r>
              <w:rPr>
                <w:rFonts w:ascii="宋体" w:hAnsi="宋体" w:cs="微软雅黑"/>
              </w:rPr>
              <w:t>页证</w:t>
            </w:r>
            <w:r>
              <w:rPr>
                <w:rFonts w:ascii="宋体" w:hAnsi="宋体" w:cs="Arial"/>
              </w:rPr>
              <w:t>明）</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15</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云管理</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AP支持通</w:t>
            </w:r>
            <w:r>
              <w:rPr>
                <w:rFonts w:ascii="宋体" w:hAnsi="宋体" w:cs="微软雅黑"/>
              </w:rPr>
              <w:t>过</w:t>
            </w:r>
            <w:r>
              <w:rPr>
                <w:rFonts w:ascii="宋体" w:hAnsi="宋体" w:cs="Arial"/>
              </w:rPr>
              <w:t>云平台管理。（提供官网截</w:t>
            </w:r>
            <w:r>
              <w:rPr>
                <w:rFonts w:ascii="宋体" w:hAnsi="宋体" w:cs="微软雅黑"/>
              </w:rPr>
              <w:t>图</w:t>
            </w:r>
            <w:r>
              <w:rPr>
                <w:rFonts w:ascii="宋体" w:hAnsi="宋体" w:cs="Arial"/>
              </w:rPr>
              <w:t>和</w:t>
            </w:r>
            <w:r>
              <w:rPr>
                <w:rFonts w:ascii="宋体" w:hAnsi="宋体" w:cs="微软雅黑"/>
              </w:rPr>
              <w:t>产</w:t>
            </w:r>
            <w:r>
              <w:rPr>
                <w:rFonts w:ascii="宋体" w:hAnsi="宋体" w:cs="Arial"/>
              </w:rPr>
              <w:t>品彩</w:t>
            </w:r>
            <w:r>
              <w:rPr>
                <w:rFonts w:ascii="宋体" w:hAnsi="宋体" w:cs="微软雅黑"/>
              </w:rPr>
              <w:t>页证</w:t>
            </w:r>
            <w:r>
              <w:rPr>
                <w:rFonts w:ascii="宋体" w:hAnsi="宋体" w:cs="Arial"/>
              </w:rPr>
              <w:t>明）</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16</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rPr>
            </w:pPr>
            <w:r>
              <w:rPr>
                <w:rFonts w:ascii="宋体" w:hAnsi="宋体"/>
              </w:rPr>
              <w:t>无控制器工作模式</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rPr>
            </w:pPr>
            <w:r>
              <w:rPr>
                <w:rFonts w:ascii="宋体" w:hAnsi="宋体"/>
              </w:rPr>
              <w:t>AP支持无控制器工作模式，某一台AP会被选作虚拟控制器，管理其它AP。</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17</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抗蜂</w:t>
            </w:r>
            <w:r>
              <w:rPr>
                <w:rFonts w:ascii="宋体" w:hAnsi="宋体" w:cs="微软雅黑"/>
              </w:rPr>
              <w:t>窝</w:t>
            </w:r>
            <w:r>
              <w:rPr>
                <w:rFonts w:ascii="宋体" w:hAnsi="宋体" w:cs="Arial"/>
              </w:rPr>
              <w:t>干</w:t>
            </w:r>
            <w:r>
              <w:rPr>
                <w:rFonts w:ascii="宋体" w:hAnsi="宋体" w:cs="微软雅黑"/>
              </w:rPr>
              <w:t>扰</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AP内置</w:t>
            </w:r>
            <w:r>
              <w:rPr>
                <w:rFonts w:ascii="宋体" w:hAnsi="宋体" w:cs="微软雅黑"/>
              </w:rPr>
              <w:t>滤</w:t>
            </w:r>
            <w:r>
              <w:rPr>
                <w:rFonts w:ascii="宋体" w:hAnsi="宋体" w:cs="Arial"/>
              </w:rPr>
              <w:t>波器，能够将来自蜂</w:t>
            </w:r>
            <w:r>
              <w:rPr>
                <w:rFonts w:ascii="宋体" w:hAnsi="宋体" w:cs="微软雅黑"/>
              </w:rPr>
              <w:t>窝</w:t>
            </w:r>
            <w:r>
              <w:rPr>
                <w:rFonts w:ascii="宋体" w:hAnsi="宋体" w:cs="Arial"/>
              </w:rPr>
              <w:t>网</w:t>
            </w:r>
            <w:r>
              <w:rPr>
                <w:rFonts w:ascii="宋体" w:hAnsi="宋体" w:cs="微软雅黑"/>
              </w:rPr>
              <w:t>络</w:t>
            </w:r>
            <w:r>
              <w:rPr>
                <w:rFonts w:ascii="宋体" w:hAnsi="宋体" w:cs="Arial"/>
              </w:rPr>
              <w:t>（3G/4G/5G）的</w:t>
            </w:r>
            <w:r>
              <w:rPr>
                <w:rFonts w:ascii="宋体" w:hAnsi="宋体" w:cs="微软雅黑"/>
              </w:rPr>
              <w:t>电</w:t>
            </w:r>
            <w:r>
              <w:rPr>
                <w:rFonts w:ascii="宋体" w:hAnsi="宋体" w:cs="Arial"/>
              </w:rPr>
              <w:t>磁干</w:t>
            </w:r>
            <w:r>
              <w:rPr>
                <w:rFonts w:ascii="宋体" w:hAnsi="宋体" w:cs="微软雅黑"/>
              </w:rPr>
              <w:t>扰</w:t>
            </w:r>
            <w:r>
              <w:rPr>
                <w:rFonts w:ascii="宋体" w:hAnsi="宋体" w:cs="Arial"/>
              </w:rPr>
              <w:t>影响降至最低。（提供官网截</w:t>
            </w:r>
            <w:r>
              <w:rPr>
                <w:rFonts w:ascii="宋体" w:hAnsi="宋体" w:cs="微软雅黑"/>
              </w:rPr>
              <w:t>图</w:t>
            </w:r>
            <w:r>
              <w:rPr>
                <w:rFonts w:ascii="宋体" w:hAnsi="宋体" w:cs="Arial"/>
              </w:rPr>
              <w:t>和</w:t>
            </w:r>
            <w:r>
              <w:rPr>
                <w:rFonts w:ascii="宋体" w:hAnsi="宋体" w:cs="微软雅黑"/>
              </w:rPr>
              <w:t>产</w:t>
            </w:r>
            <w:r>
              <w:rPr>
                <w:rFonts w:ascii="宋体" w:hAnsi="宋体" w:cs="Arial"/>
              </w:rPr>
              <w:t>品彩</w:t>
            </w:r>
            <w:r>
              <w:rPr>
                <w:rFonts w:ascii="宋体" w:hAnsi="宋体" w:cs="微软雅黑"/>
              </w:rPr>
              <w:t>页证</w:t>
            </w:r>
            <w:r>
              <w:rPr>
                <w:rFonts w:ascii="宋体" w:hAnsi="宋体" w:cs="Arial"/>
              </w:rPr>
              <w:t>明）</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ascii="宋体" w:hAnsi="宋体" w:cs="Arial"/>
              </w:rPr>
              <w:t>18</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供</w:t>
            </w:r>
            <w:r>
              <w:rPr>
                <w:rFonts w:ascii="宋体" w:hAnsi="宋体" w:cs="微软雅黑"/>
              </w:rPr>
              <w:t>电</w:t>
            </w:r>
            <w:r>
              <w:rPr>
                <w:rFonts w:ascii="宋体" w:hAnsi="宋体" w:cs="Arial"/>
              </w:rPr>
              <w:t>方式</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支持POE和本地</w:t>
            </w:r>
            <w:r>
              <w:rPr>
                <w:rFonts w:ascii="宋体" w:hAnsi="宋体" w:cs="微软雅黑"/>
              </w:rPr>
              <w:t>电</w:t>
            </w:r>
            <w:r>
              <w:rPr>
                <w:rFonts w:ascii="宋体" w:hAnsi="宋体" w:cs="Arial"/>
              </w:rPr>
              <w:t>源适配器供</w:t>
            </w:r>
            <w:r>
              <w:rPr>
                <w:rFonts w:ascii="宋体" w:hAnsi="宋体" w:cs="微软雅黑"/>
              </w:rPr>
              <w:t>电</w:t>
            </w:r>
            <w:r>
              <w:rPr>
                <w:rFonts w:ascii="宋体" w:hAnsi="宋体" w:cs="Arial"/>
              </w:rPr>
              <w:t>。</w:t>
            </w:r>
          </w:p>
        </w:tc>
      </w:tr>
      <w:tr>
        <w:tblPrEx>
          <w:tblCellMar>
            <w:top w:w="0" w:type="dxa"/>
            <w:left w:w="108" w:type="dxa"/>
            <w:bottom w:w="0" w:type="dxa"/>
            <w:right w:w="108" w:type="dxa"/>
          </w:tblCellMar>
        </w:tblPrEx>
        <w:trPr>
          <w:trHeight w:val="485" w:hRule="atLeast"/>
        </w:trPr>
        <w:tc>
          <w:tcPr>
            <w:tcW w:w="411"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rPr>
            </w:pPr>
            <w:r>
              <w:rPr>
                <w:rFonts w:hint="eastAsia" w:ascii="宋体" w:hAnsi="宋体" w:cs="Arial"/>
              </w:rPr>
              <w:t>19</w:t>
            </w:r>
          </w:p>
        </w:tc>
        <w:tc>
          <w:tcPr>
            <w:tcW w:w="90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color w:val="000000"/>
              </w:rPr>
            </w:pPr>
            <w:r>
              <w:rPr>
                <w:rFonts w:hint="eastAsia" w:ascii="宋体" w:hAnsi="宋体" w:cs="宋体"/>
              </w:rPr>
              <w:t>▲</w:t>
            </w:r>
            <w:r>
              <w:rPr>
                <w:rFonts w:hint="eastAsia" w:ascii="宋体" w:hAnsi="宋体" w:cs="Arial"/>
                <w:color w:val="000000"/>
              </w:rPr>
              <w:t>质保</w:t>
            </w:r>
            <w:r>
              <w:rPr>
                <w:rFonts w:ascii="宋体" w:hAnsi="宋体" w:cs="Arial"/>
                <w:color w:val="000000"/>
              </w:rPr>
              <w:t>要求</w:t>
            </w:r>
          </w:p>
        </w:tc>
        <w:tc>
          <w:tcPr>
            <w:tcW w:w="3681" w:type="pct"/>
            <w:tcBorders>
              <w:top w:val="single" w:color="000000" w:sz="2" w:space="0"/>
              <w:left w:val="nil"/>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color w:val="000000"/>
              </w:rPr>
            </w:pPr>
            <w:r>
              <w:rPr>
                <w:rFonts w:hint="eastAsia" w:ascii="宋体" w:hAnsi="宋体" w:cs="Arial"/>
                <w:color w:val="000000"/>
                <w:highlight w:val="none"/>
              </w:rPr>
              <w:t>提供不少于5年原厂质保服务，提供</w:t>
            </w:r>
            <w:r>
              <w:rPr>
                <w:rFonts w:hint="eastAsia" w:hAnsi="宋体"/>
                <w:highlight w:val="none"/>
              </w:rPr>
              <w:t>服务承诺证明文件</w:t>
            </w:r>
          </w:p>
        </w:tc>
      </w:tr>
    </w:tbl>
    <w:p>
      <w:pPr>
        <w:spacing w:line="360" w:lineRule="auto"/>
        <w:rPr>
          <w:rFonts w:hint="eastAsia" w:ascii="宋体" w:hAnsi="宋体" w:cs="宋体"/>
          <w:b/>
          <w:bCs/>
          <w:sz w:val="24"/>
          <w:szCs w:val="24"/>
        </w:rPr>
      </w:pPr>
      <w:r>
        <w:rPr>
          <w:rFonts w:hint="eastAsia" w:ascii="宋体" w:hAnsi="宋体" w:cs="宋体"/>
          <w:b/>
          <w:bCs/>
          <w:sz w:val="24"/>
          <w:szCs w:val="24"/>
        </w:rPr>
        <w:t>5.4高密AP（13台）</w:t>
      </w:r>
    </w:p>
    <w:tbl>
      <w:tblPr>
        <w:tblStyle w:val="24"/>
        <w:tblW w:w="5004" w:type="pct"/>
        <w:tblInd w:w="-4" w:type="dxa"/>
        <w:tblLayout w:type="autofit"/>
        <w:tblCellMar>
          <w:top w:w="0" w:type="dxa"/>
          <w:left w:w="108" w:type="dxa"/>
          <w:bottom w:w="0" w:type="dxa"/>
          <w:right w:w="108" w:type="dxa"/>
        </w:tblCellMar>
      </w:tblPr>
      <w:tblGrid>
        <w:gridCol w:w="704"/>
        <w:gridCol w:w="1408"/>
        <w:gridCol w:w="6411"/>
      </w:tblGrid>
      <w:tr>
        <w:tblPrEx>
          <w:tblCellMar>
            <w:top w:w="0" w:type="dxa"/>
            <w:left w:w="108" w:type="dxa"/>
            <w:bottom w:w="0" w:type="dxa"/>
            <w:right w:w="108" w:type="dxa"/>
          </w:tblCellMar>
        </w:tblPrEx>
        <w:trPr>
          <w:trHeight w:val="545" w:hRule="atLeast"/>
        </w:trPr>
        <w:tc>
          <w:tcPr>
            <w:tcW w:w="41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color w:val="000000"/>
                <w:kern w:val="0"/>
              </w:rPr>
            </w:pPr>
            <w:r>
              <w:rPr>
                <w:rFonts w:ascii="宋体" w:hAnsi="宋体" w:cs="Arial"/>
                <w:color w:val="000000"/>
                <w:kern w:val="0"/>
              </w:rPr>
              <w:t>序号</w:t>
            </w:r>
          </w:p>
        </w:tc>
        <w:tc>
          <w:tcPr>
            <w:tcW w:w="8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color w:val="000000"/>
                <w:kern w:val="0"/>
              </w:rPr>
            </w:pPr>
            <w:r>
              <w:rPr>
                <w:rFonts w:ascii="宋体" w:hAnsi="宋体" w:cs="Arial"/>
                <w:color w:val="000000"/>
                <w:kern w:val="0"/>
              </w:rPr>
              <w:t>指标项</w:t>
            </w:r>
          </w:p>
        </w:tc>
        <w:tc>
          <w:tcPr>
            <w:tcW w:w="376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color w:val="000000"/>
                <w:kern w:val="0"/>
              </w:rPr>
            </w:pPr>
            <w:r>
              <w:rPr>
                <w:rFonts w:ascii="宋体" w:hAnsi="宋体" w:cs="Arial"/>
                <w:color w:val="000000"/>
                <w:kern w:val="0"/>
              </w:rPr>
              <w:t>指标要求</w:t>
            </w:r>
          </w:p>
        </w:tc>
      </w:tr>
      <w:tr>
        <w:tblPrEx>
          <w:tblCellMar>
            <w:top w:w="0" w:type="dxa"/>
            <w:left w:w="108" w:type="dxa"/>
            <w:bottom w:w="0" w:type="dxa"/>
            <w:right w:w="108" w:type="dxa"/>
          </w:tblCellMar>
        </w:tblPrEx>
        <w:trPr>
          <w:trHeight w:val="957" w:hRule="atLeast"/>
        </w:trPr>
        <w:tc>
          <w:tcPr>
            <w:tcW w:w="413"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1</w:t>
            </w:r>
          </w:p>
        </w:tc>
        <w:tc>
          <w:tcPr>
            <w:tcW w:w="826"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hint="eastAsia" w:ascii="宋体" w:hAnsi="宋体" w:cs="宋体"/>
              </w:rPr>
              <w:t>▲</w:t>
            </w:r>
            <w:r>
              <w:rPr>
                <w:rFonts w:ascii="宋体" w:hAnsi="宋体" w:cs="Arial"/>
                <w:color w:val="000000"/>
                <w:kern w:val="0"/>
              </w:rPr>
              <w:t>性能要求</w:t>
            </w:r>
          </w:p>
        </w:tc>
        <w:tc>
          <w:tcPr>
            <w:tcW w:w="3760" w:type="pct"/>
            <w:tcBorders>
              <w:top w:val="single" w:color="000000" w:sz="4" w:space="0"/>
              <w:left w:val="nil"/>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支持 802.11ax</w:t>
            </w:r>
            <w:r>
              <w:rPr>
                <w:rFonts w:hint="eastAsia" w:ascii="宋体" w:hAnsi="宋体" w:cs="Arial"/>
                <w:color w:val="000000"/>
                <w:kern w:val="0"/>
              </w:rPr>
              <w:t>（WiFi</w:t>
            </w:r>
            <w:r>
              <w:rPr>
                <w:rFonts w:ascii="宋体" w:hAnsi="宋体" w:cs="Arial"/>
                <w:color w:val="000000"/>
                <w:kern w:val="0"/>
              </w:rPr>
              <w:t xml:space="preserve"> 6</w:t>
            </w:r>
            <w:r>
              <w:rPr>
                <w:rFonts w:hint="eastAsia" w:ascii="宋体" w:hAnsi="宋体" w:cs="Arial"/>
                <w:color w:val="000000"/>
                <w:kern w:val="0"/>
              </w:rPr>
              <w:t>）</w:t>
            </w:r>
            <w:r>
              <w:rPr>
                <w:rFonts w:ascii="宋体" w:hAnsi="宋体" w:cs="Arial"/>
                <w:color w:val="000000"/>
                <w:kern w:val="0"/>
              </w:rPr>
              <w:t>，支持4x4:4 MIMO，5 GHz 最大接入带宽支持</w:t>
            </w:r>
            <w:r>
              <w:rPr>
                <w:rFonts w:hint="eastAsia" w:ascii="宋体" w:hAnsi="宋体" w:cs="Arial"/>
                <w:color w:val="000000"/>
                <w:kern w:val="0"/>
              </w:rPr>
              <w:t>2</w:t>
            </w:r>
            <w:r>
              <w:rPr>
                <w:rFonts w:ascii="宋体" w:hAnsi="宋体" w:cs="Arial"/>
                <w:color w:val="000000"/>
                <w:kern w:val="0"/>
              </w:rPr>
              <w:t>.4Gbps</w:t>
            </w:r>
            <w:r>
              <w:rPr>
                <w:rFonts w:hint="eastAsia" w:ascii="宋体" w:hAnsi="宋体" w:cs="Arial"/>
                <w:color w:val="000000"/>
                <w:kern w:val="0"/>
              </w:rPr>
              <w:t>，</w:t>
            </w:r>
            <w:r>
              <w:rPr>
                <w:rFonts w:ascii="宋体" w:hAnsi="宋体" w:cs="Arial"/>
                <w:color w:val="000000"/>
                <w:kern w:val="0"/>
              </w:rPr>
              <w:t>2.4G GHz 最大接入带宽支持</w:t>
            </w:r>
            <w:r>
              <w:rPr>
                <w:rFonts w:hint="eastAsia" w:ascii="宋体" w:hAnsi="宋体" w:cs="Arial"/>
                <w:color w:val="000000"/>
                <w:kern w:val="0"/>
              </w:rPr>
              <w:t>1</w:t>
            </w:r>
            <w:r>
              <w:rPr>
                <w:rFonts w:ascii="宋体" w:hAnsi="宋体" w:cs="Arial"/>
                <w:color w:val="000000"/>
                <w:kern w:val="0"/>
              </w:rPr>
              <w:t>150Mbps</w:t>
            </w:r>
            <w:r>
              <w:rPr>
                <w:rFonts w:hint="eastAsia" w:ascii="宋体" w:hAnsi="宋体" w:cs="Arial"/>
                <w:color w:val="000000"/>
                <w:kern w:val="0"/>
              </w:rPr>
              <w:t>。</w:t>
            </w:r>
          </w:p>
        </w:tc>
      </w:tr>
      <w:tr>
        <w:tblPrEx>
          <w:tblCellMar>
            <w:top w:w="0" w:type="dxa"/>
            <w:left w:w="108" w:type="dxa"/>
            <w:bottom w:w="0" w:type="dxa"/>
            <w:right w:w="108" w:type="dxa"/>
          </w:tblCellMar>
        </w:tblPrEx>
        <w:trPr>
          <w:trHeight w:val="557" w:hRule="atLeast"/>
        </w:trPr>
        <w:tc>
          <w:tcPr>
            <w:tcW w:w="413"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2</w:t>
            </w:r>
          </w:p>
        </w:tc>
        <w:tc>
          <w:tcPr>
            <w:tcW w:w="826"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hint="eastAsia" w:ascii="宋体" w:hAnsi="宋体" w:cs="宋体"/>
              </w:rPr>
              <w:t>▲</w:t>
            </w:r>
            <w:r>
              <w:rPr>
                <w:rFonts w:ascii="宋体" w:hAnsi="宋体" w:cs="Arial"/>
                <w:color w:val="000000"/>
                <w:kern w:val="0"/>
              </w:rPr>
              <w:t>接口</w:t>
            </w:r>
          </w:p>
        </w:tc>
        <w:tc>
          <w:tcPr>
            <w:tcW w:w="3760" w:type="pct"/>
            <w:tcBorders>
              <w:top w:val="single" w:color="000000" w:sz="4" w:space="0"/>
              <w:left w:val="nil"/>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hint="eastAsia" w:ascii="宋体" w:hAnsi="宋体" w:cs="Arial"/>
                <w:color w:val="000000"/>
                <w:kern w:val="0"/>
              </w:rPr>
              <w:t>2</w:t>
            </w:r>
            <w:r>
              <w:rPr>
                <w:rFonts w:ascii="宋体" w:hAnsi="宋体" w:cs="Arial"/>
                <w:color w:val="000000"/>
                <w:kern w:val="0"/>
              </w:rPr>
              <w:t>个100/1000/2500/5000BASE-T以太网接口</w:t>
            </w:r>
          </w:p>
        </w:tc>
      </w:tr>
      <w:tr>
        <w:tblPrEx>
          <w:tblCellMar>
            <w:top w:w="0" w:type="dxa"/>
            <w:left w:w="108" w:type="dxa"/>
            <w:bottom w:w="0" w:type="dxa"/>
            <w:right w:w="108" w:type="dxa"/>
          </w:tblCellMar>
        </w:tblPrEx>
        <w:trPr>
          <w:trHeight w:val="695"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3</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Segoe UI Symbol"/>
              </w:rPr>
              <w:t>★</w:t>
            </w:r>
            <w:r>
              <w:rPr>
                <w:rFonts w:ascii="宋体" w:hAnsi="宋体" w:cs="Arial"/>
                <w:color w:val="000000"/>
                <w:kern w:val="0"/>
              </w:rPr>
              <w:t>基本要求</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AP能够注册到</w:t>
            </w:r>
            <w:r>
              <w:rPr>
                <w:rFonts w:hint="eastAsia" w:ascii="宋体" w:hAnsi="宋体" w:cs="Arial"/>
                <w:color w:val="000000"/>
                <w:kern w:val="0"/>
              </w:rPr>
              <w:t>陕西科技大学现</w:t>
            </w:r>
            <w:r>
              <w:rPr>
                <w:rFonts w:ascii="宋体" w:hAnsi="宋体" w:cs="Arial"/>
                <w:color w:val="000000"/>
                <w:kern w:val="0"/>
              </w:rPr>
              <w:t>网运行的无线控制器，统一认证和管理，满足无线用户在校区内无缝漫游。</w:t>
            </w:r>
          </w:p>
        </w:tc>
      </w:tr>
      <w:tr>
        <w:tblPrEx>
          <w:tblCellMar>
            <w:top w:w="0" w:type="dxa"/>
            <w:left w:w="108" w:type="dxa"/>
            <w:bottom w:w="0" w:type="dxa"/>
            <w:right w:w="108" w:type="dxa"/>
          </w:tblCellMar>
        </w:tblPrEx>
        <w:trPr>
          <w:trHeight w:val="725"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4</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干扰避免</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AP可以实时探测电磁波信号，针对无线环境中的电磁干扰作出分析和报告，并自动进行规避。支持对非WiFi干扰源(如微波炉,无绳电话等)的识别和规避。</w:t>
            </w:r>
          </w:p>
        </w:tc>
      </w:tr>
      <w:tr>
        <w:tblPrEx>
          <w:tblCellMar>
            <w:top w:w="0" w:type="dxa"/>
            <w:left w:w="108" w:type="dxa"/>
            <w:bottom w:w="0" w:type="dxa"/>
            <w:right w:w="108" w:type="dxa"/>
          </w:tblCellMar>
        </w:tblPrEx>
        <w:trPr>
          <w:trHeight w:val="848"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5</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频谱分析</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支持自动实时射频频谱分析，通过无线控制器的管理界面，实时查看FFT图、占空比图、干扰设备列表、信道占用率列表、干扰功率列表、信道质量列表等。</w:t>
            </w:r>
          </w:p>
        </w:tc>
      </w:tr>
      <w:tr>
        <w:tblPrEx>
          <w:tblCellMar>
            <w:top w:w="0" w:type="dxa"/>
            <w:left w:w="108" w:type="dxa"/>
            <w:bottom w:w="0" w:type="dxa"/>
            <w:right w:w="108" w:type="dxa"/>
          </w:tblCellMar>
        </w:tblPrEx>
        <w:trPr>
          <w:trHeight w:val="848"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6</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业务区分</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每个AP的多个SSID可以分别跟不同的无线控制器建立隧道。</w:t>
            </w:r>
          </w:p>
        </w:tc>
      </w:tr>
      <w:tr>
        <w:tblPrEx>
          <w:tblCellMar>
            <w:top w:w="0" w:type="dxa"/>
            <w:left w:w="108" w:type="dxa"/>
            <w:bottom w:w="0" w:type="dxa"/>
            <w:right w:w="108" w:type="dxa"/>
          </w:tblCellMar>
        </w:tblPrEx>
        <w:trPr>
          <w:trHeight w:val="1130"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7</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设备类型识别和控制</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支持自动设别终端类型（例如Window、iPad，iPhone，Android），并针对不同设备作相应的安全控制策略，支持不同的终端类型赋予不同的Portal认证页面与欢迎页面。</w:t>
            </w:r>
          </w:p>
        </w:tc>
      </w:tr>
      <w:tr>
        <w:tblPrEx>
          <w:tblCellMar>
            <w:top w:w="0" w:type="dxa"/>
            <w:left w:w="108" w:type="dxa"/>
            <w:bottom w:w="0" w:type="dxa"/>
            <w:right w:w="108" w:type="dxa"/>
          </w:tblCellMar>
        </w:tblPrEx>
        <w:trPr>
          <w:trHeight w:val="149"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8</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应用识别</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可以识别出常用的应用类型，如微信、QQ、流媒体、购物、游戏、WEB、IP地址和端口，并通过图形界面显示流量和用户数，管理人员可以根据不同应用限制带宽或拒绝访问。</w:t>
            </w:r>
          </w:p>
        </w:tc>
      </w:tr>
      <w:tr>
        <w:tblPrEx>
          <w:tblCellMar>
            <w:top w:w="0" w:type="dxa"/>
            <w:left w:w="108" w:type="dxa"/>
            <w:bottom w:w="0" w:type="dxa"/>
            <w:right w:w="108" w:type="dxa"/>
          </w:tblCellMar>
        </w:tblPrEx>
        <w:trPr>
          <w:trHeight w:val="85"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9</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安全功能</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支持用户之间的隔离；支持ARP攻击防御。</w:t>
            </w:r>
          </w:p>
          <w:p>
            <w:pPr>
              <w:jc w:val="center"/>
              <w:rPr>
                <w:rFonts w:ascii="宋体" w:hAnsi="宋体" w:cs="Arial"/>
                <w:color w:val="000000"/>
                <w:kern w:val="0"/>
              </w:rPr>
            </w:pPr>
            <w:r>
              <w:rPr>
                <w:rFonts w:ascii="宋体" w:hAnsi="宋体" w:cs="Arial"/>
                <w:color w:val="000000"/>
                <w:kern w:val="0"/>
              </w:rPr>
              <w:t>支持强制DHCP获取IP地址的用户才能正常上网。</w:t>
            </w:r>
          </w:p>
          <w:p>
            <w:pPr>
              <w:jc w:val="center"/>
              <w:rPr>
                <w:rFonts w:ascii="宋体" w:hAnsi="宋体" w:cs="Arial"/>
                <w:color w:val="000000"/>
                <w:kern w:val="0"/>
              </w:rPr>
            </w:pPr>
            <w:r>
              <w:rPr>
                <w:rFonts w:ascii="宋体" w:hAnsi="宋体" w:cs="Arial"/>
                <w:color w:val="000000"/>
                <w:kern w:val="0"/>
              </w:rPr>
              <w:t>支持基于IP、域名、端口的安全控制。</w:t>
            </w:r>
          </w:p>
        </w:tc>
      </w:tr>
      <w:tr>
        <w:tblPrEx>
          <w:tblCellMar>
            <w:top w:w="0" w:type="dxa"/>
            <w:left w:w="108" w:type="dxa"/>
            <w:bottom w:w="0" w:type="dxa"/>
            <w:right w:w="108" w:type="dxa"/>
          </w:tblCellMar>
        </w:tblPrEx>
        <w:trPr>
          <w:trHeight w:val="85"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10</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USB</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color w:val="000000"/>
                <w:kern w:val="0"/>
              </w:rPr>
            </w:pPr>
            <w:r>
              <w:rPr>
                <w:rFonts w:ascii="宋体" w:hAnsi="宋体" w:cs="Arial"/>
                <w:color w:val="000000"/>
                <w:kern w:val="0"/>
              </w:rPr>
              <w:t>集成USB接口，物联扩展接口。</w:t>
            </w:r>
          </w:p>
        </w:tc>
      </w:tr>
      <w:tr>
        <w:tblPrEx>
          <w:tblCellMar>
            <w:top w:w="0" w:type="dxa"/>
            <w:left w:w="108" w:type="dxa"/>
            <w:bottom w:w="0" w:type="dxa"/>
            <w:right w:w="108" w:type="dxa"/>
          </w:tblCellMar>
        </w:tblPrEx>
        <w:trPr>
          <w:trHeight w:val="85"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11</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Segoe UI Symbol"/>
              </w:rPr>
              <w:t>★</w:t>
            </w:r>
            <w:r>
              <w:rPr>
                <w:rFonts w:ascii="宋体" w:hAnsi="宋体" w:cs="Arial"/>
              </w:rPr>
              <w:t>物</w:t>
            </w:r>
            <w:r>
              <w:rPr>
                <w:rFonts w:ascii="宋体" w:hAnsi="宋体" w:cs="微软雅黑"/>
              </w:rPr>
              <w:t>联</w:t>
            </w:r>
            <w:r>
              <w:rPr>
                <w:rFonts w:ascii="宋体" w:hAnsi="宋体" w:cs="Arial"/>
              </w:rPr>
              <w:t>网</w:t>
            </w:r>
            <w:r>
              <w:rPr>
                <w:rFonts w:ascii="宋体" w:hAnsi="宋体" w:cs="微软雅黑"/>
              </w:rPr>
              <w:t>协议</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内置Zigbee和BLE（</w:t>
            </w:r>
            <w:r>
              <w:rPr>
                <w:rFonts w:ascii="宋体" w:hAnsi="宋体" w:cs="微软雅黑"/>
              </w:rPr>
              <w:t>蓝</w:t>
            </w:r>
            <w:r>
              <w:rPr>
                <w:rFonts w:ascii="宋体" w:hAnsi="宋体" w:cs="Arial"/>
              </w:rPr>
              <w:t>牙）射</w:t>
            </w:r>
            <w:r>
              <w:rPr>
                <w:rFonts w:ascii="宋体" w:hAnsi="宋体" w:cs="微软雅黑"/>
              </w:rPr>
              <w:t>频</w:t>
            </w:r>
            <w:r>
              <w:rPr>
                <w:rFonts w:ascii="宋体" w:hAnsi="宋体" w:cs="Arial"/>
              </w:rPr>
              <w:t>模</w:t>
            </w:r>
            <w:r>
              <w:rPr>
                <w:rFonts w:ascii="宋体" w:hAnsi="宋体" w:cs="微软雅黑"/>
              </w:rPr>
              <w:t>块</w:t>
            </w:r>
            <w:r>
              <w:rPr>
                <w:rFonts w:ascii="宋体" w:hAnsi="宋体" w:cs="Arial"/>
              </w:rPr>
              <w:t>。（提供官网截</w:t>
            </w:r>
            <w:r>
              <w:rPr>
                <w:rFonts w:ascii="宋体" w:hAnsi="宋体" w:cs="微软雅黑"/>
              </w:rPr>
              <w:t>图</w:t>
            </w:r>
            <w:r>
              <w:rPr>
                <w:rFonts w:ascii="宋体" w:hAnsi="宋体" w:cs="Arial"/>
              </w:rPr>
              <w:t>和</w:t>
            </w:r>
            <w:r>
              <w:rPr>
                <w:rFonts w:ascii="宋体" w:hAnsi="宋体" w:cs="微软雅黑"/>
              </w:rPr>
              <w:t>产</w:t>
            </w:r>
            <w:r>
              <w:rPr>
                <w:rFonts w:ascii="宋体" w:hAnsi="宋体" w:cs="Arial"/>
              </w:rPr>
              <w:t>品彩</w:t>
            </w:r>
            <w:r>
              <w:rPr>
                <w:rFonts w:ascii="宋体" w:hAnsi="宋体" w:cs="微软雅黑"/>
              </w:rPr>
              <w:t>页证</w:t>
            </w:r>
            <w:r>
              <w:rPr>
                <w:rFonts w:ascii="宋体" w:hAnsi="宋体" w:cs="Arial"/>
              </w:rPr>
              <w:t>明）</w:t>
            </w:r>
          </w:p>
        </w:tc>
      </w:tr>
      <w:tr>
        <w:tblPrEx>
          <w:tblCellMar>
            <w:top w:w="0" w:type="dxa"/>
            <w:left w:w="108" w:type="dxa"/>
            <w:bottom w:w="0" w:type="dxa"/>
            <w:right w:w="108" w:type="dxa"/>
          </w:tblCellMar>
        </w:tblPrEx>
        <w:trPr>
          <w:trHeight w:val="85"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kern w:val="0"/>
              </w:rPr>
            </w:pPr>
            <w:r>
              <w:rPr>
                <w:rFonts w:ascii="宋体" w:hAnsi="宋体" w:cs="Arial"/>
                <w:color w:val="000000"/>
                <w:kern w:val="0"/>
              </w:rPr>
              <w:t>12</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WIFI认证</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提供投标AP和无线控制器的WiFi联盟组合认证。</w:t>
            </w:r>
            <w:r>
              <w:rPr>
                <w:rFonts w:ascii="宋体" w:hAnsi="宋体"/>
              </w:rPr>
              <w:t>（提供官网链接和证明）</w:t>
            </w:r>
          </w:p>
        </w:tc>
      </w:tr>
      <w:tr>
        <w:tblPrEx>
          <w:tblCellMar>
            <w:top w:w="0" w:type="dxa"/>
            <w:left w:w="108" w:type="dxa"/>
            <w:bottom w:w="0" w:type="dxa"/>
            <w:right w:w="108" w:type="dxa"/>
          </w:tblCellMar>
        </w:tblPrEx>
        <w:trPr>
          <w:trHeight w:val="485"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13</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电磁环境认证</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rPr>
              <w:t>提供投标AP的TUV电磁环境认证。（提供证书）</w:t>
            </w:r>
          </w:p>
        </w:tc>
      </w:tr>
      <w:tr>
        <w:tblPrEx>
          <w:tblCellMar>
            <w:top w:w="0" w:type="dxa"/>
            <w:left w:w="108" w:type="dxa"/>
            <w:bottom w:w="0" w:type="dxa"/>
            <w:right w:w="108" w:type="dxa"/>
          </w:tblCellMar>
        </w:tblPrEx>
        <w:trPr>
          <w:trHeight w:val="671"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rPr>
            </w:pPr>
            <w:r>
              <w:rPr>
                <w:rFonts w:ascii="宋体" w:hAnsi="宋体" w:cs="Arial"/>
                <w:color w:val="000000"/>
                <w:kern w:val="0"/>
              </w:rPr>
              <w:t>14</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Segoe UI Symbol"/>
              </w:rPr>
              <w:t>★</w:t>
            </w:r>
            <w:r>
              <w:rPr>
                <w:rFonts w:ascii="宋体" w:hAnsi="宋体"/>
              </w:rPr>
              <w:t>远程工作模式</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rPr>
            </w:pPr>
            <w:r>
              <w:rPr>
                <w:rFonts w:ascii="宋体" w:hAnsi="宋体"/>
              </w:rPr>
              <w:t>AP支持远程部署模式，可以通过互联网与控制器建立IPSec VPN通道。能够满足疫情期间，在校外办公和教学的组网需求。（提供官网截图和产品彩页证明）</w:t>
            </w:r>
          </w:p>
        </w:tc>
      </w:tr>
      <w:tr>
        <w:tblPrEx>
          <w:tblCellMar>
            <w:top w:w="0" w:type="dxa"/>
            <w:left w:w="108" w:type="dxa"/>
            <w:bottom w:w="0" w:type="dxa"/>
            <w:right w:w="108" w:type="dxa"/>
          </w:tblCellMar>
        </w:tblPrEx>
        <w:trPr>
          <w:trHeight w:val="671"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kern w:val="0"/>
              </w:rPr>
            </w:pPr>
            <w:r>
              <w:rPr>
                <w:rFonts w:hint="eastAsia" w:ascii="宋体" w:hAnsi="宋体" w:cs="Arial"/>
                <w:color w:val="000000"/>
                <w:kern w:val="0"/>
              </w:rPr>
              <w:t>1</w:t>
            </w:r>
            <w:r>
              <w:rPr>
                <w:rFonts w:ascii="宋体" w:hAnsi="宋体" w:cs="Arial"/>
                <w:color w:val="000000"/>
                <w:kern w:val="0"/>
              </w:rPr>
              <w:t>5</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rPr>
              <w:t>云管理</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rPr>
              <w:t>AP支持通过云平台管理。（提供官网截图和产品彩页证明）</w:t>
            </w:r>
          </w:p>
        </w:tc>
      </w:tr>
      <w:tr>
        <w:tblPrEx>
          <w:tblCellMar>
            <w:top w:w="0" w:type="dxa"/>
            <w:left w:w="108" w:type="dxa"/>
            <w:bottom w:w="0" w:type="dxa"/>
            <w:right w:w="108" w:type="dxa"/>
          </w:tblCellMar>
        </w:tblPrEx>
        <w:trPr>
          <w:trHeight w:val="671"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kern w:val="0"/>
              </w:rPr>
            </w:pPr>
            <w:r>
              <w:rPr>
                <w:rFonts w:hint="eastAsia" w:ascii="宋体" w:hAnsi="宋体" w:cs="Arial"/>
                <w:color w:val="000000"/>
                <w:kern w:val="0"/>
              </w:rPr>
              <w:t>1</w:t>
            </w:r>
            <w:r>
              <w:rPr>
                <w:rFonts w:ascii="宋体" w:hAnsi="宋体" w:cs="Arial"/>
                <w:color w:val="000000"/>
                <w:kern w:val="0"/>
              </w:rPr>
              <w:t>6</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rPr>
            </w:pPr>
            <w:r>
              <w:rPr>
                <w:rFonts w:ascii="宋体" w:hAnsi="宋体"/>
              </w:rPr>
              <w:t>无控制器工作模式</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rPr>
            </w:pPr>
            <w:r>
              <w:rPr>
                <w:rFonts w:ascii="宋体" w:hAnsi="宋体"/>
              </w:rPr>
              <w:t>AP支持无控制器工作模式，某一台AP会被选作虚拟控制器，管理其它AP。</w:t>
            </w:r>
          </w:p>
        </w:tc>
      </w:tr>
      <w:tr>
        <w:tblPrEx>
          <w:tblCellMar>
            <w:top w:w="0" w:type="dxa"/>
            <w:left w:w="108" w:type="dxa"/>
            <w:bottom w:w="0" w:type="dxa"/>
            <w:right w:w="108" w:type="dxa"/>
          </w:tblCellMar>
        </w:tblPrEx>
        <w:trPr>
          <w:trHeight w:val="671"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kern w:val="0"/>
              </w:rPr>
            </w:pPr>
            <w:r>
              <w:rPr>
                <w:rFonts w:hint="eastAsia" w:ascii="宋体" w:hAnsi="宋体" w:cs="Arial"/>
                <w:color w:val="000000"/>
                <w:kern w:val="0"/>
              </w:rPr>
              <w:t>1</w:t>
            </w:r>
            <w:r>
              <w:rPr>
                <w:rFonts w:ascii="宋体" w:hAnsi="宋体" w:cs="Arial"/>
                <w:color w:val="000000"/>
                <w:kern w:val="0"/>
              </w:rPr>
              <w:t>7</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抗蜂窝干扰</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rPr>
              <w:t>AP内置滤波器，能够将来自蜂窝网络（3G/4G/5G）的电磁干扰影响降至最低。（提供官网截图和产品彩页证明）</w:t>
            </w:r>
          </w:p>
        </w:tc>
      </w:tr>
      <w:tr>
        <w:tblPrEx>
          <w:tblCellMar>
            <w:top w:w="0" w:type="dxa"/>
            <w:left w:w="108" w:type="dxa"/>
            <w:bottom w:w="0" w:type="dxa"/>
            <w:right w:w="108" w:type="dxa"/>
          </w:tblCellMar>
        </w:tblPrEx>
        <w:trPr>
          <w:trHeight w:val="671"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kern w:val="0"/>
              </w:rPr>
            </w:pPr>
            <w:r>
              <w:rPr>
                <w:rFonts w:hint="eastAsia" w:ascii="宋体" w:hAnsi="宋体" w:cs="Arial"/>
                <w:color w:val="000000"/>
                <w:kern w:val="0"/>
              </w:rPr>
              <w:t>1</w:t>
            </w:r>
            <w:r>
              <w:rPr>
                <w:rFonts w:ascii="宋体" w:hAnsi="宋体" w:cs="Arial"/>
                <w:color w:val="000000"/>
                <w:kern w:val="0"/>
              </w:rPr>
              <w:t>8</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供电方式</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支持POE和本地电源适配器供电。</w:t>
            </w:r>
          </w:p>
        </w:tc>
      </w:tr>
      <w:tr>
        <w:tblPrEx>
          <w:tblCellMar>
            <w:top w:w="0" w:type="dxa"/>
            <w:left w:w="108" w:type="dxa"/>
            <w:bottom w:w="0" w:type="dxa"/>
            <w:right w:w="108" w:type="dxa"/>
          </w:tblCellMar>
        </w:tblPrEx>
        <w:trPr>
          <w:trHeight w:val="671" w:hRule="atLeast"/>
        </w:trPr>
        <w:tc>
          <w:tcPr>
            <w:tcW w:w="413"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color w:val="000000"/>
                <w:kern w:val="0"/>
              </w:rPr>
            </w:pPr>
            <w:r>
              <w:rPr>
                <w:rFonts w:hint="eastAsia" w:ascii="宋体" w:hAnsi="宋体" w:cs="Arial"/>
                <w:color w:val="000000"/>
                <w:kern w:val="0"/>
              </w:rPr>
              <w:t>19</w:t>
            </w:r>
          </w:p>
        </w:tc>
        <w:tc>
          <w:tcPr>
            <w:tcW w:w="82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color w:val="000000"/>
                <w:highlight w:val="none"/>
              </w:rPr>
            </w:pPr>
            <w:r>
              <w:rPr>
                <w:rFonts w:hint="eastAsia" w:ascii="宋体" w:hAnsi="宋体" w:cs="宋体"/>
                <w:highlight w:val="none"/>
              </w:rPr>
              <w:t>▲</w:t>
            </w:r>
            <w:r>
              <w:rPr>
                <w:rFonts w:hint="eastAsia" w:ascii="宋体" w:hAnsi="宋体" w:cs="Arial"/>
                <w:color w:val="000000"/>
                <w:highlight w:val="none"/>
              </w:rPr>
              <w:t>质保</w:t>
            </w:r>
            <w:r>
              <w:rPr>
                <w:rFonts w:ascii="宋体" w:hAnsi="宋体" w:cs="Arial"/>
                <w:color w:val="000000"/>
                <w:highlight w:val="none"/>
              </w:rPr>
              <w:t>要求</w:t>
            </w:r>
          </w:p>
        </w:tc>
        <w:tc>
          <w:tcPr>
            <w:tcW w:w="3760" w:type="pct"/>
            <w:tcBorders>
              <w:top w:val="single" w:color="000000" w:sz="2" w:space="0"/>
              <w:left w:val="nil"/>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color w:val="000000"/>
                <w:highlight w:val="none"/>
              </w:rPr>
            </w:pPr>
            <w:r>
              <w:rPr>
                <w:rFonts w:hint="eastAsia" w:ascii="宋体" w:hAnsi="宋体" w:cs="Arial"/>
                <w:color w:val="000000"/>
                <w:highlight w:val="none"/>
              </w:rPr>
              <w:t>提供不少于5年原厂质保服务，提供</w:t>
            </w:r>
            <w:r>
              <w:rPr>
                <w:rFonts w:hint="eastAsia" w:hAnsi="宋体"/>
                <w:highlight w:val="none"/>
              </w:rPr>
              <w:t>服务承诺证明文件</w:t>
            </w:r>
          </w:p>
        </w:tc>
      </w:tr>
    </w:tbl>
    <w:p>
      <w:pPr>
        <w:spacing w:line="360" w:lineRule="auto"/>
        <w:rPr>
          <w:rFonts w:hint="eastAsia" w:ascii="宋体" w:hAnsi="宋体" w:cs="宋体"/>
          <w:b/>
          <w:bCs/>
          <w:sz w:val="24"/>
          <w:szCs w:val="24"/>
        </w:rPr>
      </w:pPr>
      <w:r>
        <w:rPr>
          <w:rFonts w:hint="eastAsia" w:ascii="宋体" w:hAnsi="宋体" w:cs="宋体"/>
          <w:b/>
          <w:bCs/>
          <w:sz w:val="24"/>
          <w:szCs w:val="24"/>
        </w:rPr>
        <w:t>5.5面板AP（95台）</w:t>
      </w:r>
    </w:p>
    <w:tbl>
      <w:tblPr>
        <w:tblStyle w:val="24"/>
        <w:tblW w:w="5000" w:type="pct"/>
        <w:tblInd w:w="0" w:type="dxa"/>
        <w:tblLayout w:type="autofit"/>
        <w:tblCellMar>
          <w:top w:w="0" w:type="dxa"/>
          <w:left w:w="108" w:type="dxa"/>
          <w:bottom w:w="0" w:type="dxa"/>
          <w:right w:w="108" w:type="dxa"/>
        </w:tblCellMar>
      </w:tblPr>
      <w:tblGrid>
        <w:gridCol w:w="760"/>
        <w:gridCol w:w="1891"/>
        <w:gridCol w:w="5865"/>
      </w:tblGrid>
      <w:tr>
        <w:tblPrEx>
          <w:tblCellMar>
            <w:top w:w="0" w:type="dxa"/>
            <w:left w:w="108" w:type="dxa"/>
            <w:bottom w:w="0" w:type="dxa"/>
            <w:right w:w="108" w:type="dxa"/>
          </w:tblCellMar>
        </w:tblPrEx>
        <w:trPr>
          <w:trHeight w:val="545" w:hRule="atLeast"/>
        </w:trPr>
        <w:tc>
          <w:tcPr>
            <w:tcW w:w="4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rPr>
            </w:pPr>
            <w:r>
              <w:rPr>
                <w:rFonts w:ascii="宋体" w:hAnsi="宋体" w:cs="Arial"/>
              </w:rPr>
              <w:t>序号</w:t>
            </w: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rPr>
            </w:pPr>
            <w:r>
              <w:rPr>
                <w:rFonts w:ascii="宋体" w:hAnsi="宋体" w:cs="Arial"/>
              </w:rPr>
              <w:t>指标项</w:t>
            </w:r>
          </w:p>
        </w:tc>
        <w:tc>
          <w:tcPr>
            <w:tcW w:w="344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rPr>
            </w:pPr>
            <w:r>
              <w:rPr>
                <w:rFonts w:ascii="宋体" w:hAnsi="宋体" w:cs="Arial"/>
              </w:rPr>
              <w:t>指标要求</w:t>
            </w:r>
          </w:p>
        </w:tc>
      </w:tr>
      <w:tr>
        <w:tblPrEx>
          <w:tblCellMar>
            <w:top w:w="0" w:type="dxa"/>
            <w:left w:w="108" w:type="dxa"/>
            <w:bottom w:w="0" w:type="dxa"/>
            <w:right w:w="108" w:type="dxa"/>
          </w:tblCellMar>
        </w:tblPrEx>
        <w:trPr>
          <w:trHeight w:val="958" w:hRule="atLeast"/>
        </w:trPr>
        <w:tc>
          <w:tcPr>
            <w:tcW w:w="446"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ascii="宋体" w:hAnsi="宋体" w:cs="Arial"/>
              </w:rPr>
              <w:t>1</w:t>
            </w:r>
          </w:p>
        </w:tc>
        <w:tc>
          <w:tcPr>
            <w:tcW w:w="1110"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hint="eastAsia" w:ascii="宋体" w:hAnsi="宋体" w:cs="宋体"/>
              </w:rPr>
              <w:t>▲</w:t>
            </w:r>
            <w:r>
              <w:rPr>
                <w:rFonts w:ascii="宋体" w:hAnsi="宋体" w:cs="Arial"/>
              </w:rPr>
              <w:t>性能要求</w:t>
            </w:r>
          </w:p>
        </w:tc>
        <w:tc>
          <w:tcPr>
            <w:tcW w:w="3442" w:type="pct"/>
            <w:tcBorders>
              <w:top w:val="single" w:color="000000" w:sz="4"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 WiFi 6 （802.11ax），支持2x2:2 MIMO，2.4G频段最高支持574Mbps，5 GHz 最大接入带宽支持1.2Gbps。</w:t>
            </w:r>
          </w:p>
        </w:tc>
      </w:tr>
      <w:tr>
        <w:tblPrEx>
          <w:tblCellMar>
            <w:top w:w="0" w:type="dxa"/>
            <w:left w:w="108" w:type="dxa"/>
            <w:bottom w:w="0" w:type="dxa"/>
            <w:right w:w="108" w:type="dxa"/>
          </w:tblCellMar>
        </w:tblPrEx>
        <w:trPr>
          <w:trHeight w:val="958" w:hRule="atLeast"/>
        </w:trPr>
        <w:tc>
          <w:tcPr>
            <w:tcW w:w="446"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hint="eastAsia" w:ascii="宋体" w:hAnsi="宋体" w:cs="Arial"/>
              </w:rPr>
              <w:t>2</w:t>
            </w:r>
          </w:p>
        </w:tc>
        <w:tc>
          <w:tcPr>
            <w:tcW w:w="1110"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Segoe UI Symbol"/>
              </w:rPr>
              <w:t>★</w:t>
            </w:r>
            <w:r>
              <w:rPr>
                <w:rFonts w:ascii="宋体" w:hAnsi="宋体" w:cs="Arial"/>
                <w:color w:val="000000"/>
                <w:kern w:val="0"/>
              </w:rPr>
              <w:t>基本要求</w:t>
            </w:r>
          </w:p>
        </w:tc>
        <w:tc>
          <w:tcPr>
            <w:tcW w:w="3442" w:type="pct"/>
            <w:tcBorders>
              <w:top w:val="single" w:color="000000" w:sz="4"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color w:val="000000"/>
                <w:kern w:val="0"/>
              </w:rPr>
              <w:t>AP能够注册到</w:t>
            </w:r>
            <w:r>
              <w:rPr>
                <w:rFonts w:hint="eastAsia" w:ascii="宋体" w:hAnsi="宋体" w:cs="Arial"/>
                <w:color w:val="000000"/>
                <w:kern w:val="0"/>
              </w:rPr>
              <w:t>陕西科技大学现</w:t>
            </w:r>
            <w:r>
              <w:rPr>
                <w:rFonts w:ascii="宋体" w:hAnsi="宋体" w:cs="Arial"/>
                <w:color w:val="000000"/>
                <w:kern w:val="0"/>
              </w:rPr>
              <w:t>网运行的无线控制器，统一认证和管理，满足无线用户在校区内无缝漫游。</w:t>
            </w:r>
          </w:p>
        </w:tc>
      </w:tr>
      <w:tr>
        <w:tblPrEx>
          <w:tblCellMar>
            <w:top w:w="0" w:type="dxa"/>
            <w:left w:w="108" w:type="dxa"/>
            <w:bottom w:w="0" w:type="dxa"/>
            <w:right w:w="108" w:type="dxa"/>
          </w:tblCellMar>
        </w:tblPrEx>
        <w:trPr>
          <w:trHeight w:val="923" w:hRule="atLeast"/>
        </w:trPr>
        <w:tc>
          <w:tcPr>
            <w:tcW w:w="446"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hint="eastAsia" w:ascii="宋体" w:hAnsi="宋体" w:cs="Arial"/>
              </w:rPr>
              <w:t>3</w:t>
            </w:r>
          </w:p>
        </w:tc>
        <w:tc>
          <w:tcPr>
            <w:tcW w:w="1110" w:type="pct"/>
            <w:tcBorders>
              <w:top w:val="single" w:color="000000" w:sz="4"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hint="eastAsia" w:ascii="宋体" w:hAnsi="宋体" w:cs="宋体"/>
              </w:rPr>
              <w:t>▲</w:t>
            </w:r>
            <w:r>
              <w:rPr>
                <w:rFonts w:ascii="宋体" w:hAnsi="宋体" w:cs="Arial"/>
              </w:rPr>
              <w:t>接口</w:t>
            </w:r>
          </w:p>
        </w:tc>
        <w:tc>
          <w:tcPr>
            <w:tcW w:w="3442" w:type="pct"/>
            <w:tcBorders>
              <w:top w:val="single" w:color="000000" w:sz="4"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1个10/100/1000BASE-T以太网接口（上联接口）</w:t>
            </w:r>
          </w:p>
          <w:p>
            <w:pPr>
              <w:jc w:val="center"/>
              <w:rPr>
                <w:rFonts w:ascii="宋体" w:hAnsi="宋体" w:cs="Arial"/>
              </w:rPr>
            </w:pPr>
            <w:r>
              <w:rPr>
                <w:rFonts w:ascii="宋体" w:hAnsi="宋体" w:cs="Arial"/>
              </w:rPr>
              <w:t>2个10/100/1000BASE-T以太网接口（本地接口）</w:t>
            </w:r>
          </w:p>
        </w:tc>
      </w:tr>
      <w:tr>
        <w:tblPrEx>
          <w:tblCellMar>
            <w:top w:w="0" w:type="dxa"/>
            <w:left w:w="108" w:type="dxa"/>
            <w:bottom w:w="0" w:type="dxa"/>
            <w:right w:w="108" w:type="dxa"/>
          </w:tblCellMar>
        </w:tblPrEx>
        <w:trPr>
          <w:trHeight w:val="72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hint="eastAsia" w:ascii="宋体" w:hAnsi="宋体" w:cs="Arial"/>
              </w:rPr>
              <w:t>4</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干扰避免</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AP可以实时探测电磁波信号，针对无线环境中的电磁干扰作出分析和报告，并自动进行规避。支持对非WiFi干扰源(如微波炉,无绳电话等)的识别和规避。</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hint="eastAsia" w:ascii="宋体" w:hAnsi="宋体" w:cs="Arial"/>
              </w:rPr>
              <w:t>5</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微软雅黑"/>
              </w:rPr>
              <w:t>频谱</w:t>
            </w:r>
            <w:r>
              <w:rPr>
                <w:rFonts w:ascii="宋体" w:hAnsi="宋体" w:cs="Arial"/>
              </w:rPr>
              <w:t>分析</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支持自</w:t>
            </w:r>
            <w:r>
              <w:rPr>
                <w:rFonts w:ascii="宋体" w:hAnsi="宋体" w:cs="微软雅黑"/>
              </w:rPr>
              <w:t>动实时</w:t>
            </w:r>
            <w:r>
              <w:rPr>
                <w:rFonts w:ascii="宋体" w:hAnsi="宋体" w:cs="Arial"/>
              </w:rPr>
              <w:t>射</w:t>
            </w:r>
            <w:r>
              <w:rPr>
                <w:rFonts w:ascii="宋体" w:hAnsi="宋体" w:cs="微软雅黑"/>
              </w:rPr>
              <w:t>频频谱</w:t>
            </w:r>
            <w:r>
              <w:rPr>
                <w:rFonts w:ascii="宋体" w:hAnsi="宋体" w:cs="Arial"/>
              </w:rPr>
              <w:t>分析，通</w:t>
            </w:r>
            <w:r>
              <w:rPr>
                <w:rFonts w:ascii="宋体" w:hAnsi="宋体" w:cs="微软雅黑"/>
              </w:rPr>
              <w:t>过</w:t>
            </w:r>
            <w:r>
              <w:rPr>
                <w:rFonts w:ascii="宋体" w:hAnsi="宋体" w:cs="Arial"/>
              </w:rPr>
              <w:t>无</w:t>
            </w:r>
            <w:r>
              <w:rPr>
                <w:rFonts w:ascii="宋体" w:hAnsi="宋体" w:cs="微软雅黑"/>
              </w:rPr>
              <w:t>线</w:t>
            </w:r>
            <w:r>
              <w:rPr>
                <w:rFonts w:ascii="宋体" w:hAnsi="宋体" w:cs="Arial"/>
              </w:rPr>
              <w:t>控制器的管理界面，</w:t>
            </w:r>
            <w:r>
              <w:rPr>
                <w:rFonts w:ascii="宋体" w:hAnsi="宋体" w:cs="微软雅黑"/>
              </w:rPr>
              <w:t>实时查</w:t>
            </w:r>
            <w:r>
              <w:rPr>
                <w:rFonts w:ascii="宋体" w:hAnsi="宋体" w:cs="Arial"/>
              </w:rPr>
              <w:t>看FFT</w:t>
            </w:r>
            <w:r>
              <w:rPr>
                <w:rFonts w:ascii="宋体" w:hAnsi="宋体" w:cs="微软雅黑"/>
              </w:rPr>
              <w:t>图</w:t>
            </w:r>
            <w:r>
              <w:rPr>
                <w:rFonts w:ascii="宋体" w:hAnsi="宋体" w:cs="Arial"/>
              </w:rPr>
              <w:t>、占空比</w:t>
            </w:r>
            <w:r>
              <w:rPr>
                <w:rFonts w:ascii="宋体" w:hAnsi="宋体" w:cs="微软雅黑"/>
              </w:rPr>
              <w:t>图</w:t>
            </w:r>
            <w:r>
              <w:rPr>
                <w:rFonts w:ascii="宋体" w:hAnsi="宋体" w:cs="Arial"/>
              </w:rPr>
              <w:t>、干</w:t>
            </w:r>
            <w:r>
              <w:rPr>
                <w:rFonts w:ascii="宋体" w:hAnsi="宋体" w:cs="微软雅黑"/>
              </w:rPr>
              <w:t>扰设备</w:t>
            </w:r>
            <w:r>
              <w:rPr>
                <w:rFonts w:ascii="宋体" w:hAnsi="宋体" w:cs="Arial"/>
              </w:rPr>
              <w:t>列表、信道占用率列表、干</w:t>
            </w:r>
            <w:r>
              <w:rPr>
                <w:rFonts w:ascii="宋体" w:hAnsi="宋体" w:cs="微软雅黑"/>
              </w:rPr>
              <w:t>扰</w:t>
            </w:r>
            <w:r>
              <w:rPr>
                <w:rFonts w:ascii="宋体" w:hAnsi="宋体" w:cs="Arial"/>
              </w:rPr>
              <w:t>功率列表、信道</w:t>
            </w:r>
            <w:r>
              <w:rPr>
                <w:rFonts w:ascii="宋体" w:hAnsi="宋体" w:cs="微软雅黑"/>
              </w:rPr>
              <w:t>质</w:t>
            </w:r>
            <w:r>
              <w:rPr>
                <w:rFonts w:ascii="宋体" w:hAnsi="宋体" w:cs="Arial"/>
              </w:rPr>
              <w:t>量列表等。</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hint="eastAsia" w:ascii="宋体" w:hAnsi="宋体" w:cs="Arial"/>
              </w:rPr>
              <w:t>6</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物</w:t>
            </w:r>
            <w:r>
              <w:rPr>
                <w:rFonts w:ascii="宋体" w:hAnsi="宋体" w:cs="微软雅黑"/>
              </w:rPr>
              <w:t>联</w:t>
            </w:r>
            <w:r>
              <w:rPr>
                <w:rFonts w:ascii="宋体" w:hAnsi="宋体" w:cs="Arial"/>
              </w:rPr>
              <w:t>网</w:t>
            </w:r>
            <w:r>
              <w:rPr>
                <w:rFonts w:ascii="宋体" w:hAnsi="宋体" w:cs="微软雅黑"/>
              </w:rPr>
              <w:t>业务</w:t>
            </w:r>
            <w:r>
              <w:rPr>
                <w:rFonts w:ascii="宋体" w:hAnsi="宋体" w:cs="Arial"/>
              </w:rPr>
              <w:t>支撑</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每个AP支持多个SSID，每个SSID可以根据不同</w:t>
            </w:r>
            <w:r>
              <w:rPr>
                <w:rFonts w:ascii="宋体" w:hAnsi="宋体" w:cs="微软雅黑"/>
              </w:rPr>
              <w:t>业务</w:t>
            </w:r>
            <w:r>
              <w:rPr>
                <w:rFonts w:ascii="宋体" w:hAnsi="宋体" w:cs="Arial"/>
              </w:rPr>
              <w:t>，分别跟不同的无</w:t>
            </w:r>
            <w:r>
              <w:rPr>
                <w:rFonts w:ascii="宋体" w:hAnsi="宋体" w:cs="微软雅黑"/>
              </w:rPr>
              <w:t>线</w:t>
            </w:r>
            <w:r>
              <w:rPr>
                <w:rFonts w:ascii="宋体" w:hAnsi="宋体" w:cs="Arial"/>
              </w:rPr>
              <w:t>控制器建立隧道，</w:t>
            </w:r>
            <w:r>
              <w:rPr>
                <w:rFonts w:ascii="宋体" w:hAnsi="宋体" w:cs="微软雅黑"/>
              </w:rPr>
              <w:t>组</w:t>
            </w:r>
            <w:r>
              <w:rPr>
                <w:rFonts w:ascii="宋体" w:hAnsi="宋体" w:cs="Arial"/>
              </w:rPr>
              <w:t>建虚</w:t>
            </w:r>
            <w:r>
              <w:rPr>
                <w:rFonts w:ascii="宋体" w:hAnsi="宋体" w:cs="微软雅黑"/>
              </w:rPr>
              <w:t>拟</w:t>
            </w:r>
            <w:r>
              <w:rPr>
                <w:rFonts w:ascii="宋体" w:hAnsi="宋体" w:cs="Arial"/>
              </w:rPr>
              <w:t>物</w:t>
            </w:r>
            <w:r>
              <w:rPr>
                <w:rFonts w:ascii="宋体" w:hAnsi="宋体" w:cs="微软雅黑"/>
              </w:rPr>
              <w:t>联</w:t>
            </w:r>
            <w:r>
              <w:rPr>
                <w:rFonts w:ascii="宋体" w:hAnsi="宋体" w:cs="Arial"/>
              </w:rPr>
              <w:t>网</w:t>
            </w:r>
            <w:r>
              <w:rPr>
                <w:rFonts w:ascii="宋体" w:hAnsi="宋体" w:cs="微软雅黑"/>
              </w:rPr>
              <w:t>专</w:t>
            </w:r>
            <w:r>
              <w:rPr>
                <w:rFonts w:ascii="宋体" w:hAnsi="宋体" w:cs="Arial"/>
              </w:rPr>
              <w:t>网。</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hint="eastAsia" w:ascii="宋体" w:hAnsi="宋体" w:cs="Arial"/>
              </w:rPr>
              <w:t>7</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微软雅黑"/>
              </w:rPr>
              <w:t>设备识</w:t>
            </w:r>
            <w:r>
              <w:rPr>
                <w:rFonts w:ascii="宋体" w:hAnsi="宋体" w:cs="Arial"/>
              </w:rPr>
              <w:t>别和控制</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支持自</w:t>
            </w:r>
            <w:r>
              <w:rPr>
                <w:rFonts w:ascii="宋体" w:hAnsi="宋体" w:cs="微软雅黑"/>
              </w:rPr>
              <w:t>动设</w:t>
            </w:r>
            <w:r>
              <w:rPr>
                <w:rFonts w:ascii="宋体" w:hAnsi="宋体" w:cs="Arial"/>
              </w:rPr>
              <w:t>别</w:t>
            </w:r>
            <w:r>
              <w:rPr>
                <w:rFonts w:ascii="宋体" w:hAnsi="宋体" w:cs="微软雅黑"/>
              </w:rPr>
              <w:t>终</w:t>
            </w:r>
            <w:r>
              <w:rPr>
                <w:rFonts w:ascii="宋体" w:hAnsi="宋体" w:cs="Arial"/>
              </w:rPr>
              <w:t>端类型（例如Window、iPad，iPhone，Android），并</w:t>
            </w:r>
            <w:r>
              <w:rPr>
                <w:rFonts w:ascii="宋体" w:hAnsi="宋体" w:cs="微软雅黑"/>
              </w:rPr>
              <w:t>针对</w:t>
            </w:r>
            <w:r>
              <w:rPr>
                <w:rFonts w:ascii="宋体" w:hAnsi="宋体" w:cs="Arial"/>
              </w:rPr>
              <w:t>不同</w:t>
            </w:r>
            <w:r>
              <w:rPr>
                <w:rFonts w:ascii="宋体" w:hAnsi="宋体" w:cs="微软雅黑"/>
              </w:rPr>
              <w:t>设备</w:t>
            </w:r>
            <w:r>
              <w:rPr>
                <w:rFonts w:ascii="宋体" w:hAnsi="宋体" w:cs="Arial"/>
              </w:rPr>
              <w:t>作相</w:t>
            </w:r>
            <w:r>
              <w:rPr>
                <w:rFonts w:ascii="宋体" w:hAnsi="宋体" w:cs="微软雅黑"/>
              </w:rPr>
              <w:t>应</w:t>
            </w:r>
            <w:r>
              <w:rPr>
                <w:rFonts w:ascii="宋体" w:hAnsi="宋体" w:cs="Arial"/>
              </w:rPr>
              <w:t>的安全控制策略，支持不同的</w:t>
            </w:r>
            <w:r>
              <w:rPr>
                <w:rFonts w:ascii="宋体" w:hAnsi="宋体" w:cs="微软雅黑"/>
              </w:rPr>
              <w:t>终</w:t>
            </w:r>
            <w:r>
              <w:rPr>
                <w:rFonts w:ascii="宋体" w:hAnsi="宋体" w:cs="Arial"/>
              </w:rPr>
              <w:t>端类型</w:t>
            </w:r>
            <w:r>
              <w:rPr>
                <w:rFonts w:ascii="宋体" w:hAnsi="宋体" w:cs="微软雅黑"/>
              </w:rPr>
              <w:t>赋</w:t>
            </w:r>
            <w:r>
              <w:rPr>
                <w:rFonts w:ascii="宋体" w:hAnsi="宋体" w:cs="Arial"/>
              </w:rPr>
              <w:t>予不同的Portal</w:t>
            </w:r>
            <w:r>
              <w:rPr>
                <w:rFonts w:ascii="宋体" w:hAnsi="宋体" w:cs="微软雅黑"/>
              </w:rPr>
              <w:t>认证页</w:t>
            </w:r>
            <w:r>
              <w:rPr>
                <w:rFonts w:ascii="宋体" w:hAnsi="宋体" w:cs="Arial"/>
              </w:rPr>
              <w:t>面与</w:t>
            </w:r>
            <w:r>
              <w:rPr>
                <w:rFonts w:ascii="宋体" w:hAnsi="宋体" w:cs="微软雅黑"/>
              </w:rPr>
              <w:t>欢</w:t>
            </w:r>
            <w:r>
              <w:rPr>
                <w:rFonts w:ascii="宋体" w:hAnsi="宋体" w:cs="Arial"/>
              </w:rPr>
              <w:t>迎</w:t>
            </w:r>
            <w:r>
              <w:rPr>
                <w:rFonts w:ascii="宋体" w:hAnsi="宋体" w:cs="微软雅黑"/>
              </w:rPr>
              <w:t>页</w:t>
            </w:r>
            <w:r>
              <w:rPr>
                <w:rFonts w:ascii="宋体" w:hAnsi="宋体" w:cs="Arial"/>
              </w:rPr>
              <w:t>面。</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hint="eastAsia" w:ascii="宋体" w:hAnsi="宋体" w:cs="Arial"/>
              </w:rPr>
              <w:t>8</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微软雅黑"/>
              </w:rPr>
              <w:t>应</w:t>
            </w:r>
            <w:r>
              <w:rPr>
                <w:rFonts w:ascii="宋体" w:hAnsi="宋体" w:cs="Arial"/>
              </w:rPr>
              <w:t>用</w:t>
            </w:r>
            <w:r>
              <w:rPr>
                <w:rFonts w:ascii="宋体" w:hAnsi="宋体" w:cs="微软雅黑"/>
              </w:rPr>
              <w:t>识</w:t>
            </w:r>
            <w:r>
              <w:rPr>
                <w:rFonts w:ascii="宋体" w:hAnsi="宋体" w:cs="Arial"/>
              </w:rPr>
              <w:t>别</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可以</w:t>
            </w:r>
            <w:r>
              <w:rPr>
                <w:rFonts w:ascii="宋体" w:hAnsi="宋体" w:cs="微软雅黑"/>
              </w:rPr>
              <w:t>识</w:t>
            </w:r>
            <w:r>
              <w:rPr>
                <w:rFonts w:ascii="宋体" w:hAnsi="宋体" w:cs="Arial"/>
              </w:rPr>
              <w:t>别出常用的</w:t>
            </w:r>
            <w:r>
              <w:rPr>
                <w:rFonts w:ascii="宋体" w:hAnsi="宋体" w:cs="微软雅黑"/>
              </w:rPr>
              <w:t>应</w:t>
            </w:r>
            <w:r>
              <w:rPr>
                <w:rFonts w:ascii="宋体" w:hAnsi="宋体" w:cs="Arial"/>
              </w:rPr>
              <w:t>用类型，如微信、QQ、流媒体、</w:t>
            </w:r>
            <w:r>
              <w:rPr>
                <w:rFonts w:ascii="宋体" w:hAnsi="宋体" w:cs="微软雅黑"/>
              </w:rPr>
              <w:t>购</w:t>
            </w:r>
            <w:r>
              <w:rPr>
                <w:rFonts w:ascii="宋体" w:hAnsi="宋体" w:cs="Arial"/>
              </w:rPr>
              <w:t>物、游</w:t>
            </w:r>
            <w:r>
              <w:rPr>
                <w:rFonts w:ascii="宋体" w:hAnsi="宋体" w:cs="微软雅黑"/>
              </w:rPr>
              <w:t>戏</w:t>
            </w:r>
            <w:r>
              <w:rPr>
                <w:rFonts w:ascii="宋体" w:hAnsi="宋体" w:cs="Arial"/>
              </w:rPr>
              <w:t>、WEB、IP地址和端口，并通</w:t>
            </w:r>
            <w:r>
              <w:rPr>
                <w:rFonts w:ascii="宋体" w:hAnsi="宋体" w:cs="微软雅黑"/>
              </w:rPr>
              <w:t>过图</w:t>
            </w:r>
            <w:r>
              <w:rPr>
                <w:rFonts w:ascii="宋体" w:hAnsi="宋体" w:cs="Arial"/>
              </w:rPr>
              <w:t>形界面</w:t>
            </w:r>
            <w:r>
              <w:rPr>
                <w:rFonts w:ascii="宋体" w:hAnsi="宋体" w:cs="微软雅黑"/>
              </w:rPr>
              <w:t>显</w:t>
            </w:r>
            <w:r>
              <w:rPr>
                <w:rFonts w:ascii="宋体" w:hAnsi="宋体" w:cs="Arial"/>
              </w:rPr>
              <w:t>示流量和用</w:t>
            </w:r>
            <w:r>
              <w:rPr>
                <w:rFonts w:ascii="宋体" w:hAnsi="宋体" w:cs="微软雅黑"/>
              </w:rPr>
              <w:t>户</w:t>
            </w:r>
            <w:r>
              <w:rPr>
                <w:rFonts w:ascii="宋体" w:hAnsi="宋体" w:cs="Arial"/>
              </w:rPr>
              <w:t>数，管理人</w:t>
            </w:r>
            <w:r>
              <w:rPr>
                <w:rFonts w:ascii="宋体" w:hAnsi="宋体" w:cs="微软雅黑"/>
              </w:rPr>
              <w:t>员</w:t>
            </w:r>
            <w:r>
              <w:rPr>
                <w:rFonts w:ascii="宋体" w:hAnsi="宋体" w:cs="Arial"/>
              </w:rPr>
              <w:t>可以根据不同</w:t>
            </w:r>
            <w:r>
              <w:rPr>
                <w:rFonts w:ascii="宋体" w:hAnsi="宋体" w:cs="微软雅黑"/>
              </w:rPr>
              <w:t>应</w:t>
            </w:r>
            <w:r>
              <w:rPr>
                <w:rFonts w:ascii="宋体" w:hAnsi="宋体" w:cs="Arial"/>
              </w:rPr>
              <w:t>用限制</w:t>
            </w:r>
            <w:r>
              <w:rPr>
                <w:rFonts w:ascii="宋体" w:hAnsi="宋体" w:cs="微软雅黑"/>
              </w:rPr>
              <w:t>带宽</w:t>
            </w:r>
            <w:r>
              <w:rPr>
                <w:rFonts w:ascii="宋体" w:hAnsi="宋体" w:cs="Arial"/>
              </w:rPr>
              <w:t>或拒</w:t>
            </w:r>
            <w:r>
              <w:rPr>
                <w:rFonts w:ascii="宋体" w:hAnsi="宋体" w:cs="微软雅黑"/>
              </w:rPr>
              <w:t>绝访问</w:t>
            </w:r>
            <w:r>
              <w:rPr>
                <w:rFonts w:ascii="宋体" w:hAnsi="宋体" w:cs="Arial"/>
              </w:rPr>
              <w:t>。</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hint="eastAsia" w:ascii="宋体" w:hAnsi="宋体" w:cs="Arial"/>
              </w:rPr>
              <w:t>9</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安全功能</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支持用</w:t>
            </w:r>
            <w:r>
              <w:rPr>
                <w:rFonts w:ascii="宋体" w:hAnsi="宋体" w:cs="微软雅黑"/>
              </w:rPr>
              <w:t>户</w:t>
            </w:r>
            <w:r>
              <w:rPr>
                <w:rFonts w:ascii="宋体" w:hAnsi="宋体" w:cs="Arial"/>
              </w:rPr>
              <w:t>之</w:t>
            </w:r>
            <w:r>
              <w:rPr>
                <w:rFonts w:ascii="宋体" w:hAnsi="宋体" w:cs="微软雅黑"/>
              </w:rPr>
              <w:t>间</w:t>
            </w:r>
            <w:r>
              <w:rPr>
                <w:rFonts w:ascii="宋体" w:hAnsi="宋体" w:cs="Arial"/>
              </w:rPr>
              <w:t>的隔离；支持ARP攻</w:t>
            </w:r>
            <w:r>
              <w:rPr>
                <w:rFonts w:ascii="宋体" w:hAnsi="宋体" w:cs="微软雅黑"/>
              </w:rPr>
              <w:t>击</w:t>
            </w:r>
            <w:r>
              <w:rPr>
                <w:rFonts w:ascii="宋体" w:hAnsi="宋体" w:cs="Arial"/>
              </w:rPr>
              <w:t>防御。</w:t>
            </w:r>
          </w:p>
          <w:p>
            <w:pPr>
              <w:jc w:val="center"/>
              <w:rPr>
                <w:rFonts w:ascii="宋体" w:hAnsi="宋体" w:cs="Arial"/>
              </w:rPr>
            </w:pPr>
            <w:r>
              <w:rPr>
                <w:rFonts w:ascii="宋体" w:hAnsi="宋体" w:cs="Arial"/>
              </w:rPr>
              <w:t>支持强制DHCP</w:t>
            </w:r>
            <w:r>
              <w:rPr>
                <w:rFonts w:ascii="宋体" w:hAnsi="宋体" w:cs="微软雅黑"/>
              </w:rPr>
              <w:t>获</w:t>
            </w:r>
            <w:r>
              <w:rPr>
                <w:rFonts w:ascii="宋体" w:hAnsi="宋体" w:cs="Arial"/>
              </w:rPr>
              <w:t>取IP地址的用</w:t>
            </w:r>
            <w:r>
              <w:rPr>
                <w:rFonts w:ascii="宋体" w:hAnsi="宋体" w:cs="微软雅黑"/>
              </w:rPr>
              <w:t>户</w:t>
            </w:r>
            <w:r>
              <w:rPr>
                <w:rFonts w:ascii="宋体" w:hAnsi="宋体" w:cs="Arial"/>
              </w:rPr>
              <w:t>才能正常上网。</w:t>
            </w:r>
          </w:p>
          <w:p>
            <w:pPr>
              <w:jc w:val="center"/>
              <w:rPr>
                <w:rFonts w:ascii="宋体" w:hAnsi="宋体" w:cs="Arial"/>
              </w:rPr>
            </w:pPr>
            <w:r>
              <w:rPr>
                <w:rFonts w:ascii="宋体" w:hAnsi="宋体" w:cs="Arial"/>
              </w:rPr>
              <w:t>支持基于IP、域名、端口的安全控制。</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hint="eastAsia" w:ascii="宋体" w:hAnsi="宋体" w:cs="Arial"/>
              </w:rPr>
              <w:t>1</w:t>
            </w:r>
            <w:r>
              <w:rPr>
                <w:rFonts w:ascii="宋体" w:hAnsi="宋体" w:cs="Arial"/>
              </w:rPr>
              <w:t>0</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Segoe UI Symbol"/>
              </w:rPr>
              <w:t>★</w:t>
            </w:r>
            <w:r>
              <w:rPr>
                <w:rFonts w:ascii="宋体" w:hAnsi="宋体" w:cs="Arial"/>
              </w:rPr>
              <w:t>物</w:t>
            </w:r>
            <w:r>
              <w:rPr>
                <w:rFonts w:ascii="宋体" w:hAnsi="宋体" w:cs="微软雅黑"/>
              </w:rPr>
              <w:t>联</w:t>
            </w:r>
            <w:r>
              <w:rPr>
                <w:rFonts w:ascii="宋体" w:hAnsi="宋体" w:cs="Arial"/>
              </w:rPr>
              <w:t>网</w:t>
            </w:r>
            <w:r>
              <w:rPr>
                <w:rFonts w:ascii="宋体" w:hAnsi="宋体" w:cs="微软雅黑"/>
              </w:rPr>
              <w:t>协议</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内置Zigbee和BLE（</w:t>
            </w:r>
            <w:r>
              <w:rPr>
                <w:rFonts w:ascii="宋体" w:hAnsi="宋体" w:cs="微软雅黑"/>
              </w:rPr>
              <w:t>蓝</w:t>
            </w:r>
            <w:r>
              <w:rPr>
                <w:rFonts w:ascii="宋体" w:hAnsi="宋体" w:cs="Arial"/>
              </w:rPr>
              <w:t>牙）射</w:t>
            </w:r>
            <w:r>
              <w:rPr>
                <w:rFonts w:ascii="宋体" w:hAnsi="宋体" w:cs="微软雅黑"/>
              </w:rPr>
              <w:t>频</w:t>
            </w:r>
            <w:r>
              <w:rPr>
                <w:rFonts w:ascii="宋体" w:hAnsi="宋体" w:cs="Arial"/>
              </w:rPr>
              <w:t>模</w:t>
            </w:r>
            <w:r>
              <w:rPr>
                <w:rFonts w:ascii="宋体" w:hAnsi="宋体" w:cs="微软雅黑"/>
              </w:rPr>
              <w:t>块</w:t>
            </w:r>
            <w:r>
              <w:rPr>
                <w:rFonts w:ascii="宋体" w:hAnsi="宋体" w:cs="Arial"/>
              </w:rPr>
              <w:t>。（提供官网截</w:t>
            </w:r>
            <w:r>
              <w:rPr>
                <w:rFonts w:ascii="宋体" w:hAnsi="宋体" w:cs="微软雅黑"/>
              </w:rPr>
              <w:t>图</w:t>
            </w:r>
            <w:r>
              <w:rPr>
                <w:rFonts w:ascii="宋体" w:hAnsi="宋体" w:cs="Arial"/>
              </w:rPr>
              <w:t>和</w:t>
            </w:r>
            <w:r>
              <w:rPr>
                <w:rFonts w:ascii="宋体" w:hAnsi="宋体" w:cs="微软雅黑"/>
              </w:rPr>
              <w:t>产</w:t>
            </w:r>
            <w:r>
              <w:rPr>
                <w:rFonts w:ascii="宋体" w:hAnsi="宋体" w:cs="Arial"/>
              </w:rPr>
              <w:t>品彩</w:t>
            </w:r>
            <w:r>
              <w:rPr>
                <w:rFonts w:ascii="宋体" w:hAnsi="宋体" w:cs="微软雅黑"/>
              </w:rPr>
              <w:t>页证</w:t>
            </w:r>
            <w:r>
              <w:rPr>
                <w:rFonts w:ascii="宋体" w:hAnsi="宋体" w:cs="Arial"/>
              </w:rPr>
              <w:t>明）</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ascii="宋体" w:hAnsi="宋体" w:cs="Arial"/>
              </w:rPr>
              <w:t>11</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WIFI</w:t>
            </w:r>
            <w:r>
              <w:rPr>
                <w:rFonts w:ascii="宋体" w:hAnsi="宋体" w:cs="微软雅黑"/>
              </w:rPr>
              <w:t>认证</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提供投</w:t>
            </w:r>
            <w:r>
              <w:rPr>
                <w:rFonts w:ascii="宋体" w:hAnsi="宋体" w:cs="微软雅黑"/>
              </w:rPr>
              <w:t>标</w:t>
            </w:r>
            <w:r>
              <w:rPr>
                <w:rFonts w:ascii="宋体" w:hAnsi="宋体" w:cs="Arial"/>
              </w:rPr>
              <w:t>AP和无</w:t>
            </w:r>
            <w:r>
              <w:rPr>
                <w:rFonts w:ascii="宋体" w:hAnsi="宋体" w:cs="微软雅黑"/>
              </w:rPr>
              <w:t>线</w:t>
            </w:r>
            <w:r>
              <w:rPr>
                <w:rFonts w:ascii="宋体" w:hAnsi="宋体" w:cs="Arial"/>
              </w:rPr>
              <w:t>控制器的WiFi</w:t>
            </w:r>
            <w:r>
              <w:rPr>
                <w:rFonts w:ascii="宋体" w:hAnsi="宋体" w:cs="微软雅黑"/>
              </w:rPr>
              <w:t>联</w:t>
            </w:r>
            <w:r>
              <w:rPr>
                <w:rFonts w:ascii="宋体" w:hAnsi="宋体" w:cs="Arial"/>
              </w:rPr>
              <w:t>盟</w:t>
            </w:r>
            <w:r>
              <w:rPr>
                <w:rFonts w:ascii="宋体" w:hAnsi="宋体" w:cs="微软雅黑"/>
              </w:rPr>
              <w:t>组</w:t>
            </w:r>
            <w:r>
              <w:rPr>
                <w:rFonts w:ascii="宋体" w:hAnsi="宋体" w:cs="Arial"/>
              </w:rPr>
              <w:t>合</w:t>
            </w:r>
            <w:r>
              <w:rPr>
                <w:rFonts w:ascii="宋体" w:hAnsi="宋体" w:cs="微软雅黑"/>
              </w:rPr>
              <w:t>认证</w:t>
            </w:r>
            <w:r>
              <w:rPr>
                <w:rFonts w:ascii="宋体" w:hAnsi="宋体" w:cs="Arial"/>
              </w:rPr>
              <w:t>。（提供官网</w:t>
            </w:r>
            <w:r>
              <w:rPr>
                <w:rFonts w:ascii="宋体" w:hAnsi="宋体" w:cs="微软雅黑"/>
              </w:rPr>
              <w:t>链</w:t>
            </w:r>
            <w:r>
              <w:rPr>
                <w:rFonts w:ascii="宋体" w:hAnsi="宋体" w:cs="Arial"/>
              </w:rPr>
              <w:t>接和</w:t>
            </w:r>
            <w:r>
              <w:rPr>
                <w:rFonts w:ascii="宋体" w:hAnsi="宋体" w:cs="微软雅黑"/>
              </w:rPr>
              <w:t>证</w:t>
            </w:r>
            <w:r>
              <w:rPr>
                <w:rFonts w:ascii="宋体" w:hAnsi="宋体" w:cs="Arial"/>
              </w:rPr>
              <w:t>明）</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ascii="宋体" w:hAnsi="宋体" w:cs="Arial"/>
              </w:rPr>
              <w:t>12</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微软雅黑"/>
              </w:rPr>
              <w:t>电</w:t>
            </w:r>
            <w:r>
              <w:rPr>
                <w:rFonts w:ascii="宋体" w:hAnsi="宋体" w:cs="Arial"/>
              </w:rPr>
              <w:t>磁</w:t>
            </w:r>
            <w:r>
              <w:rPr>
                <w:rFonts w:ascii="宋体" w:hAnsi="宋体" w:cs="微软雅黑"/>
              </w:rPr>
              <w:t>环</w:t>
            </w:r>
            <w:r>
              <w:rPr>
                <w:rFonts w:ascii="宋体" w:hAnsi="宋体" w:cs="Arial"/>
              </w:rPr>
              <w:t>境</w:t>
            </w:r>
            <w:r>
              <w:rPr>
                <w:rFonts w:ascii="宋体" w:hAnsi="宋体" w:cs="微软雅黑"/>
              </w:rPr>
              <w:t>认证</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提供投</w:t>
            </w:r>
            <w:r>
              <w:rPr>
                <w:rFonts w:ascii="宋体" w:hAnsi="宋体" w:cs="微软雅黑"/>
              </w:rPr>
              <w:t>标</w:t>
            </w:r>
            <w:r>
              <w:rPr>
                <w:rFonts w:ascii="宋体" w:hAnsi="宋体" w:cs="Arial"/>
              </w:rPr>
              <w:t>AP的TUV</w:t>
            </w:r>
            <w:r>
              <w:rPr>
                <w:rFonts w:ascii="宋体" w:hAnsi="宋体" w:cs="微软雅黑"/>
              </w:rPr>
              <w:t>电</w:t>
            </w:r>
            <w:r>
              <w:rPr>
                <w:rFonts w:ascii="宋体" w:hAnsi="宋体" w:cs="Arial"/>
              </w:rPr>
              <w:t>磁</w:t>
            </w:r>
            <w:r>
              <w:rPr>
                <w:rFonts w:ascii="宋体" w:hAnsi="宋体" w:cs="微软雅黑"/>
              </w:rPr>
              <w:t>环</w:t>
            </w:r>
            <w:r>
              <w:rPr>
                <w:rFonts w:ascii="宋体" w:hAnsi="宋体" w:cs="Arial"/>
              </w:rPr>
              <w:t>境</w:t>
            </w:r>
            <w:r>
              <w:rPr>
                <w:rFonts w:ascii="宋体" w:hAnsi="宋体" w:cs="微软雅黑"/>
              </w:rPr>
              <w:t>认证</w:t>
            </w:r>
            <w:r>
              <w:rPr>
                <w:rFonts w:ascii="宋体" w:hAnsi="宋体" w:cs="Arial"/>
              </w:rPr>
              <w:t>。（提供</w:t>
            </w:r>
            <w:r>
              <w:rPr>
                <w:rFonts w:ascii="宋体" w:hAnsi="宋体" w:cs="微软雅黑"/>
              </w:rPr>
              <w:t>证书</w:t>
            </w:r>
            <w:r>
              <w:rPr>
                <w:rFonts w:ascii="宋体" w:hAnsi="宋体" w:cs="Arial"/>
              </w:rPr>
              <w:t>）</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ascii="宋体" w:hAnsi="宋体" w:cs="Arial"/>
              </w:rPr>
              <w:t>13</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Segoe UI Symbol"/>
              </w:rPr>
              <w:t>★</w:t>
            </w:r>
            <w:r>
              <w:rPr>
                <w:rFonts w:ascii="宋体" w:hAnsi="宋体" w:cs="微软雅黑"/>
              </w:rPr>
              <w:t>远</w:t>
            </w:r>
            <w:r>
              <w:rPr>
                <w:rFonts w:ascii="宋体" w:hAnsi="宋体" w:cs="Arial"/>
              </w:rPr>
              <w:t>程工作模式</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AP支持</w:t>
            </w:r>
            <w:r>
              <w:rPr>
                <w:rFonts w:ascii="宋体" w:hAnsi="宋体" w:cs="微软雅黑"/>
              </w:rPr>
              <w:t>远</w:t>
            </w:r>
            <w:r>
              <w:rPr>
                <w:rFonts w:ascii="宋体" w:hAnsi="宋体" w:cs="Arial"/>
              </w:rPr>
              <w:t>程部署模式，可以通</w:t>
            </w:r>
            <w:r>
              <w:rPr>
                <w:rFonts w:ascii="宋体" w:hAnsi="宋体" w:cs="微软雅黑"/>
              </w:rPr>
              <w:t>过</w:t>
            </w:r>
            <w:r>
              <w:rPr>
                <w:rFonts w:ascii="宋体" w:hAnsi="宋体" w:cs="Arial"/>
              </w:rPr>
              <w:t>互</w:t>
            </w:r>
            <w:r>
              <w:rPr>
                <w:rFonts w:ascii="宋体" w:hAnsi="宋体" w:cs="微软雅黑"/>
              </w:rPr>
              <w:t>联</w:t>
            </w:r>
            <w:r>
              <w:rPr>
                <w:rFonts w:ascii="宋体" w:hAnsi="宋体" w:cs="Arial"/>
              </w:rPr>
              <w:t>网与控制器建立IPSec VPN通道。能够</w:t>
            </w:r>
            <w:r>
              <w:rPr>
                <w:rFonts w:ascii="宋体" w:hAnsi="宋体" w:cs="微软雅黑"/>
              </w:rPr>
              <w:t>满</w:t>
            </w:r>
            <w:r>
              <w:rPr>
                <w:rFonts w:ascii="宋体" w:hAnsi="宋体" w:cs="Arial"/>
              </w:rPr>
              <w:t>足疫情期</w:t>
            </w:r>
            <w:r>
              <w:rPr>
                <w:rFonts w:ascii="宋体" w:hAnsi="宋体" w:cs="微软雅黑"/>
              </w:rPr>
              <w:t>间</w:t>
            </w:r>
            <w:r>
              <w:rPr>
                <w:rFonts w:ascii="宋体" w:hAnsi="宋体" w:cs="Arial"/>
              </w:rPr>
              <w:t>，在校外</w:t>
            </w:r>
            <w:r>
              <w:rPr>
                <w:rFonts w:ascii="宋体" w:hAnsi="宋体" w:cs="微软雅黑"/>
              </w:rPr>
              <w:t>办</w:t>
            </w:r>
            <w:r>
              <w:rPr>
                <w:rFonts w:ascii="宋体" w:hAnsi="宋体" w:cs="Arial"/>
              </w:rPr>
              <w:t>公和教学的</w:t>
            </w:r>
            <w:r>
              <w:rPr>
                <w:rFonts w:ascii="宋体" w:hAnsi="宋体" w:cs="微软雅黑"/>
              </w:rPr>
              <w:t>组</w:t>
            </w:r>
            <w:r>
              <w:rPr>
                <w:rFonts w:ascii="宋体" w:hAnsi="宋体" w:cs="Arial"/>
              </w:rPr>
              <w:t>网需求。（提供官网截</w:t>
            </w:r>
            <w:r>
              <w:rPr>
                <w:rFonts w:ascii="宋体" w:hAnsi="宋体" w:cs="微软雅黑"/>
              </w:rPr>
              <w:t>图</w:t>
            </w:r>
            <w:r>
              <w:rPr>
                <w:rFonts w:ascii="宋体" w:hAnsi="宋体" w:cs="Arial"/>
              </w:rPr>
              <w:t>和</w:t>
            </w:r>
            <w:r>
              <w:rPr>
                <w:rFonts w:ascii="宋体" w:hAnsi="宋体" w:cs="微软雅黑"/>
              </w:rPr>
              <w:t>产</w:t>
            </w:r>
            <w:r>
              <w:rPr>
                <w:rFonts w:ascii="宋体" w:hAnsi="宋体" w:cs="Arial"/>
              </w:rPr>
              <w:t>品彩</w:t>
            </w:r>
            <w:r>
              <w:rPr>
                <w:rFonts w:ascii="宋体" w:hAnsi="宋体" w:cs="微软雅黑"/>
              </w:rPr>
              <w:t>页证</w:t>
            </w:r>
            <w:r>
              <w:rPr>
                <w:rFonts w:ascii="宋体" w:hAnsi="宋体" w:cs="Arial"/>
              </w:rPr>
              <w:t>明）</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ascii="宋体" w:hAnsi="宋体" w:cs="Arial"/>
              </w:rPr>
              <w:t>14</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云管理</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AP支持通</w:t>
            </w:r>
            <w:r>
              <w:rPr>
                <w:rFonts w:ascii="宋体" w:hAnsi="宋体" w:cs="微软雅黑"/>
              </w:rPr>
              <w:t>过</w:t>
            </w:r>
            <w:r>
              <w:rPr>
                <w:rFonts w:ascii="宋体" w:hAnsi="宋体" w:cs="Arial"/>
              </w:rPr>
              <w:t>云平台管理。（提供官网截</w:t>
            </w:r>
            <w:r>
              <w:rPr>
                <w:rFonts w:ascii="宋体" w:hAnsi="宋体" w:cs="微软雅黑"/>
              </w:rPr>
              <w:t>图</w:t>
            </w:r>
            <w:r>
              <w:rPr>
                <w:rFonts w:ascii="宋体" w:hAnsi="宋体" w:cs="Arial"/>
              </w:rPr>
              <w:t>和</w:t>
            </w:r>
            <w:r>
              <w:rPr>
                <w:rFonts w:ascii="宋体" w:hAnsi="宋体" w:cs="微软雅黑"/>
              </w:rPr>
              <w:t>产</w:t>
            </w:r>
            <w:r>
              <w:rPr>
                <w:rFonts w:ascii="宋体" w:hAnsi="宋体" w:cs="Arial"/>
              </w:rPr>
              <w:t>品彩</w:t>
            </w:r>
            <w:r>
              <w:rPr>
                <w:rFonts w:ascii="宋体" w:hAnsi="宋体" w:cs="微软雅黑"/>
              </w:rPr>
              <w:t>页证</w:t>
            </w:r>
            <w:r>
              <w:rPr>
                <w:rFonts w:ascii="宋体" w:hAnsi="宋体" w:cs="Arial"/>
              </w:rPr>
              <w:t>明）</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ascii="宋体" w:hAnsi="宋体" w:cs="Arial"/>
              </w:rPr>
              <w:t>15</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rPr>
            </w:pPr>
            <w:r>
              <w:rPr>
                <w:rFonts w:ascii="宋体" w:hAnsi="宋体"/>
              </w:rPr>
              <w:t>无控制器工作模式</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rPr>
            </w:pPr>
            <w:r>
              <w:rPr>
                <w:rFonts w:ascii="宋体" w:hAnsi="宋体"/>
              </w:rPr>
              <w:t>AP支持无控制器工作模式，某一台AP会被选作虚拟控制器，管理其它AP。</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ascii="宋体" w:hAnsi="宋体" w:cs="Arial"/>
              </w:rPr>
              <w:t>16</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抗蜂</w:t>
            </w:r>
            <w:r>
              <w:rPr>
                <w:rFonts w:ascii="宋体" w:hAnsi="宋体" w:cs="微软雅黑"/>
              </w:rPr>
              <w:t>窝</w:t>
            </w:r>
            <w:r>
              <w:rPr>
                <w:rFonts w:ascii="宋体" w:hAnsi="宋体" w:cs="Arial"/>
              </w:rPr>
              <w:t>干</w:t>
            </w:r>
            <w:r>
              <w:rPr>
                <w:rFonts w:ascii="宋体" w:hAnsi="宋体" w:cs="微软雅黑"/>
              </w:rPr>
              <w:t>扰</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AP内置</w:t>
            </w:r>
            <w:r>
              <w:rPr>
                <w:rFonts w:ascii="宋体" w:hAnsi="宋体" w:cs="微软雅黑"/>
              </w:rPr>
              <w:t>滤</w:t>
            </w:r>
            <w:r>
              <w:rPr>
                <w:rFonts w:ascii="宋体" w:hAnsi="宋体" w:cs="Arial"/>
              </w:rPr>
              <w:t>波器，能够将来自蜂</w:t>
            </w:r>
            <w:r>
              <w:rPr>
                <w:rFonts w:ascii="宋体" w:hAnsi="宋体" w:cs="微软雅黑"/>
              </w:rPr>
              <w:t>窝</w:t>
            </w:r>
            <w:r>
              <w:rPr>
                <w:rFonts w:ascii="宋体" w:hAnsi="宋体" w:cs="Arial"/>
              </w:rPr>
              <w:t>网</w:t>
            </w:r>
            <w:r>
              <w:rPr>
                <w:rFonts w:ascii="宋体" w:hAnsi="宋体" w:cs="微软雅黑"/>
              </w:rPr>
              <w:t>络</w:t>
            </w:r>
            <w:r>
              <w:rPr>
                <w:rFonts w:ascii="宋体" w:hAnsi="宋体" w:cs="Arial"/>
              </w:rPr>
              <w:t>（3G/4G/5G）的</w:t>
            </w:r>
            <w:r>
              <w:rPr>
                <w:rFonts w:ascii="宋体" w:hAnsi="宋体" w:cs="微软雅黑"/>
              </w:rPr>
              <w:t>电</w:t>
            </w:r>
            <w:r>
              <w:rPr>
                <w:rFonts w:ascii="宋体" w:hAnsi="宋体" w:cs="Arial"/>
              </w:rPr>
              <w:t>磁干</w:t>
            </w:r>
            <w:r>
              <w:rPr>
                <w:rFonts w:ascii="宋体" w:hAnsi="宋体" w:cs="微软雅黑"/>
              </w:rPr>
              <w:t>扰</w:t>
            </w:r>
            <w:r>
              <w:rPr>
                <w:rFonts w:ascii="宋体" w:hAnsi="宋体" w:cs="Arial"/>
              </w:rPr>
              <w:t>影响降至最低。（提供官网截</w:t>
            </w:r>
            <w:r>
              <w:rPr>
                <w:rFonts w:ascii="宋体" w:hAnsi="宋体" w:cs="微软雅黑"/>
              </w:rPr>
              <w:t>图</w:t>
            </w:r>
            <w:r>
              <w:rPr>
                <w:rFonts w:ascii="宋体" w:hAnsi="宋体" w:cs="Arial"/>
              </w:rPr>
              <w:t>和</w:t>
            </w:r>
            <w:r>
              <w:rPr>
                <w:rFonts w:ascii="宋体" w:hAnsi="宋体" w:cs="微软雅黑"/>
              </w:rPr>
              <w:t>产</w:t>
            </w:r>
            <w:r>
              <w:rPr>
                <w:rFonts w:ascii="宋体" w:hAnsi="宋体" w:cs="Arial"/>
              </w:rPr>
              <w:t>品彩</w:t>
            </w:r>
            <w:r>
              <w:rPr>
                <w:rFonts w:ascii="宋体" w:hAnsi="宋体" w:cs="微软雅黑"/>
              </w:rPr>
              <w:t>页证</w:t>
            </w:r>
            <w:r>
              <w:rPr>
                <w:rFonts w:ascii="宋体" w:hAnsi="宋体" w:cs="Arial"/>
              </w:rPr>
              <w:t>明）</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ascii="宋体" w:hAnsi="宋体" w:cs="Arial"/>
              </w:rPr>
              <w:t>17</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供</w:t>
            </w:r>
            <w:r>
              <w:rPr>
                <w:rFonts w:ascii="宋体" w:hAnsi="宋体" w:cs="微软雅黑"/>
              </w:rPr>
              <w:t>电</w:t>
            </w:r>
            <w:r>
              <w:rPr>
                <w:rFonts w:ascii="宋体" w:hAnsi="宋体" w:cs="Arial"/>
              </w:rPr>
              <w:t>方式</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jc w:val="center"/>
              <w:rPr>
                <w:rFonts w:ascii="宋体" w:hAnsi="宋体" w:cs="Arial"/>
              </w:rPr>
            </w:pPr>
            <w:r>
              <w:rPr>
                <w:rFonts w:ascii="宋体" w:hAnsi="宋体" w:cs="Arial"/>
              </w:rPr>
              <w:t>支持POE和本地</w:t>
            </w:r>
            <w:r>
              <w:rPr>
                <w:rFonts w:ascii="宋体" w:hAnsi="宋体" w:cs="微软雅黑"/>
              </w:rPr>
              <w:t>电</w:t>
            </w:r>
            <w:r>
              <w:rPr>
                <w:rFonts w:ascii="宋体" w:hAnsi="宋体" w:cs="Arial"/>
              </w:rPr>
              <w:t>源适配器供</w:t>
            </w:r>
            <w:r>
              <w:rPr>
                <w:rFonts w:ascii="宋体" w:hAnsi="宋体" w:cs="微软雅黑"/>
              </w:rPr>
              <w:t>电</w:t>
            </w:r>
            <w:r>
              <w:rPr>
                <w:rFonts w:ascii="宋体" w:hAnsi="宋体" w:cs="Arial"/>
              </w:rPr>
              <w:t>。</w:t>
            </w:r>
          </w:p>
        </w:tc>
      </w:tr>
      <w:tr>
        <w:tblPrEx>
          <w:tblCellMar>
            <w:top w:w="0" w:type="dxa"/>
            <w:left w:w="108" w:type="dxa"/>
            <w:bottom w:w="0" w:type="dxa"/>
            <w:right w:w="108" w:type="dxa"/>
          </w:tblCellMar>
        </w:tblPrEx>
        <w:trPr>
          <w:trHeight w:val="485" w:hRule="atLeast"/>
        </w:trPr>
        <w:tc>
          <w:tcPr>
            <w:tcW w:w="446"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spacing w:line="360" w:lineRule="auto"/>
              <w:jc w:val="center"/>
              <w:rPr>
                <w:rFonts w:ascii="宋体" w:hAnsi="宋体" w:cs="Arial"/>
              </w:rPr>
            </w:pPr>
            <w:r>
              <w:rPr>
                <w:rFonts w:hint="eastAsia" w:ascii="宋体" w:hAnsi="宋体" w:cs="Arial"/>
              </w:rPr>
              <w:t>18</w:t>
            </w:r>
          </w:p>
        </w:tc>
        <w:tc>
          <w:tcPr>
            <w:tcW w:w="1110" w:type="pct"/>
            <w:tcBorders>
              <w:top w:val="single" w:color="000000" w:sz="2" w:space="0"/>
              <w:left w:val="single" w:color="000000" w:sz="2" w:space="0"/>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color w:val="000000"/>
                <w:highlight w:val="none"/>
              </w:rPr>
            </w:pPr>
            <w:r>
              <w:rPr>
                <w:rFonts w:hint="eastAsia" w:ascii="宋体" w:hAnsi="宋体" w:cs="宋体"/>
                <w:highlight w:val="none"/>
              </w:rPr>
              <w:t>▲</w:t>
            </w:r>
            <w:r>
              <w:rPr>
                <w:rFonts w:hint="eastAsia" w:ascii="宋体" w:hAnsi="宋体" w:cs="Arial"/>
                <w:color w:val="000000"/>
                <w:highlight w:val="none"/>
              </w:rPr>
              <w:t>质保</w:t>
            </w:r>
            <w:r>
              <w:rPr>
                <w:rFonts w:ascii="宋体" w:hAnsi="宋体" w:cs="Arial"/>
                <w:color w:val="000000"/>
                <w:highlight w:val="none"/>
              </w:rPr>
              <w:t>要求</w:t>
            </w:r>
          </w:p>
        </w:tc>
        <w:tc>
          <w:tcPr>
            <w:tcW w:w="3442" w:type="pct"/>
            <w:tcBorders>
              <w:top w:val="single" w:color="000000" w:sz="2" w:space="0"/>
              <w:left w:val="nil"/>
              <w:bottom w:val="single" w:color="000000" w:sz="2" w:space="0"/>
              <w:right w:val="single" w:color="000000" w:sz="2" w:space="0"/>
            </w:tcBorders>
            <w:shd w:val="clear" w:color="auto" w:fill="FFFFFF"/>
            <w:noWrap w:val="0"/>
            <w:vAlign w:val="center"/>
          </w:tcPr>
          <w:p>
            <w:pPr>
              <w:autoSpaceDE w:val="0"/>
              <w:autoSpaceDN w:val="0"/>
              <w:jc w:val="center"/>
              <w:rPr>
                <w:rFonts w:ascii="宋体" w:hAnsi="宋体" w:cs="Arial"/>
                <w:color w:val="000000"/>
                <w:highlight w:val="none"/>
              </w:rPr>
            </w:pPr>
            <w:r>
              <w:rPr>
                <w:rFonts w:hint="eastAsia" w:ascii="宋体" w:hAnsi="宋体" w:cs="Arial"/>
                <w:color w:val="000000"/>
                <w:highlight w:val="none"/>
              </w:rPr>
              <w:t>提供不少于5年原厂质保服务，提供</w:t>
            </w:r>
            <w:r>
              <w:rPr>
                <w:rFonts w:hint="eastAsia" w:hAnsi="宋体"/>
                <w:highlight w:val="none"/>
              </w:rPr>
              <w:t>服务承诺证明文件</w:t>
            </w:r>
          </w:p>
        </w:tc>
      </w:tr>
    </w:tbl>
    <w:p>
      <w:pPr>
        <w:spacing w:line="360" w:lineRule="auto"/>
        <w:rPr>
          <w:rFonts w:hint="eastAsia" w:ascii="宋体" w:hAnsi="宋体" w:cs="宋体"/>
          <w:b/>
          <w:bCs/>
          <w:sz w:val="24"/>
          <w:szCs w:val="24"/>
        </w:rPr>
      </w:pPr>
      <w:r>
        <w:rPr>
          <w:rFonts w:hint="eastAsia" w:ascii="宋体" w:hAnsi="宋体" w:cs="宋体"/>
          <w:b/>
          <w:bCs/>
          <w:sz w:val="24"/>
          <w:szCs w:val="24"/>
        </w:rPr>
        <w:t>5.6 24口POE交换机（23台）</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601"/>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b/>
              </w:rPr>
            </w:pPr>
            <w:r>
              <w:rPr>
                <w:rFonts w:hint="eastAsia" w:ascii="宋体" w:hAnsi="宋体" w:cs="宋体"/>
                <w:b/>
              </w:rPr>
              <w:t>序号</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b/>
              </w:rPr>
            </w:pPr>
            <w:r>
              <w:rPr>
                <w:rFonts w:hint="eastAsia" w:ascii="宋体" w:hAnsi="宋体" w:cs="宋体"/>
                <w:b/>
              </w:rPr>
              <w:t>指标项</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b/>
              </w:rPr>
            </w:pPr>
            <w:r>
              <w:rPr>
                <w:rFonts w:hint="eastAsia" w:ascii="宋体" w:hAnsi="宋体" w:cs="宋体"/>
                <w:b/>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1</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▲设备性能</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交换容量≥330Gbps，转发性能≥</w:t>
            </w:r>
            <w:r>
              <w:rPr>
                <w:rFonts w:ascii="宋体" w:hAnsi="宋体" w:cs="宋体"/>
              </w:rPr>
              <w:t>10</w:t>
            </w:r>
            <w:r>
              <w:rPr>
                <w:rFonts w:hint="eastAsia" w:ascii="宋体" w:hAnsi="宋体" w:cs="宋体"/>
              </w:rPr>
              <w:t>5Mpps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2</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▲接口类型</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≥24个千兆电口，≥4个万兆SFP+口；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3</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▲PoE供电功率</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整机POE输出≥370W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4</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VLAN特性</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支持基于端口、协议、MAC的VLAN，支持Voice VLAN，支持 Guest VLAN，支持QinQ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5</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路由功能</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支持 IPv4/IPv6 静态路由，支持 RIP/RIPng，OSPF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ascii="宋体" w:hAnsi="宋体" w:cs="宋体"/>
              </w:rPr>
              <w:t>6</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虚拟化技术</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支持横向虚拟化，实现单一IP管理，跨设备链路聚合；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ascii="宋体" w:hAnsi="宋体" w:cs="宋体"/>
              </w:rPr>
              <w:t>7</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SDN特性</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支持 OpenFlow 1.3标准，支持多控制器（EQUAL 模式、主备模式）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ascii="宋体" w:hAnsi="宋体" w:cs="宋体"/>
              </w:rPr>
              <w:t>8</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管理功能</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支持通过命令行、Web、中文图形化配置软件等方式进行配置和管理。支持SNMP V1/V2/V3、RMON；支持虚电缆检测功能(VCT)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ascii="宋体" w:hAnsi="宋体" w:cs="宋体"/>
              </w:rPr>
              <w:t>9</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★兼容性</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与汇聚交换机同品牌，保证设备兼容性；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1</w:t>
            </w:r>
            <w:r>
              <w:rPr>
                <w:rFonts w:ascii="宋体" w:hAnsi="宋体" w:cs="宋体"/>
              </w:rPr>
              <w:t>0</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▲设备配置</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每台提供2个万兆单模模块。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1</w:t>
            </w:r>
            <w:r>
              <w:rPr>
                <w:rFonts w:ascii="宋体" w:hAnsi="宋体" w:cs="宋体"/>
              </w:rPr>
              <w:t>1</w:t>
            </w:r>
          </w:p>
        </w:tc>
        <w:tc>
          <w:tcPr>
            <w:tcW w:w="94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hint="eastAsia" w:ascii="宋体" w:hAnsi="宋体" w:cs="宋体"/>
              </w:rPr>
              <w:t>▲</w:t>
            </w:r>
            <w:r>
              <w:rPr>
                <w:rFonts w:hint="eastAsia" w:ascii="宋体" w:hAnsi="宋体" w:cs="Arial"/>
                <w:color w:val="000000"/>
              </w:rPr>
              <w:t>质保</w:t>
            </w:r>
            <w:r>
              <w:rPr>
                <w:rFonts w:ascii="宋体" w:hAnsi="宋体" w:cs="Arial"/>
                <w:color w:val="000000"/>
              </w:rPr>
              <w:t>要求</w:t>
            </w:r>
          </w:p>
        </w:tc>
        <w:tc>
          <w:tcPr>
            <w:tcW w:w="363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宋体" w:cs="Arial"/>
                <w:color w:val="000000"/>
              </w:rPr>
            </w:pPr>
            <w:r>
              <w:rPr>
                <w:rFonts w:hint="eastAsia" w:ascii="宋体" w:hAnsi="宋体" w:cs="Arial"/>
                <w:color w:val="000000"/>
              </w:rPr>
              <w:t>提供不少于3年原厂质保服务，提供</w:t>
            </w:r>
            <w:r>
              <w:rPr>
                <w:rFonts w:hint="eastAsia" w:hAnsi="宋体"/>
              </w:rPr>
              <w:t>服务承诺证明文件</w:t>
            </w:r>
          </w:p>
        </w:tc>
      </w:tr>
    </w:tbl>
    <w:p>
      <w:pPr>
        <w:spacing w:line="360" w:lineRule="auto"/>
        <w:rPr>
          <w:rFonts w:hint="eastAsia" w:ascii="宋体" w:hAnsi="宋体" w:cs="宋体"/>
          <w:b/>
          <w:bCs/>
          <w:sz w:val="24"/>
          <w:szCs w:val="24"/>
        </w:rPr>
      </w:pPr>
      <w:r>
        <w:rPr>
          <w:rFonts w:hint="eastAsia" w:ascii="宋体" w:hAnsi="宋体" w:cs="宋体"/>
          <w:b/>
          <w:bCs/>
          <w:sz w:val="24"/>
          <w:szCs w:val="24"/>
        </w:rPr>
        <w:t>5.7汇聚交换机（4台）</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746"/>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10" w:type="pct"/>
            <w:noWrap w:val="0"/>
            <w:vAlign w:val="center"/>
          </w:tcPr>
          <w:p>
            <w:pPr>
              <w:autoSpaceDE w:val="0"/>
              <w:autoSpaceDN w:val="0"/>
              <w:adjustRightInd w:val="0"/>
              <w:jc w:val="center"/>
              <w:rPr>
                <w:rFonts w:ascii="宋体" w:hAnsi="宋体" w:cs="宋体"/>
                <w:b/>
                <w:bCs/>
                <w:lang w:val="zh-CN"/>
              </w:rPr>
            </w:pPr>
            <w:r>
              <w:rPr>
                <w:rFonts w:hint="eastAsia" w:ascii="宋体" w:hAnsi="宋体" w:cs="宋体"/>
                <w:b/>
                <w:bCs/>
                <w:lang w:val="zh-CN"/>
              </w:rPr>
              <w:t>序号</w:t>
            </w:r>
          </w:p>
        </w:tc>
        <w:tc>
          <w:tcPr>
            <w:tcW w:w="1025" w:type="pct"/>
            <w:noWrap w:val="0"/>
            <w:vAlign w:val="center"/>
          </w:tcPr>
          <w:p>
            <w:pPr>
              <w:autoSpaceDE w:val="0"/>
              <w:autoSpaceDN w:val="0"/>
              <w:adjustRightInd w:val="0"/>
              <w:jc w:val="center"/>
              <w:rPr>
                <w:rFonts w:ascii="宋体" w:hAnsi="宋体" w:cs="宋体"/>
                <w:b/>
              </w:rPr>
            </w:pPr>
            <w:r>
              <w:rPr>
                <w:rFonts w:hint="eastAsia" w:ascii="宋体" w:hAnsi="宋体" w:cs="宋体"/>
                <w:b/>
              </w:rPr>
              <w:t>指标项</w:t>
            </w:r>
          </w:p>
        </w:tc>
        <w:tc>
          <w:tcPr>
            <w:tcW w:w="3465" w:type="pct"/>
            <w:noWrap w:val="0"/>
            <w:vAlign w:val="center"/>
          </w:tcPr>
          <w:p>
            <w:pPr>
              <w:autoSpaceDE w:val="0"/>
              <w:autoSpaceDN w:val="0"/>
              <w:adjustRightInd w:val="0"/>
              <w:jc w:val="center"/>
              <w:rPr>
                <w:rFonts w:ascii="宋体" w:hAnsi="宋体" w:cs="宋体"/>
                <w:b/>
              </w:rPr>
            </w:pPr>
            <w:r>
              <w:rPr>
                <w:rFonts w:hint="eastAsia" w:ascii="宋体" w:hAnsi="宋体" w:cs="宋体"/>
                <w:b/>
              </w:rPr>
              <w:t>指标要求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0" w:hRule="atLeast"/>
        </w:trPr>
        <w:tc>
          <w:tcPr>
            <w:tcW w:w="510" w:type="pc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1</w:t>
            </w:r>
          </w:p>
        </w:tc>
        <w:tc>
          <w:tcPr>
            <w:tcW w:w="1025" w:type="pc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▲性能要求</w:t>
            </w:r>
          </w:p>
        </w:tc>
        <w:tc>
          <w:tcPr>
            <w:tcW w:w="3465" w:type="pct"/>
            <w:tcBorders>
              <w:top w:val="nil"/>
              <w:left w:val="nil"/>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交换容量≥2.5Tbps；转发性能≥</w:t>
            </w:r>
            <w:r>
              <w:rPr>
                <w:rFonts w:ascii="宋体" w:hAnsi="宋体" w:cs="宋体"/>
              </w:rPr>
              <w:t>10</w:t>
            </w:r>
            <w:r>
              <w:rPr>
                <w:rFonts w:hint="eastAsia" w:ascii="宋体" w:hAnsi="宋体" w:cs="宋体"/>
              </w:rPr>
              <w:t>00Mpps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0" w:hRule="atLeast"/>
        </w:trPr>
        <w:tc>
          <w:tcPr>
            <w:tcW w:w="510" w:type="pc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2</w:t>
            </w:r>
          </w:p>
        </w:tc>
        <w:tc>
          <w:tcPr>
            <w:tcW w:w="1025" w:type="pc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★业务插槽</w:t>
            </w:r>
          </w:p>
        </w:tc>
        <w:tc>
          <w:tcPr>
            <w:tcW w:w="3465" w:type="pct"/>
            <w:tcBorders>
              <w:top w:val="nil"/>
              <w:left w:val="nil"/>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≥2。可扩展8端口万兆SFP+、8端口10G/5G/2.5G/1GBase-T、2端口25G、2端口40G接口板；可扩展防火墙、入侵防御、负载均衡等高性能安全业务插卡。提供官网截图和链接证明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0" w:hRule="atLeast"/>
        </w:trPr>
        <w:tc>
          <w:tcPr>
            <w:tcW w:w="510" w:type="pc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3</w:t>
            </w:r>
          </w:p>
        </w:tc>
        <w:tc>
          <w:tcPr>
            <w:tcW w:w="1025" w:type="pc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▲端口数量</w:t>
            </w:r>
          </w:p>
        </w:tc>
        <w:tc>
          <w:tcPr>
            <w:tcW w:w="3465" w:type="pct"/>
            <w:tcBorders>
              <w:top w:val="nil"/>
              <w:left w:val="nil"/>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提供万兆SFP+≥</w:t>
            </w:r>
            <w:r>
              <w:rPr>
                <w:rFonts w:ascii="宋体" w:hAnsi="宋体" w:cs="宋体"/>
              </w:rPr>
              <w:t>48</w:t>
            </w:r>
            <w:r>
              <w:rPr>
                <w:rFonts w:hint="eastAsia" w:ascii="宋体" w:hAnsi="宋体" w:cs="宋体"/>
              </w:rPr>
              <w:t>，40G QSFP+端口≥2，管理以太口≥1，USB口≥1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0" w:hRule="atLeast"/>
        </w:trPr>
        <w:tc>
          <w:tcPr>
            <w:tcW w:w="510" w:type="pc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4</w:t>
            </w:r>
          </w:p>
        </w:tc>
        <w:tc>
          <w:tcPr>
            <w:tcW w:w="1025" w:type="pc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虚拟化</w:t>
            </w:r>
          </w:p>
        </w:tc>
        <w:tc>
          <w:tcPr>
            <w:tcW w:w="3465" w:type="pct"/>
            <w:tcBorders>
              <w:top w:val="nil"/>
              <w:left w:val="nil"/>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支持多台设备虚拟为一台，具有统一的管理、统一的转发表项；支持跨设备链路聚合。</w:t>
            </w:r>
          </w:p>
          <w:p>
            <w:pPr>
              <w:autoSpaceDE w:val="0"/>
              <w:autoSpaceDN w:val="0"/>
              <w:adjustRightInd w:val="0"/>
              <w:jc w:val="center"/>
              <w:rPr>
                <w:rFonts w:ascii="宋体" w:hAnsi="宋体" w:cs="宋体"/>
              </w:rPr>
            </w:pPr>
            <w:r>
              <w:rPr>
                <w:rFonts w:hint="eastAsia" w:ascii="宋体" w:hAnsi="宋体" w:cs="宋体"/>
              </w:rPr>
              <w:t>支持基于LACP、BFD、ARP的MAD堆叠分裂检测机制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0" w:hRule="atLeast"/>
        </w:trPr>
        <w:tc>
          <w:tcPr>
            <w:tcW w:w="510" w:type="pc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5</w:t>
            </w:r>
          </w:p>
        </w:tc>
        <w:tc>
          <w:tcPr>
            <w:tcW w:w="1025" w:type="pc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IP路由</w:t>
            </w:r>
          </w:p>
        </w:tc>
        <w:tc>
          <w:tcPr>
            <w:tcW w:w="3465" w:type="pct"/>
            <w:tcBorders>
              <w:top w:val="nil"/>
              <w:left w:val="nil"/>
              <w:bottom w:val="single" w:color="auto" w:sz="4" w:space="0"/>
              <w:right w:val="single" w:color="auto" w:sz="4" w:space="0"/>
            </w:tcBorders>
            <w:noWrap w:val="0"/>
            <w:vAlign w:val="center"/>
          </w:tcPr>
          <w:p>
            <w:pPr>
              <w:autoSpaceDE w:val="0"/>
              <w:autoSpaceDN w:val="0"/>
              <w:adjustRightInd w:val="0"/>
              <w:jc w:val="center"/>
              <w:rPr>
                <w:rFonts w:ascii="宋体" w:hAnsi="宋体" w:cs="宋体"/>
              </w:rPr>
            </w:pPr>
            <w:r>
              <w:rPr>
                <w:rFonts w:hint="eastAsia" w:ascii="宋体" w:hAnsi="宋体" w:cs="宋体"/>
              </w:rPr>
              <w:t>支持IPv4、IPv6静态路由，RIP等三层动态路由协议，支持策略路由器，支持RIP v1/2、RIPng；支持等价路由、VRRP、OSPFv1/v2、OSPF v3、BGP、ISIS等增强三层路由协议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10" w:type="pct"/>
            <w:noWrap w:val="0"/>
            <w:vAlign w:val="center"/>
          </w:tcPr>
          <w:p>
            <w:pPr>
              <w:autoSpaceDE w:val="0"/>
              <w:autoSpaceDN w:val="0"/>
              <w:adjustRightInd w:val="0"/>
              <w:jc w:val="center"/>
              <w:rPr>
                <w:rFonts w:ascii="宋体" w:hAnsi="宋体" w:cs="宋体"/>
              </w:rPr>
            </w:pPr>
            <w:r>
              <w:rPr>
                <w:rFonts w:hint="eastAsia" w:ascii="宋体" w:hAnsi="宋体" w:cs="宋体"/>
              </w:rPr>
              <w:t>6</w:t>
            </w:r>
          </w:p>
        </w:tc>
        <w:tc>
          <w:tcPr>
            <w:tcW w:w="1025" w:type="pct"/>
            <w:noWrap w:val="0"/>
            <w:vAlign w:val="center"/>
          </w:tcPr>
          <w:p>
            <w:pPr>
              <w:autoSpaceDE w:val="0"/>
              <w:autoSpaceDN w:val="0"/>
              <w:adjustRightInd w:val="0"/>
              <w:jc w:val="center"/>
              <w:rPr>
                <w:rFonts w:ascii="宋体" w:hAnsi="宋体" w:cs="宋体"/>
              </w:rPr>
            </w:pPr>
            <w:r>
              <w:rPr>
                <w:rFonts w:hint="eastAsia" w:ascii="宋体" w:hAnsi="宋体" w:cs="宋体"/>
              </w:rPr>
              <w:t>安全特性</w:t>
            </w:r>
          </w:p>
        </w:tc>
        <w:tc>
          <w:tcPr>
            <w:tcW w:w="3465" w:type="pct"/>
            <w:noWrap w:val="0"/>
            <w:vAlign w:val="center"/>
          </w:tcPr>
          <w:p>
            <w:pPr>
              <w:autoSpaceDE w:val="0"/>
              <w:autoSpaceDN w:val="0"/>
              <w:adjustRightInd w:val="0"/>
              <w:jc w:val="center"/>
              <w:rPr>
                <w:rFonts w:ascii="宋体" w:hAnsi="宋体" w:cs="宋体"/>
              </w:rPr>
            </w:pPr>
            <w:r>
              <w:rPr>
                <w:rFonts w:hint="eastAsia" w:ascii="宋体" w:hAnsi="宋体" w:cs="宋体"/>
              </w:rPr>
              <w:t>支持基于第二层、第三层和第四层的ACL；支持基于端口和VLAN的 ACL，支持IPv6 ACL；支持802.1x认证，支持集中式MAC地址认证；支持端口隔离，支持IP+MAC+端口绑定，支持IP Source Guard，支持CPU防护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10" w:type="pct"/>
            <w:noWrap w:val="0"/>
            <w:vAlign w:val="center"/>
          </w:tcPr>
          <w:p>
            <w:pPr>
              <w:autoSpaceDE w:val="0"/>
              <w:autoSpaceDN w:val="0"/>
              <w:adjustRightInd w:val="0"/>
              <w:jc w:val="center"/>
              <w:rPr>
                <w:rFonts w:ascii="宋体" w:hAnsi="宋体" w:cs="宋体"/>
              </w:rPr>
            </w:pPr>
            <w:r>
              <w:rPr>
                <w:rFonts w:hint="eastAsia" w:ascii="宋体" w:hAnsi="宋体" w:cs="宋体"/>
              </w:rPr>
              <w:t>7</w:t>
            </w:r>
          </w:p>
        </w:tc>
        <w:tc>
          <w:tcPr>
            <w:tcW w:w="1025" w:type="pct"/>
            <w:noWrap w:val="0"/>
            <w:vAlign w:val="center"/>
          </w:tcPr>
          <w:p>
            <w:pPr>
              <w:autoSpaceDE w:val="0"/>
              <w:autoSpaceDN w:val="0"/>
              <w:adjustRightInd w:val="0"/>
              <w:jc w:val="center"/>
              <w:rPr>
                <w:rFonts w:ascii="宋体" w:hAnsi="宋体" w:cs="宋体"/>
              </w:rPr>
            </w:pPr>
            <w:r>
              <w:rPr>
                <w:rFonts w:hint="eastAsia" w:ascii="宋体" w:hAnsi="宋体" w:cs="宋体"/>
              </w:rPr>
              <w:t>SDN特性</w:t>
            </w:r>
          </w:p>
        </w:tc>
        <w:tc>
          <w:tcPr>
            <w:tcW w:w="3465" w:type="pct"/>
            <w:noWrap w:val="0"/>
            <w:vAlign w:val="center"/>
          </w:tcPr>
          <w:p>
            <w:pPr>
              <w:autoSpaceDE w:val="0"/>
              <w:autoSpaceDN w:val="0"/>
              <w:adjustRightInd w:val="0"/>
              <w:jc w:val="center"/>
              <w:rPr>
                <w:rFonts w:ascii="宋体" w:hAnsi="宋体" w:cs="宋体"/>
              </w:rPr>
            </w:pPr>
            <w:r>
              <w:rPr>
                <w:rFonts w:hint="eastAsia" w:ascii="宋体" w:hAnsi="宋体" w:cs="宋体"/>
              </w:rPr>
              <w:t>支持OPENFLOW 1.3标准，支持 VXLAN 二层交换,支持 VXLAN 路由交换,支持 VXLAN 网关,支持 OpenFlow+Netconf 的 VxLAN 集中式控制平面.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510" w:type="pct"/>
            <w:noWrap w:val="0"/>
            <w:vAlign w:val="center"/>
          </w:tcPr>
          <w:p>
            <w:pPr>
              <w:autoSpaceDE w:val="0"/>
              <w:autoSpaceDN w:val="0"/>
              <w:adjustRightInd w:val="0"/>
              <w:jc w:val="center"/>
              <w:rPr>
                <w:rFonts w:ascii="宋体" w:hAnsi="宋体" w:cs="宋体"/>
              </w:rPr>
            </w:pPr>
            <w:r>
              <w:rPr>
                <w:rFonts w:hint="eastAsia" w:ascii="宋体" w:hAnsi="宋体" w:cs="宋体"/>
              </w:rPr>
              <w:t>8</w:t>
            </w:r>
          </w:p>
        </w:tc>
        <w:tc>
          <w:tcPr>
            <w:tcW w:w="1025" w:type="pct"/>
            <w:noWrap w:val="0"/>
            <w:vAlign w:val="center"/>
          </w:tcPr>
          <w:p>
            <w:pPr>
              <w:widowControl/>
              <w:jc w:val="center"/>
              <w:rPr>
                <w:rFonts w:ascii="宋体" w:hAnsi="宋体"/>
                <w:color w:val="000000"/>
                <w:szCs w:val="22"/>
              </w:rPr>
            </w:pPr>
            <w:r>
              <w:rPr>
                <w:rFonts w:hint="eastAsia" w:ascii="宋体" w:hAnsi="宋体"/>
                <w:color w:val="000000"/>
                <w:szCs w:val="22"/>
              </w:rPr>
              <w:t>可靠性</w:t>
            </w:r>
          </w:p>
        </w:tc>
        <w:tc>
          <w:tcPr>
            <w:tcW w:w="3465" w:type="pct"/>
            <w:noWrap w:val="0"/>
            <w:vAlign w:val="center"/>
          </w:tcPr>
          <w:p>
            <w:pPr>
              <w:jc w:val="center"/>
              <w:rPr>
                <w:rFonts w:ascii="宋体" w:hAnsi="宋体"/>
                <w:color w:val="000000"/>
                <w:szCs w:val="22"/>
              </w:rPr>
            </w:pPr>
            <w:r>
              <w:rPr>
                <w:rFonts w:hint="eastAsia" w:ascii="宋体" w:hAnsi="宋体"/>
                <w:color w:val="000000"/>
                <w:szCs w:val="22"/>
              </w:rPr>
              <w:t>支持VRRPv2/v3（虚拟路由冗余协议)；支持RRPP（快速环网保护协议），环网故障恢复时间不超过200ms；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noWrap w:val="0"/>
            <w:vAlign w:val="center"/>
          </w:tcPr>
          <w:p>
            <w:pPr>
              <w:autoSpaceDE w:val="0"/>
              <w:autoSpaceDN w:val="0"/>
              <w:adjustRightInd w:val="0"/>
              <w:jc w:val="center"/>
              <w:rPr>
                <w:rFonts w:ascii="宋体" w:hAnsi="宋体" w:cs="宋体"/>
              </w:rPr>
            </w:pPr>
            <w:r>
              <w:rPr>
                <w:rFonts w:hint="eastAsia" w:ascii="宋体" w:hAnsi="宋体" w:cs="宋体"/>
              </w:rPr>
              <w:t>9</w:t>
            </w:r>
          </w:p>
        </w:tc>
        <w:tc>
          <w:tcPr>
            <w:tcW w:w="1025" w:type="pct"/>
            <w:noWrap w:val="0"/>
            <w:vAlign w:val="center"/>
          </w:tcPr>
          <w:p>
            <w:pPr>
              <w:autoSpaceDE w:val="0"/>
              <w:autoSpaceDN w:val="0"/>
              <w:adjustRightInd w:val="0"/>
              <w:jc w:val="center"/>
              <w:rPr>
                <w:rFonts w:ascii="宋体" w:hAnsi="宋体" w:cs="宋体"/>
              </w:rPr>
            </w:pPr>
            <w:r>
              <w:rPr>
                <w:rFonts w:hint="eastAsia" w:ascii="宋体" w:hAnsi="宋体" w:cs="宋体"/>
              </w:rPr>
              <w:t>设备管理</w:t>
            </w:r>
          </w:p>
        </w:tc>
        <w:tc>
          <w:tcPr>
            <w:tcW w:w="3465" w:type="pct"/>
            <w:noWrap w:val="0"/>
            <w:vAlign w:val="center"/>
          </w:tcPr>
          <w:p>
            <w:pPr>
              <w:autoSpaceDE w:val="0"/>
              <w:autoSpaceDN w:val="0"/>
              <w:adjustRightInd w:val="0"/>
              <w:jc w:val="center"/>
              <w:rPr>
                <w:rFonts w:ascii="宋体" w:hAnsi="宋体" w:cs="宋体"/>
              </w:rPr>
            </w:pPr>
            <w:r>
              <w:rPr>
                <w:rFonts w:hint="eastAsia" w:ascii="宋体" w:hAnsi="宋体" w:cs="宋体"/>
              </w:rPr>
              <w:t>支持命令行接口（CLI），Telnet，Console口配置，支持SNMPv1/v2/v3，WEB网管；支持 SSH2.0、SSL等加密方式，使得管理更加安全。支持电源、风扇、温度告警。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noWrap w:val="0"/>
            <w:vAlign w:val="center"/>
          </w:tcPr>
          <w:p>
            <w:pPr>
              <w:autoSpaceDE w:val="0"/>
              <w:autoSpaceDN w:val="0"/>
              <w:adjustRightInd w:val="0"/>
              <w:jc w:val="center"/>
              <w:rPr>
                <w:rFonts w:ascii="宋体" w:hAnsi="宋体" w:cs="宋体"/>
              </w:rPr>
            </w:pPr>
            <w:r>
              <w:rPr>
                <w:rFonts w:hint="eastAsia" w:ascii="宋体" w:hAnsi="宋体" w:cs="宋体"/>
              </w:rPr>
              <w:t>1</w:t>
            </w:r>
            <w:r>
              <w:rPr>
                <w:rFonts w:ascii="宋体" w:hAnsi="宋体" w:cs="宋体"/>
              </w:rPr>
              <w:t>0</w:t>
            </w:r>
          </w:p>
        </w:tc>
        <w:tc>
          <w:tcPr>
            <w:tcW w:w="1025" w:type="pct"/>
            <w:noWrap w:val="0"/>
            <w:vAlign w:val="center"/>
          </w:tcPr>
          <w:p>
            <w:pPr>
              <w:autoSpaceDE w:val="0"/>
              <w:autoSpaceDN w:val="0"/>
              <w:adjustRightInd w:val="0"/>
              <w:jc w:val="center"/>
              <w:rPr>
                <w:rFonts w:ascii="宋体" w:hAnsi="宋体" w:cs="宋体"/>
              </w:rPr>
            </w:pPr>
            <w:r>
              <w:rPr>
                <w:rFonts w:hint="eastAsia" w:ascii="宋体" w:hAnsi="宋体" w:cs="宋体"/>
              </w:rPr>
              <w:t>★兼容性</w:t>
            </w:r>
          </w:p>
        </w:tc>
        <w:tc>
          <w:tcPr>
            <w:tcW w:w="3465" w:type="pct"/>
            <w:noWrap w:val="0"/>
            <w:vAlign w:val="center"/>
          </w:tcPr>
          <w:p>
            <w:pPr>
              <w:autoSpaceDE w:val="0"/>
              <w:autoSpaceDN w:val="0"/>
              <w:adjustRightInd w:val="0"/>
              <w:jc w:val="center"/>
              <w:rPr>
                <w:rFonts w:ascii="宋体" w:hAnsi="宋体" w:cs="宋体"/>
              </w:rPr>
            </w:pPr>
            <w:r>
              <w:rPr>
                <w:rFonts w:hint="eastAsia" w:ascii="宋体" w:hAnsi="宋体" w:cs="宋体"/>
              </w:rPr>
              <w:t>与POE交换机同品牌，保证设备兼容性；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noWrap w:val="0"/>
            <w:vAlign w:val="center"/>
          </w:tcPr>
          <w:p>
            <w:pPr>
              <w:autoSpaceDE w:val="0"/>
              <w:autoSpaceDN w:val="0"/>
              <w:adjustRightInd w:val="0"/>
              <w:jc w:val="center"/>
              <w:rPr>
                <w:rFonts w:ascii="宋体" w:hAnsi="宋体" w:cs="宋体"/>
              </w:rPr>
            </w:pPr>
            <w:r>
              <w:rPr>
                <w:rFonts w:hint="eastAsia" w:ascii="宋体" w:hAnsi="宋体" w:cs="宋体"/>
              </w:rPr>
              <w:t>1</w:t>
            </w:r>
            <w:r>
              <w:rPr>
                <w:rFonts w:ascii="宋体" w:hAnsi="宋体" w:cs="宋体"/>
              </w:rPr>
              <w:t>1</w:t>
            </w:r>
          </w:p>
        </w:tc>
        <w:tc>
          <w:tcPr>
            <w:tcW w:w="1025" w:type="pct"/>
            <w:noWrap w:val="0"/>
            <w:vAlign w:val="center"/>
          </w:tcPr>
          <w:p>
            <w:pPr>
              <w:autoSpaceDE w:val="0"/>
              <w:autoSpaceDN w:val="0"/>
              <w:adjustRightInd w:val="0"/>
              <w:jc w:val="center"/>
              <w:rPr>
                <w:rFonts w:ascii="宋体" w:hAnsi="宋体" w:cs="宋体"/>
              </w:rPr>
            </w:pPr>
            <w:r>
              <w:rPr>
                <w:rFonts w:hint="eastAsia" w:ascii="宋体" w:hAnsi="宋体" w:cs="宋体"/>
              </w:rPr>
              <w:t>▲设备配置</w:t>
            </w:r>
          </w:p>
        </w:tc>
        <w:tc>
          <w:tcPr>
            <w:tcW w:w="3465" w:type="pct"/>
            <w:noWrap w:val="0"/>
            <w:vAlign w:val="center"/>
          </w:tcPr>
          <w:p>
            <w:pPr>
              <w:autoSpaceDE w:val="0"/>
              <w:autoSpaceDN w:val="0"/>
              <w:adjustRightInd w:val="0"/>
              <w:jc w:val="center"/>
              <w:rPr>
                <w:rFonts w:ascii="宋体" w:hAnsi="宋体" w:cs="宋体"/>
              </w:rPr>
            </w:pPr>
            <w:r>
              <w:rPr>
                <w:rFonts w:hint="eastAsia" w:ascii="宋体" w:hAnsi="宋体" w:cs="宋体"/>
              </w:rPr>
              <w:t>每台配置模块化双电源，模块化双风扇，提供万兆单模光模块2块。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noWrap w:val="0"/>
            <w:vAlign w:val="center"/>
          </w:tcPr>
          <w:p>
            <w:pPr>
              <w:autoSpaceDE w:val="0"/>
              <w:autoSpaceDN w:val="0"/>
              <w:adjustRightInd w:val="0"/>
              <w:jc w:val="center"/>
              <w:rPr>
                <w:rFonts w:ascii="宋体" w:hAnsi="宋体" w:cs="宋体"/>
              </w:rPr>
            </w:pPr>
            <w:r>
              <w:rPr>
                <w:rFonts w:hint="eastAsia" w:ascii="宋体" w:hAnsi="宋体" w:cs="宋体"/>
              </w:rPr>
              <w:t>1</w:t>
            </w:r>
            <w:r>
              <w:rPr>
                <w:rFonts w:ascii="宋体" w:hAnsi="宋体" w:cs="宋体"/>
              </w:rPr>
              <w:t>2</w:t>
            </w:r>
          </w:p>
        </w:tc>
        <w:tc>
          <w:tcPr>
            <w:tcW w:w="1025" w:type="pct"/>
            <w:noWrap w:val="0"/>
            <w:vAlign w:val="center"/>
          </w:tcPr>
          <w:p>
            <w:pPr>
              <w:autoSpaceDE w:val="0"/>
              <w:autoSpaceDN w:val="0"/>
              <w:jc w:val="center"/>
              <w:rPr>
                <w:rFonts w:ascii="宋体" w:hAnsi="宋体" w:cs="Arial"/>
                <w:color w:val="000000"/>
              </w:rPr>
            </w:pPr>
            <w:r>
              <w:rPr>
                <w:rFonts w:hint="eastAsia" w:ascii="宋体" w:hAnsi="宋体" w:cs="宋体"/>
              </w:rPr>
              <w:t>▲</w:t>
            </w:r>
            <w:r>
              <w:rPr>
                <w:rFonts w:hint="eastAsia" w:ascii="宋体" w:hAnsi="宋体" w:cs="Arial"/>
                <w:color w:val="000000"/>
              </w:rPr>
              <w:t>质保</w:t>
            </w:r>
            <w:r>
              <w:rPr>
                <w:rFonts w:ascii="宋体" w:hAnsi="宋体" w:cs="Arial"/>
                <w:color w:val="000000"/>
              </w:rPr>
              <w:t>要求</w:t>
            </w:r>
          </w:p>
        </w:tc>
        <w:tc>
          <w:tcPr>
            <w:tcW w:w="3465" w:type="pct"/>
            <w:noWrap w:val="0"/>
            <w:vAlign w:val="center"/>
          </w:tcPr>
          <w:p>
            <w:pPr>
              <w:autoSpaceDE w:val="0"/>
              <w:autoSpaceDN w:val="0"/>
              <w:jc w:val="center"/>
              <w:rPr>
                <w:rFonts w:ascii="宋体" w:hAnsi="宋体" w:cs="Arial"/>
                <w:color w:val="000000"/>
              </w:rPr>
            </w:pPr>
            <w:r>
              <w:rPr>
                <w:rFonts w:hint="eastAsia" w:ascii="宋体" w:hAnsi="宋体" w:cs="Arial"/>
                <w:color w:val="000000"/>
              </w:rPr>
              <w:t>提供不少于3年原厂质保服务，提供</w:t>
            </w:r>
            <w:r>
              <w:rPr>
                <w:rFonts w:hint="eastAsia" w:hAnsi="宋体"/>
              </w:rPr>
              <w:t>服务承诺证明文件</w:t>
            </w:r>
          </w:p>
        </w:tc>
      </w:tr>
    </w:tbl>
    <w:p>
      <w:pPr>
        <w:spacing w:line="360" w:lineRule="auto"/>
        <w:rPr>
          <w:rFonts w:hint="eastAsia" w:ascii="宋体" w:hAnsi="宋体" w:cs="宋体"/>
          <w:b/>
          <w:bCs/>
          <w:sz w:val="24"/>
          <w:szCs w:val="24"/>
        </w:rPr>
      </w:pPr>
      <w:r>
        <w:rPr>
          <w:rFonts w:hint="eastAsia" w:ascii="宋体" w:hAnsi="宋体" w:cs="宋体"/>
          <w:b/>
          <w:bCs/>
          <w:sz w:val="24"/>
          <w:szCs w:val="24"/>
        </w:rPr>
        <w:t>5.8数据中心交换机（1台）</w:t>
      </w:r>
    </w:p>
    <w:tbl>
      <w:tblPr>
        <w:tblStyle w:val="24"/>
        <w:tblpPr w:leftFromText="180" w:rightFromText="180" w:vertAnchor="text" w:tblpY="1"/>
        <w:tblOverlap w:val="never"/>
        <w:tblW w:w="871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108" w:type="dxa"/>
          <w:bottom w:w="0" w:type="dxa"/>
          <w:right w:w="108" w:type="dxa"/>
        </w:tblCellMar>
      </w:tblPr>
      <w:tblGrid>
        <w:gridCol w:w="701"/>
        <w:gridCol w:w="1320"/>
        <w:gridCol w:w="669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blHeader/>
        </w:trPr>
        <w:tc>
          <w:tcPr>
            <w:tcW w:w="70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jc w:val="center"/>
              <w:rPr>
                <w:rFonts w:ascii="宋体" w:hAnsi="宋体" w:cs="宋体"/>
                <w:b/>
              </w:rPr>
            </w:pPr>
            <w:r>
              <w:rPr>
                <w:rFonts w:hint="eastAsia" w:ascii="宋体" w:hAnsi="宋体" w:cs="宋体"/>
                <w:b/>
              </w:rPr>
              <w:t>序号</w:t>
            </w:r>
          </w:p>
        </w:tc>
        <w:tc>
          <w:tcPr>
            <w:tcW w:w="132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jc w:val="center"/>
              <w:rPr>
                <w:rFonts w:ascii="宋体" w:hAnsi="宋体" w:cs="宋体"/>
                <w:b/>
              </w:rPr>
            </w:pPr>
            <w:r>
              <w:rPr>
                <w:rFonts w:hint="eastAsia" w:ascii="宋体" w:hAnsi="宋体" w:cs="宋体"/>
                <w:b/>
              </w:rPr>
              <w:t>指标项</w:t>
            </w:r>
          </w:p>
        </w:tc>
        <w:tc>
          <w:tcPr>
            <w:tcW w:w="669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jc w:val="center"/>
              <w:rPr>
                <w:rFonts w:ascii="宋体" w:hAnsi="宋体" w:cs="宋体"/>
                <w:b/>
              </w:rPr>
            </w:pPr>
            <w:r>
              <w:rPr>
                <w:rFonts w:hint="eastAsia" w:ascii="宋体" w:hAnsi="宋体" w:cs="宋体"/>
                <w:b/>
              </w:rPr>
              <w:t>指</w:t>
            </w:r>
            <w:r>
              <w:rPr>
                <w:rFonts w:ascii="宋体" w:hAnsi="宋体" w:cs="宋体"/>
                <w:b/>
              </w:rPr>
              <w:t xml:space="preserve"> 标 要 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1</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交换机类型</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要求为高性能低延迟数据中心交换构架设计，具有高度的灵活性，可部</w:t>
            </w:r>
          </w:p>
          <w:p>
            <w:pPr>
              <w:jc w:val="center"/>
              <w:rPr>
                <w:rFonts w:ascii="宋体" w:hAnsi="宋体"/>
                <w:color w:val="000000"/>
              </w:rPr>
            </w:pPr>
            <w:r>
              <w:rPr>
                <w:rFonts w:hint="eastAsia" w:ascii="宋体" w:hAnsi="宋体"/>
                <w:color w:val="000000"/>
              </w:rPr>
              <w:t>署集群交换架构中，支持1GbE、10GbE和40GbE混合环境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2</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交换容量</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bookmarkStart w:id="141" w:name="OLE_LINK3"/>
            <w:r>
              <w:rPr>
                <w:rFonts w:hint="eastAsia" w:ascii="宋体" w:hAnsi="宋体"/>
                <w:color w:val="000000"/>
              </w:rPr>
              <w:t>≥</w:t>
            </w:r>
            <w:bookmarkEnd w:id="141"/>
            <w:r>
              <w:rPr>
                <w:rFonts w:ascii="宋体" w:hAnsi="宋体"/>
                <w:color w:val="000000"/>
              </w:rPr>
              <w:t>1.44Tbps</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996" w:hRule="atLeast"/>
        </w:trPr>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rFonts w:hint="eastAsia"/>
                <w:color w:val="000000"/>
              </w:rPr>
              <w:t>3</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rFonts w:hint="eastAsia"/>
                <w:color w:val="000000"/>
              </w:rPr>
              <w:t>控制平面</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rFonts w:hint="eastAsia"/>
                <w:color w:val="000000"/>
              </w:rPr>
              <w:t>要求</w:t>
            </w:r>
            <w:r>
              <w:rPr>
                <w:color w:val="000000"/>
              </w:rPr>
              <w:t>支持控制平面和转发平面</w:t>
            </w:r>
            <w:r>
              <w:rPr>
                <w:rFonts w:hint="eastAsia"/>
                <w:color w:val="000000"/>
              </w:rPr>
              <w:t>分离结构</w:t>
            </w:r>
            <w:r>
              <w:rPr>
                <w:color w:val="000000"/>
              </w:rPr>
              <w:t>，</w:t>
            </w:r>
            <w:r>
              <w:rPr>
                <w:rFonts w:hint="eastAsia"/>
                <w:color w:val="000000"/>
              </w:rPr>
              <w:t>控制平面</w:t>
            </w:r>
            <w:r>
              <w:rPr>
                <w:color w:val="000000"/>
              </w:rPr>
              <w:t>要求支持CPU要求1.2</w:t>
            </w:r>
            <w:r>
              <w:rPr>
                <w:rFonts w:hint="eastAsia"/>
                <w:color w:val="000000"/>
              </w:rPr>
              <w:t>G</w:t>
            </w:r>
            <w:r>
              <w:rPr>
                <w:color w:val="000000"/>
              </w:rPr>
              <w:t>HZ以上，</w:t>
            </w:r>
            <w:r>
              <w:rPr>
                <w:rFonts w:hint="eastAsia"/>
                <w:color w:val="000000"/>
              </w:rPr>
              <w:t>内存</w:t>
            </w:r>
            <w:r>
              <w:rPr>
                <w:color w:val="000000"/>
              </w:rPr>
              <w:t>支持8</w:t>
            </w:r>
            <w:r>
              <w:rPr>
                <w:rFonts w:hint="eastAsia"/>
                <w:color w:val="000000"/>
              </w:rPr>
              <w:t>GB</w:t>
            </w:r>
            <w:r>
              <w:rPr>
                <w:color w:val="000000"/>
              </w:rPr>
              <w:t>，</w:t>
            </w:r>
            <w:r>
              <w:rPr>
                <w:rFonts w:hint="eastAsia"/>
                <w:color w:val="000000"/>
              </w:rPr>
              <w:t>支持</w:t>
            </w:r>
            <w:r>
              <w:rPr>
                <w:color w:val="000000"/>
              </w:rPr>
              <w:t>30</w:t>
            </w:r>
            <w:r>
              <w:rPr>
                <w:rFonts w:hint="eastAsia"/>
                <w:color w:val="000000"/>
              </w:rPr>
              <w:t>G</w:t>
            </w:r>
            <w:r>
              <w:rPr>
                <w:color w:val="000000"/>
              </w:rPr>
              <w:t>以上的系统存储。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rFonts w:hint="eastAsia"/>
                <w:color w:val="000000"/>
              </w:rPr>
              <w:t>4</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color w:val="000000"/>
              </w:rPr>
              <w:t>接口选项</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rFonts w:hint="eastAsia" w:ascii="宋体" w:hAnsi="宋体" w:cs="宋体"/>
              </w:rPr>
              <w:t>提供万兆SFP+≥</w:t>
            </w:r>
            <w:r>
              <w:rPr>
                <w:rFonts w:ascii="宋体" w:hAnsi="宋体" w:cs="宋体"/>
              </w:rPr>
              <w:t>48</w:t>
            </w:r>
            <w:r>
              <w:rPr>
                <w:rFonts w:hint="eastAsia" w:ascii="宋体" w:hAnsi="宋体" w:cs="宋体"/>
              </w:rPr>
              <w:t>，40G QSFP+端口≥2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01" w:type="dxa"/>
            <w:vMerge w:val="restart"/>
            <w:tcBorders>
              <w:top w:val="single" w:color="auto" w:sz="6" w:space="0"/>
              <w:left w:val="single" w:color="auto" w:sz="6" w:space="0"/>
              <w:right w:val="single" w:color="auto" w:sz="6" w:space="0"/>
            </w:tcBorders>
            <w:noWrap w:val="0"/>
            <w:vAlign w:val="center"/>
          </w:tcPr>
          <w:p>
            <w:pPr>
              <w:jc w:val="center"/>
              <w:rPr>
                <w:color w:val="000000"/>
              </w:rPr>
            </w:pPr>
            <w:r>
              <w:rPr>
                <w:rFonts w:hint="eastAsia"/>
                <w:color w:val="000000"/>
              </w:rPr>
              <w:t>5</w:t>
            </w:r>
          </w:p>
        </w:tc>
        <w:tc>
          <w:tcPr>
            <w:tcW w:w="1320" w:type="dxa"/>
            <w:vMerge w:val="restart"/>
            <w:tcBorders>
              <w:top w:val="single" w:color="auto" w:sz="6" w:space="0"/>
              <w:left w:val="single" w:color="auto" w:sz="6" w:space="0"/>
              <w:right w:val="single" w:color="auto" w:sz="6" w:space="0"/>
            </w:tcBorders>
            <w:noWrap w:val="0"/>
            <w:vAlign w:val="center"/>
          </w:tcPr>
          <w:p>
            <w:pPr>
              <w:jc w:val="center"/>
              <w:rPr>
                <w:color w:val="000000"/>
              </w:rPr>
            </w:pPr>
            <w:r>
              <w:rPr>
                <w:rFonts w:hint="eastAsia"/>
                <w:color w:val="000000"/>
              </w:rPr>
              <w:t>高可用性</w:t>
            </w:r>
          </w:p>
        </w:tc>
        <w:tc>
          <w:tcPr>
            <w:tcW w:w="6690" w:type="dxa"/>
            <w:tcBorders>
              <w:top w:val="single" w:color="auto" w:sz="6" w:space="0"/>
              <w:left w:val="single" w:color="auto" w:sz="6" w:space="0"/>
              <w:right w:val="single" w:color="auto" w:sz="6" w:space="0"/>
            </w:tcBorders>
            <w:noWrap w:val="0"/>
            <w:vAlign w:val="center"/>
          </w:tcPr>
          <w:p>
            <w:pPr>
              <w:jc w:val="center"/>
              <w:rPr>
                <w:color w:val="000000"/>
              </w:rPr>
            </w:pPr>
            <w:r>
              <w:rPr>
                <w:rFonts w:hint="eastAsia"/>
                <w:color w:val="000000"/>
              </w:rPr>
              <w:t>要求架顶交换机在单机状态下（非级联环境）支持操作系统的冗余</w:t>
            </w:r>
            <w:r>
              <w:rPr>
                <w:color w:val="000000"/>
              </w:rPr>
              <w:t>，在单机环境下实现</w:t>
            </w:r>
            <w:r>
              <w:rPr>
                <w:rFonts w:hint="eastAsia"/>
                <w:color w:val="000000"/>
              </w:rPr>
              <w:t>支持</w:t>
            </w:r>
            <w:r>
              <w:rPr>
                <w:color w:val="000000"/>
              </w:rPr>
              <w:t>主备两个操作系统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701" w:type="dxa"/>
            <w:vMerge w:val="continue"/>
            <w:tcBorders>
              <w:left w:val="single" w:color="auto" w:sz="6" w:space="0"/>
              <w:right w:val="single" w:color="auto" w:sz="6" w:space="0"/>
            </w:tcBorders>
            <w:noWrap w:val="0"/>
            <w:vAlign w:val="center"/>
          </w:tcPr>
          <w:p>
            <w:pPr>
              <w:jc w:val="center"/>
              <w:rPr>
                <w:color w:val="000000"/>
              </w:rPr>
            </w:pPr>
          </w:p>
        </w:tc>
        <w:tc>
          <w:tcPr>
            <w:tcW w:w="1320" w:type="dxa"/>
            <w:vMerge w:val="continue"/>
            <w:tcBorders>
              <w:left w:val="single" w:color="auto" w:sz="6" w:space="0"/>
              <w:right w:val="single" w:color="auto" w:sz="6" w:space="0"/>
            </w:tcBorders>
            <w:noWrap w:val="0"/>
            <w:vAlign w:val="center"/>
          </w:tcPr>
          <w:p>
            <w:pPr>
              <w:jc w:val="center"/>
              <w:rPr>
                <w:color w:val="000000"/>
              </w:rPr>
            </w:pPr>
          </w:p>
        </w:tc>
        <w:tc>
          <w:tcPr>
            <w:tcW w:w="6690" w:type="dxa"/>
            <w:tcBorders>
              <w:top w:val="single" w:color="auto" w:sz="6" w:space="0"/>
              <w:left w:val="single" w:color="auto" w:sz="6" w:space="0"/>
              <w:right w:val="single" w:color="auto" w:sz="6" w:space="0"/>
            </w:tcBorders>
            <w:noWrap w:val="0"/>
            <w:vAlign w:val="center"/>
          </w:tcPr>
          <w:p>
            <w:pPr>
              <w:jc w:val="center"/>
              <w:rPr>
                <w:color w:val="000000"/>
              </w:rPr>
            </w:pPr>
            <w:r>
              <w:rPr>
                <w:rFonts w:hint="eastAsia"/>
                <w:color w:val="000000"/>
              </w:rPr>
              <w:t>支持在线升级，在升级过程中无需重启主机本身（注，非打补丁方式，纯软件升级）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01" w:type="dxa"/>
            <w:vMerge w:val="restart"/>
            <w:tcBorders>
              <w:top w:val="single" w:color="auto" w:sz="6" w:space="0"/>
              <w:left w:val="single" w:color="auto" w:sz="6" w:space="0"/>
              <w:right w:val="single" w:color="auto" w:sz="6" w:space="0"/>
            </w:tcBorders>
            <w:noWrap w:val="0"/>
            <w:vAlign w:val="center"/>
          </w:tcPr>
          <w:p>
            <w:pPr>
              <w:jc w:val="center"/>
              <w:rPr>
                <w:color w:val="000000"/>
              </w:rPr>
            </w:pPr>
            <w:r>
              <w:rPr>
                <w:rFonts w:hint="eastAsia"/>
                <w:color w:val="000000"/>
              </w:rPr>
              <w:t>6</w:t>
            </w:r>
          </w:p>
        </w:tc>
        <w:tc>
          <w:tcPr>
            <w:tcW w:w="1320" w:type="dxa"/>
            <w:vMerge w:val="restart"/>
            <w:tcBorders>
              <w:top w:val="single" w:color="auto" w:sz="6" w:space="0"/>
              <w:left w:val="single" w:color="auto" w:sz="6" w:space="0"/>
              <w:right w:val="single" w:color="auto" w:sz="6" w:space="0"/>
            </w:tcBorders>
            <w:noWrap w:val="0"/>
            <w:vAlign w:val="center"/>
          </w:tcPr>
          <w:p>
            <w:pPr>
              <w:jc w:val="center"/>
              <w:rPr>
                <w:color w:val="000000"/>
              </w:rPr>
            </w:pPr>
            <w:r>
              <w:rPr>
                <w:rFonts w:hint="eastAsia"/>
                <w:color w:val="000000"/>
              </w:rPr>
              <w:t>SDN网络关键特性</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rFonts w:hint="eastAsia"/>
                <w:color w:val="000000"/>
              </w:rPr>
              <w:t>1.自动化支持和SDN支持，要求支持</w:t>
            </w:r>
            <w:r>
              <w:rPr>
                <w:color w:val="000000"/>
              </w:rPr>
              <w:t>P</w:t>
            </w:r>
            <w:r>
              <w:rPr>
                <w:rFonts w:hint="eastAsia"/>
                <w:color w:val="000000"/>
              </w:rPr>
              <w:t>ython，Puppet，</w:t>
            </w:r>
            <w:r>
              <w:rPr>
                <w:color w:val="000000"/>
              </w:rPr>
              <w:t>C</w:t>
            </w:r>
            <w:r>
              <w:rPr>
                <w:rFonts w:hint="eastAsia"/>
                <w:color w:val="000000"/>
              </w:rPr>
              <w:t>hef等自动化方式，支持自带脚本</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701" w:type="dxa"/>
            <w:vMerge w:val="continue"/>
            <w:tcBorders>
              <w:left w:val="single" w:color="auto" w:sz="6" w:space="0"/>
              <w:right w:val="single" w:color="auto" w:sz="6" w:space="0"/>
            </w:tcBorders>
            <w:noWrap w:val="0"/>
            <w:vAlign w:val="center"/>
          </w:tcPr>
          <w:p>
            <w:pPr>
              <w:jc w:val="center"/>
              <w:rPr>
                <w:color w:val="000000"/>
              </w:rPr>
            </w:pPr>
          </w:p>
        </w:tc>
        <w:tc>
          <w:tcPr>
            <w:tcW w:w="1320" w:type="dxa"/>
            <w:vMerge w:val="continue"/>
            <w:tcBorders>
              <w:left w:val="single" w:color="auto" w:sz="6" w:space="0"/>
              <w:right w:val="single" w:color="auto" w:sz="6" w:space="0"/>
            </w:tcBorders>
            <w:noWrap w:val="0"/>
            <w:vAlign w:val="center"/>
          </w:tcPr>
          <w:p>
            <w:pPr>
              <w:jc w:val="center"/>
              <w:rPr>
                <w:color w:val="000000"/>
              </w:rPr>
            </w:pP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rFonts w:hint="eastAsia"/>
                <w:color w:val="000000"/>
              </w:rPr>
              <w:t>2.要求支持O</w:t>
            </w:r>
            <w:r>
              <w:rPr>
                <w:color w:val="000000"/>
              </w:rPr>
              <w:t>penstack</w:t>
            </w:r>
            <w:r>
              <w:rPr>
                <w:rFonts w:hint="eastAsia"/>
                <w:color w:val="000000"/>
              </w:rPr>
              <w:t>网络模块的插件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701" w:type="dxa"/>
            <w:vMerge w:val="continue"/>
            <w:tcBorders>
              <w:left w:val="single" w:color="auto" w:sz="6" w:space="0"/>
              <w:right w:val="single" w:color="auto" w:sz="6" w:space="0"/>
            </w:tcBorders>
            <w:noWrap w:val="0"/>
            <w:vAlign w:val="center"/>
          </w:tcPr>
          <w:p>
            <w:pPr>
              <w:jc w:val="center"/>
              <w:rPr>
                <w:color w:val="000000"/>
              </w:rPr>
            </w:pPr>
          </w:p>
        </w:tc>
        <w:tc>
          <w:tcPr>
            <w:tcW w:w="1320" w:type="dxa"/>
            <w:vMerge w:val="continue"/>
            <w:tcBorders>
              <w:left w:val="single" w:color="auto" w:sz="6" w:space="0"/>
              <w:right w:val="single" w:color="auto" w:sz="6" w:space="0"/>
            </w:tcBorders>
            <w:noWrap w:val="0"/>
            <w:vAlign w:val="center"/>
          </w:tcPr>
          <w:p>
            <w:pPr>
              <w:jc w:val="center"/>
              <w:rPr>
                <w:color w:val="000000"/>
              </w:rPr>
            </w:pP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rFonts w:hint="eastAsia"/>
                <w:color w:val="000000"/>
              </w:rPr>
              <w:t>3.</w:t>
            </w:r>
            <w:r>
              <w:rPr>
                <w:color w:val="000000"/>
              </w:rPr>
              <w:t>支持MPLS功能，</w:t>
            </w:r>
            <w:r>
              <w:rPr>
                <w:rFonts w:hint="eastAsia"/>
                <w:color w:val="000000"/>
              </w:rPr>
              <w:t>支持基于RSVP以及 MPLS PE功能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701" w:type="dxa"/>
            <w:vMerge w:val="continue"/>
            <w:tcBorders>
              <w:left w:val="single" w:color="auto" w:sz="6" w:space="0"/>
              <w:bottom w:val="single" w:color="auto" w:sz="6" w:space="0"/>
              <w:right w:val="single" w:color="auto" w:sz="6" w:space="0"/>
            </w:tcBorders>
            <w:noWrap w:val="0"/>
            <w:vAlign w:val="center"/>
          </w:tcPr>
          <w:p>
            <w:pPr>
              <w:jc w:val="center"/>
              <w:rPr>
                <w:color w:val="000000"/>
              </w:rPr>
            </w:pPr>
          </w:p>
        </w:tc>
        <w:tc>
          <w:tcPr>
            <w:tcW w:w="1320" w:type="dxa"/>
            <w:vMerge w:val="continue"/>
            <w:tcBorders>
              <w:left w:val="single" w:color="auto" w:sz="6" w:space="0"/>
              <w:bottom w:val="single" w:color="auto" w:sz="6" w:space="0"/>
              <w:right w:val="single" w:color="auto" w:sz="6" w:space="0"/>
            </w:tcBorders>
            <w:noWrap w:val="0"/>
            <w:vAlign w:val="center"/>
          </w:tcPr>
          <w:p>
            <w:pPr>
              <w:jc w:val="center"/>
              <w:rPr>
                <w:color w:val="000000"/>
              </w:rPr>
            </w:pP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rFonts w:hint="eastAsia"/>
                <w:color w:val="000000"/>
              </w:rPr>
              <w:t>4.要求支持VXLAN，支持L2 VXLAN网管功能，支持基于EVPN，OVSDB作为VXLAN控制协议，支持NSX集成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7</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ascii="宋体" w:hAnsi="宋体"/>
                <w:color w:val="000000"/>
              </w:rPr>
              <w:t>MAC</w:t>
            </w:r>
            <w:r>
              <w:rPr>
                <w:rFonts w:hint="eastAsia" w:ascii="宋体" w:hAnsi="宋体"/>
                <w:color w:val="000000"/>
              </w:rPr>
              <w:t>地址</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提供静态MAC地址表 ≥ 288K</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8</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ascii="宋体" w:hAnsi="宋体"/>
                <w:color w:val="000000"/>
              </w:rPr>
              <w:t>路由容量</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ascii="宋体" w:hAnsi="宋体"/>
                <w:color w:val="000000"/>
              </w:rPr>
              <w:t>I</w:t>
            </w:r>
            <w:r>
              <w:rPr>
                <w:rFonts w:hint="eastAsia" w:ascii="宋体" w:hAnsi="宋体"/>
                <w:color w:val="000000"/>
              </w:rPr>
              <w:t>P</w:t>
            </w:r>
            <w:r>
              <w:rPr>
                <w:rFonts w:ascii="宋体" w:hAnsi="宋体"/>
                <w:color w:val="000000"/>
              </w:rPr>
              <w:t>v4</w:t>
            </w:r>
            <w:r>
              <w:rPr>
                <w:rFonts w:hint="eastAsia" w:ascii="宋体" w:hAnsi="宋体"/>
                <w:color w:val="000000"/>
              </w:rPr>
              <w:t>单播</w:t>
            </w:r>
            <w:r>
              <w:rPr>
                <w:rFonts w:ascii="宋体" w:hAnsi="宋体"/>
                <w:color w:val="000000"/>
              </w:rPr>
              <w:t>路由条目</w:t>
            </w:r>
            <w:r>
              <w:rPr>
                <w:rFonts w:hint="eastAsia" w:ascii="宋体" w:hAnsi="宋体"/>
                <w:color w:val="000000"/>
              </w:rPr>
              <w:t xml:space="preserve"> ≥</w:t>
            </w:r>
            <w:r>
              <w:rPr>
                <w:rFonts w:ascii="宋体" w:hAnsi="宋体"/>
                <w:color w:val="000000"/>
              </w:rPr>
              <w:t>128K  I</w:t>
            </w:r>
            <w:r>
              <w:rPr>
                <w:rFonts w:hint="eastAsia" w:ascii="宋体" w:hAnsi="宋体"/>
                <w:color w:val="000000"/>
              </w:rPr>
              <w:t>P</w:t>
            </w:r>
            <w:r>
              <w:rPr>
                <w:rFonts w:ascii="宋体" w:hAnsi="宋体"/>
                <w:color w:val="000000"/>
              </w:rPr>
              <w:t>v6单播</w:t>
            </w:r>
            <w:r>
              <w:rPr>
                <w:rFonts w:hint="eastAsia" w:ascii="宋体" w:hAnsi="宋体"/>
                <w:color w:val="000000"/>
              </w:rPr>
              <w:t>路由</w:t>
            </w:r>
            <w:r>
              <w:rPr>
                <w:rFonts w:ascii="宋体" w:hAnsi="宋体"/>
                <w:color w:val="000000"/>
              </w:rPr>
              <w:t>条目</w:t>
            </w:r>
            <w:r>
              <w:rPr>
                <w:rFonts w:hint="eastAsia" w:ascii="宋体" w:hAnsi="宋体"/>
                <w:color w:val="000000"/>
              </w:rPr>
              <w:t xml:space="preserve"> ≥</w:t>
            </w:r>
            <w:r>
              <w:rPr>
                <w:rFonts w:ascii="宋体" w:hAnsi="宋体"/>
                <w:color w:val="000000"/>
              </w:rPr>
              <w:t xml:space="preserve"> 64</w:t>
            </w:r>
            <w:r>
              <w:rPr>
                <w:rFonts w:hint="eastAsia" w:ascii="宋体" w:hAnsi="宋体"/>
                <w:color w:val="000000"/>
              </w:rPr>
              <w:t>K</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9</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链路聚合</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支持不少于128组链路聚合，每组支持最大32个接口</w:t>
            </w:r>
            <w:r>
              <w:rPr>
                <w:rFonts w:ascii="宋体" w:hAnsi="宋体"/>
                <w:color w:val="000000"/>
              </w:rPr>
              <w:t>，要求支持</w:t>
            </w:r>
            <w:r>
              <w:rPr>
                <w:rFonts w:hint="eastAsia" w:ascii="宋体" w:hAnsi="宋体"/>
                <w:color w:val="000000"/>
              </w:rPr>
              <w:t>跨机箱</w:t>
            </w:r>
            <w:r>
              <w:rPr>
                <w:rFonts w:ascii="宋体" w:hAnsi="宋体"/>
                <w:color w:val="000000"/>
              </w:rPr>
              <w:t>链路聚合（非</w:t>
            </w:r>
            <w:r>
              <w:rPr>
                <w:rFonts w:hint="eastAsia" w:ascii="宋体" w:hAnsi="宋体"/>
                <w:color w:val="000000"/>
              </w:rPr>
              <w:t>多虚</w:t>
            </w:r>
            <w:r>
              <w:rPr>
                <w:rFonts w:ascii="宋体" w:hAnsi="宋体"/>
                <w:color w:val="000000"/>
              </w:rPr>
              <w:t>一方式实现）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vMerge w:val="restart"/>
            <w:tcBorders>
              <w:top w:val="single" w:color="auto" w:sz="6" w:space="0"/>
              <w:left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10</w:t>
            </w:r>
          </w:p>
        </w:tc>
        <w:tc>
          <w:tcPr>
            <w:tcW w:w="1320" w:type="dxa"/>
            <w:vMerge w:val="restart"/>
            <w:tcBorders>
              <w:top w:val="single" w:color="auto" w:sz="6" w:space="0"/>
              <w:left w:val="single" w:color="auto" w:sz="6" w:space="0"/>
              <w:right w:val="single" w:color="auto" w:sz="6" w:space="0"/>
            </w:tcBorders>
            <w:noWrap w:val="0"/>
            <w:vAlign w:val="center"/>
          </w:tcPr>
          <w:p>
            <w:pPr>
              <w:jc w:val="center"/>
              <w:rPr>
                <w:rFonts w:ascii="宋体" w:hAnsi="宋体"/>
                <w:color w:val="000000"/>
              </w:rPr>
            </w:pPr>
            <w:r>
              <w:rPr>
                <w:rFonts w:ascii="宋体" w:hAnsi="宋体"/>
                <w:color w:val="000000"/>
              </w:rPr>
              <w:t>VLAN</w:t>
            </w:r>
            <w:r>
              <w:rPr>
                <w:rFonts w:hint="eastAsia" w:ascii="宋体" w:hAnsi="宋体"/>
                <w:color w:val="000000"/>
              </w:rPr>
              <w:t>支持</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支持</w:t>
            </w:r>
            <w:r>
              <w:rPr>
                <w:rFonts w:ascii="宋体" w:hAnsi="宋体"/>
                <w:color w:val="000000"/>
              </w:rPr>
              <w:t>802.1Q</w:t>
            </w:r>
            <w:r>
              <w:rPr>
                <w:rFonts w:hint="eastAsia" w:ascii="宋体" w:hAnsi="宋体"/>
                <w:color w:val="000000"/>
              </w:rPr>
              <w:t>标准，支持</w:t>
            </w:r>
            <w:r>
              <w:rPr>
                <w:rFonts w:ascii="宋体" w:hAnsi="宋体"/>
                <w:color w:val="000000"/>
              </w:rPr>
              <w:t>4</w:t>
            </w:r>
            <w:r>
              <w:rPr>
                <w:rFonts w:hint="eastAsia" w:ascii="宋体" w:hAnsi="宋体"/>
                <w:color w:val="000000"/>
              </w:rPr>
              <w:t>096个vlan，</w:t>
            </w:r>
            <w:r>
              <w:rPr>
                <w:rFonts w:ascii="宋体" w:hAnsi="宋体"/>
                <w:color w:val="000000"/>
              </w:rPr>
              <w:t>能够根据需要支持依据端口或MAC地址划分的VLAN</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vMerge w:val="continue"/>
            <w:tcBorders>
              <w:left w:val="single" w:color="auto" w:sz="6" w:space="0"/>
              <w:right w:val="single" w:color="auto" w:sz="6" w:space="0"/>
            </w:tcBorders>
            <w:noWrap w:val="0"/>
            <w:vAlign w:val="center"/>
          </w:tcPr>
          <w:p>
            <w:pPr>
              <w:jc w:val="center"/>
              <w:rPr>
                <w:rFonts w:ascii="宋体" w:hAnsi="宋体"/>
                <w:color w:val="000000"/>
              </w:rPr>
            </w:pPr>
          </w:p>
        </w:tc>
        <w:tc>
          <w:tcPr>
            <w:tcW w:w="1320" w:type="dxa"/>
            <w:vMerge w:val="continue"/>
            <w:tcBorders>
              <w:left w:val="single" w:color="auto" w:sz="6" w:space="0"/>
              <w:right w:val="single" w:color="auto" w:sz="6" w:space="0"/>
            </w:tcBorders>
            <w:noWrap w:val="0"/>
            <w:vAlign w:val="center"/>
          </w:tcPr>
          <w:p>
            <w:pPr>
              <w:jc w:val="center"/>
              <w:rPr>
                <w:rFonts w:ascii="宋体" w:hAnsi="宋体"/>
                <w:color w:val="000000"/>
              </w:rPr>
            </w:pP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支持GVRP，</w:t>
            </w:r>
            <w:r>
              <w:rPr>
                <w:rFonts w:hint="eastAsia"/>
              </w:rPr>
              <w:t>可实现多设备间VLAN的自动发现和配置</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vMerge w:val="continue"/>
            <w:tcBorders>
              <w:left w:val="single" w:color="auto" w:sz="6" w:space="0"/>
              <w:bottom w:val="single" w:color="auto" w:sz="6" w:space="0"/>
              <w:right w:val="single" w:color="auto" w:sz="6" w:space="0"/>
            </w:tcBorders>
            <w:noWrap w:val="0"/>
            <w:vAlign w:val="center"/>
          </w:tcPr>
          <w:p>
            <w:pPr>
              <w:jc w:val="center"/>
              <w:rPr>
                <w:rFonts w:ascii="宋体" w:hAnsi="宋体"/>
                <w:color w:val="000000"/>
              </w:rPr>
            </w:pPr>
          </w:p>
        </w:tc>
        <w:tc>
          <w:tcPr>
            <w:tcW w:w="1320" w:type="dxa"/>
            <w:vMerge w:val="continue"/>
            <w:tcBorders>
              <w:left w:val="single" w:color="auto" w:sz="6" w:space="0"/>
              <w:bottom w:val="single" w:color="auto" w:sz="6" w:space="0"/>
              <w:right w:val="single" w:color="auto" w:sz="6" w:space="0"/>
            </w:tcBorders>
            <w:noWrap w:val="0"/>
            <w:vAlign w:val="center"/>
          </w:tcPr>
          <w:p>
            <w:pPr>
              <w:jc w:val="center"/>
              <w:rPr>
                <w:rFonts w:ascii="宋体" w:hAnsi="宋体"/>
                <w:color w:val="000000"/>
              </w:rPr>
            </w:pP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支持voice vlan，guest vlan,QINQ，</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11</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MAC地址限制及端口绑定</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支持MAC地址数量限制，支持基于端口的MAC地址绑定</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12</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ARP安全</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支持动态ARP检测</w:t>
            </w:r>
            <w:r>
              <w:rPr>
                <w:rFonts w:ascii="宋体" w:hAnsi="宋体"/>
                <w:color w:val="000000"/>
              </w:rPr>
              <w:t>Dynamic ARP Inspection</w:t>
            </w:r>
            <w:r>
              <w:rPr>
                <w:rFonts w:hint="eastAsia" w:ascii="宋体" w:hAnsi="宋体"/>
                <w:color w:val="000000"/>
              </w:rPr>
              <w:t>,静态ARP映射</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1</w:t>
            </w:r>
            <w:r>
              <w:rPr>
                <w:rFonts w:ascii="宋体" w:hAnsi="宋体"/>
                <w:color w:val="000000"/>
              </w:rPr>
              <w:t>3</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访问控制列表</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支持访问控制列表≥ 4000</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rPr>
            </w:pPr>
            <w:r>
              <w:rPr>
                <w:rFonts w:hint="eastAsia" w:ascii="宋体" w:hAnsi="宋体"/>
                <w:color w:val="000000"/>
              </w:rPr>
              <w:t>14</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s="Arial"/>
                <w:color w:val="000000"/>
              </w:rPr>
            </w:pPr>
            <w:r>
              <w:rPr>
                <w:rFonts w:hint="eastAsia" w:ascii="宋体" w:hAnsi="宋体" w:cs="宋体"/>
              </w:rPr>
              <w:t>▲设备配置</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s="Arial"/>
                <w:color w:val="000000"/>
              </w:rPr>
            </w:pPr>
            <w:r>
              <w:rPr>
                <w:rFonts w:hint="eastAsia" w:ascii="宋体" w:hAnsi="宋体" w:cs="Arial"/>
                <w:color w:val="000000"/>
              </w:rPr>
              <w:t>每台配置冗余电源模块，冗余风扇，并能与我校原有数据中心交换机组成VC集群，实现统一管理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rPr>
            </w:pPr>
            <w:r>
              <w:rPr>
                <w:rFonts w:hint="eastAsia" w:ascii="宋体" w:hAnsi="宋体"/>
                <w:color w:val="000000"/>
              </w:rPr>
              <w:t>15</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s="Arial"/>
                <w:color w:val="000000"/>
              </w:rPr>
            </w:pPr>
            <w:r>
              <w:rPr>
                <w:rFonts w:hint="eastAsia" w:ascii="宋体" w:hAnsi="宋体" w:cs="宋体"/>
              </w:rPr>
              <w:t>▲</w:t>
            </w:r>
            <w:r>
              <w:rPr>
                <w:rFonts w:hint="eastAsia" w:ascii="宋体" w:hAnsi="宋体" w:cs="Arial"/>
                <w:color w:val="000000"/>
              </w:rPr>
              <w:t>质保</w:t>
            </w:r>
            <w:r>
              <w:rPr>
                <w:rFonts w:ascii="宋体" w:hAnsi="宋体" w:cs="Arial"/>
                <w:color w:val="000000"/>
              </w:rPr>
              <w:t>要求</w:t>
            </w:r>
          </w:p>
        </w:tc>
        <w:tc>
          <w:tcPr>
            <w:tcW w:w="66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s="Arial"/>
                <w:color w:val="000000"/>
              </w:rPr>
            </w:pPr>
            <w:r>
              <w:rPr>
                <w:rFonts w:hint="eastAsia" w:ascii="宋体" w:hAnsi="宋体" w:cs="Arial"/>
                <w:color w:val="000000"/>
              </w:rPr>
              <w:t>提供不少于</w:t>
            </w:r>
            <w:r>
              <w:rPr>
                <w:rFonts w:ascii="宋体" w:hAnsi="宋体" w:cs="Arial"/>
                <w:color w:val="000000"/>
              </w:rPr>
              <w:t>3</w:t>
            </w:r>
            <w:r>
              <w:rPr>
                <w:rFonts w:hint="eastAsia" w:ascii="宋体" w:hAnsi="宋体" w:cs="Arial"/>
                <w:color w:val="000000"/>
              </w:rPr>
              <w:t>年原厂质保服务，提供</w:t>
            </w:r>
            <w:r>
              <w:rPr>
                <w:rFonts w:hint="eastAsia" w:hAnsi="宋体"/>
              </w:rPr>
              <w:t>服务承诺证明文件</w:t>
            </w:r>
          </w:p>
        </w:tc>
      </w:tr>
    </w:tbl>
    <w:p>
      <w:pPr>
        <w:rPr>
          <w:rFonts w:hint="eastAsia"/>
          <w:b/>
          <w:bCs/>
          <w:sz w:val="24"/>
          <w:szCs w:val="24"/>
        </w:rPr>
      </w:pPr>
      <w:r>
        <w:rPr>
          <w:rFonts w:hint="eastAsia"/>
          <w:b/>
          <w:bCs/>
          <w:sz w:val="22"/>
          <w:szCs w:val="22"/>
        </w:rPr>
        <w:t>注：</w:t>
      </w:r>
      <w:r>
        <w:rPr>
          <w:rFonts w:hint="eastAsia" w:ascii="宋体" w:hAnsi="宋体" w:cs="宋体"/>
          <w:b/>
          <w:bCs/>
          <w:sz w:val="22"/>
          <w:szCs w:val="22"/>
        </w:rPr>
        <w:t>▲为投标产品</w:t>
      </w:r>
      <w:r>
        <w:rPr>
          <w:rFonts w:ascii="宋体" w:hAnsi="宋体" w:cs="宋体"/>
          <w:b/>
          <w:bCs/>
          <w:sz w:val="22"/>
          <w:szCs w:val="22"/>
        </w:rPr>
        <w:t>中的基础指标要求，需完全满足</w:t>
      </w:r>
      <w:r>
        <w:rPr>
          <w:rFonts w:hint="eastAsia" w:ascii="宋体" w:hAnsi="宋体" w:cs="宋体"/>
          <w:b/>
          <w:bCs/>
          <w:sz w:val="22"/>
          <w:szCs w:val="22"/>
        </w:rPr>
        <w:t>，如</w:t>
      </w:r>
      <w:r>
        <w:rPr>
          <w:rFonts w:ascii="宋体" w:hAnsi="宋体" w:cs="宋体"/>
          <w:b/>
          <w:bCs/>
          <w:sz w:val="22"/>
          <w:szCs w:val="22"/>
        </w:rPr>
        <w:t>不满足，则投标无效。</w:t>
      </w:r>
    </w:p>
    <w:p>
      <w:pPr>
        <w:numPr>
          <w:ilvl w:val="0"/>
          <w:numId w:val="26"/>
        </w:numPr>
        <w:spacing w:line="360" w:lineRule="auto"/>
        <w:jc w:val="left"/>
        <w:rPr>
          <w:rFonts w:hint="eastAsia" w:ascii="宋体" w:hAnsi="宋体" w:cs="宋体"/>
          <w:b/>
          <w:bCs/>
          <w:sz w:val="24"/>
          <w:szCs w:val="24"/>
        </w:rPr>
      </w:pPr>
      <w:r>
        <w:rPr>
          <w:rFonts w:hint="eastAsia" w:ascii="宋体" w:hAnsi="宋体" w:cs="宋体"/>
          <w:b/>
          <w:bCs/>
          <w:sz w:val="24"/>
          <w:szCs w:val="24"/>
        </w:rPr>
        <w:t>实施要求</w:t>
      </w:r>
    </w:p>
    <w:p>
      <w:pPr>
        <w:snapToGrid w:val="0"/>
        <w:spacing w:line="360" w:lineRule="auto"/>
        <w:ind w:firstLine="480" w:firstLineChars="200"/>
        <w:rPr>
          <w:rFonts w:ascii="宋体" w:hAnsi="宋体" w:cs="宋体"/>
          <w:sz w:val="24"/>
        </w:rPr>
      </w:pPr>
      <w:r>
        <w:rPr>
          <w:rFonts w:hint="eastAsia" w:ascii="宋体" w:hAnsi="宋体" w:cs="宋体"/>
          <w:sz w:val="24"/>
        </w:rPr>
        <w:t>（1）按照要求设计弱电间，从学校核心机房铺设一根2</w:t>
      </w:r>
      <w:r>
        <w:rPr>
          <w:rFonts w:ascii="宋体" w:hAnsi="宋体" w:cs="宋体"/>
          <w:sz w:val="24"/>
        </w:rPr>
        <w:t>4芯单模</w:t>
      </w:r>
      <w:r>
        <w:rPr>
          <w:rFonts w:hint="eastAsia" w:ascii="宋体" w:hAnsi="宋体" w:cs="宋体"/>
          <w:sz w:val="24"/>
        </w:rPr>
        <w:t>光缆至实训楼汇聚机房，楼内弱电间互联采用1</w:t>
      </w:r>
      <w:r>
        <w:rPr>
          <w:rFonts w:ascii="宋体" w:hAnsi="宋体" w:cs="宋体"/>
          <w:sz w:val="24"/>
        </w:rPr>
        <w:t>2芯单模光缆</w:t>
      </w:r>
      <w:r>
        <w:rPr>
          <w:rFonts w:hint="eastAsia" w:ascii="宋体" w:hAnsi="宋体" w:cs="宋体"/>
          <w:sz w:val="24"/>
        </w:rPr>
        <w:t>，配置光缆两端所需ODF架、光纤盒、尾纤法兰等。</w:t>
      </w:r>
    </w:p>
    <w:p>
      <w:pPr>
        <w:snapToGrid w:val="0"/>
        <w:spacing w:line="360" w:lineRule="auto"/>
        <w:ind w:firstLine="480" w:firstLineChars="200"/>
        <w:rPr>
          <w:rFonts w:ascii="宋体" w:hAnsi="宋体" w:cs="宋体"/>
          <w:sz w:val="24"/>
        </w:rPr>
      </w:pPr>
      <w:r>
        <w:rPr>
          <w:rFonts w:hint="eastAsia" w:ascii="宋体" w:hAnsi="宋体" w:cs="宋体"/>
          <w:sz w:val="24"/>
        </w:rPr>
        <w:t>（2）接入层设备与楼宇汇聚之间采用星型级联。</w:t>
      </w:r>
    </w:p>
    <w:p>
      <w:pPr>
        <w:tabs>
          <w:tab w:val="left" w:pos="1395"/>
        </w:tabs>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）弱电间建设，包括机柜的采购、安装与摆放、电源插座的安装等，机柜需选用4</w:t>
      </w:r>
      <w:r>
        <w:rPr>
          <w:rFonts w:ascii="宋体" w:hAnsi="宋体" w:cs="宋体"/>
          <w:sz w:val="24"/>
        </w:rPr>
        <w:t>2U标准机柜</w:t>
      </w:r>
      <w:r>
        <w:rPr>
          <w:rFonts w:hint="eastAsia" w:ascii="宋体" w:hAnsi="宋体" w:cs="宋体"/>
          <w:sz w:val="24"/>
        </w:rPr>
        <w:t>。</w:t>
      </w:r>
    </w:p>
    <w:p>
      <w:pPr>
        <w:tabs>
          <w:tab w:val="left" w:pos="1395"/>
        </w:tabs>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）按照甲方的要求对设备进行安装调试。</w:t>
      </w:r>
    </w:p>
    <w:p>
      <w:pPr>
        <w:pStyle w:val="89"/>
        <w:tabs>
          <w:tab w:val="left" w:pos="1395"/>
        </w:tabs>
        <w:spacing w:line="360" w:lineRule="auto"/>
        <w:ind w:firstLine="48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）楼内信息点已完成布线及面板施工，本次需根据信息点位数量配置配线架，室内各信息点面板至配线架要做完全一致的永久编号。</w:t>
      </w:r>
    </w:p>
    <w:p>
      <w:pPr>
        <w:pStyle w:val="89"/>
        <w:tabs>
          <w:tab w:val="left" w:pos="1395"/>
        </w:tabs>
        <w:spacing w:line="360" w:lineRule="auto"/>
        <w:ind w:firstLine="480"/>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）交换机与交换机之间、交换机与配线架之间、配线架与配线架之间需安装1U理线器。</w:t>
      </w:r>
    </w:p>
    <w:p>
      <w:pPr>
        <w:pStyle w:val="89"/>
        <w:widowControl/>
        <w:tabs>
          <w:tab w:val="left" w:pos="1395"/>
        </w:tabs>
        <w:spacing w:line="360" w:lineRule="auto"/>
        <w:ind w:firstLine="480"/>
        <w:rPr>
          <w:rFonts w:ascii="宋体" w:hAns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）无线网络布线采用六类非屏蔽双绞线，所有网线、光缆铺设放置在现有桥架内，做好标识。</w:t>
      </w:r>
    </w:p>
    <w:p>
      <w:pPr>
        <w:pStyle w:val="89"/>
        <w:widowControl/>
        <w:tabs>
          <w:tab w:val="left" w:pos="1395"/>
        </w:tabs>
        <w:spacing w:line="360" w:lineRule="auto"/>
        <w:ind w:firstLine="480"/>
        <w:rPr>
          <w:rFonts w:ascii="宋体" w:hAns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）布线完成后无线AP、配线架面板、机柜设备数据跳线必须有机打标签（非手写）来标明相关信息，方便后期维护管理。</w:t>
      </w:r>
    </w:p>
    <w:p>
      <w:pPr>
        <w:pStyle w:val="2"/>
        <w:spacing w:line="360" w:lineRule="auto"/>
        <w:ind w:firstLine="480" w:firstLineChars="200"/>
        <w:rPr>
          <w:rFonts w:hint="eastAsia" w:ascii="宋体" w:hAnsi="宋体" w:cs="宋体"/>
          <w:sz w:val="24"/>
        </w:rPr>
      </w:pPr>
      <w:r>
        <w:rPr>
          <w:rFonts w:hint="eastAsia" w:ascii="宋体" w:hAnsi="宋体" w:cs="宋体"/>
          <w:sz w:val="24"/>
        </w:rPr>
        <w:t>（</w:t>
      </w:r>
      <w:r>
        <w:rPr>
          <w:rFonts w:ascii="宋体" w:hAnsi="宋体" w:cs="宋体"/>
          <w:sz w:val="24"/>
        </w:rPr>
        <w:t>9</w:t>
      </w:r>
      <w:r>
        <w:rPr>
          <w:rFonts w:hint="eastAsia" w:ascii="宋体" w:hAnsi="宋体" w:cs="宋体"/>
          <w:sz w:val="24"/>
        </w:rPr>
        <w:t>）本项目为交钥匙工程。</w:t>
      </w:r>
    </w:p>
    <w:p>
      <w:pPr>
        <w:rPr>
          <w:rFonts w:hint="eastAsia" w:ascii="宋体" w:hAnsi="宋体" w:eastAsia="宋体" w:cs="宋体"/>
          <w:b/>
          <w:bCs/>
          <w:kern w:val="44"/>
          <w:sz w:val="44"/>
          <w:szCs w:val="44"/>
          <w:highlight w:val="none"/>
          <w:lang w:val="en-US" w:eastAsia="zh-CN" w:bidi="ar-SA"/>
        </w:rPr>
      </w:pPr>
      <w:r>
        <w:rPr>
          <w:rFonts w:hint="eastAsia" w:ascii="宋体" w:hAnsi="宋体" w:eastAsia="宋体" w:cs="宋体"/>
          <w:b/>
          <w:bCs/>
          <w:kern w:val="44"/>
          <w:sz w:val="44"/>
          <w:szCs w:val="44"/>
          <w:highlight w:val="none"/>
          <w:lang w:val="en-US" w:eastAsia="zh-CN" w:bidi="ar-SA"/>
        </w:rPr>
        <w:br w:type="page"/>
      </w:r>
    </w:p>
    <w:p>
      <w:pPr>
        <w:keepNext w:val="0"/>
        <w:keepLines w:val="0"/>
        <w:pageBreakBefore w:val="0"/>
        <w:widowControl w:val="0"/>
        <w:numPr>
          <w:ilvl w:val="0"/>
          <w:numId w:val="0"/>
        </w:numPr>
        <w:kinsoku w:val="0"/>
        <w:wordWrap/>
        <w:overflowPunct/>
        <w:topLinePunct w:val="0"/>
        <w:autoSpaceDE/>
        <w:autoSpaceDN/>
        <w:bidi w:val="0"/>
        <w:adjustRightInd/>
        <w:snapToGrid/>
        <w:spacing w:line="240" w:lineRule="auto"/>
        <w:ind w:leftChars="0" w:firstLine="883" w:firstLineChars="200"/>
        <w:jc w:val="center"/>
        <w:textAlignment w:val="auto"/>
        <w:outlineLvl w:val="0"/>
        <w:rPr>
          <w:rFonts w:hint="eastAsia" w:ascii="宋体" w:hAnsi="宋体" w:eastAsia="宋体" w:cs="宋体"/>
          <w:b/>
          <w:bCs/>
          <w:kern w:val="44"/>
          <w:sz w:val="44"/>
          <w:szCs w:val="44"/>
          <w:highlight w:val="none"/>
          <w:lang w:val="en-US" w:eastAsia="zh-CN" w:bidi="ar-SA"/>
        </w:rPr>
      </w:pPr>
      <w:bookmarkStart w:id="142" w:name="_Toc29652"/>
      <w:r>
        <w:rPr>
          <w:rFonts w:hint="eastAsia" w:ascii="宋体" w:hAnsi="宋体" w:eastAsia="宋体" w:cs="宋体"/>
          <w:b/>
          <w:bCs/>
          <w:kern w:val="44"/>
          <w:sz w:val="44"/>
          <w:szCs w:val="44"/>
          <w:highlight w:val="none"/>
          <w:lang w:val="en-US" w:eastAsia="zh-CN" w:bidi="ar-SA"/>
        </w:rPr>
        <w:t>第六部分  合同条款</w:t>
      </w:r>
      <w:bookmarkEnd w:id="133"/>
      <w:bookmarkEnd w:id="134"/>
      <w:bookmarkEnd w:id="142"/>
    </w:p>
    <w:p>
      <w:pPr>
        <w:pStyle w:val="2"/>
        <w:rPr>
          <w:rFonts w:hint="eastAsia" w:ascii="宋体" w:hAnsi="宋体" w:eastAsia="宋体" w:cs="宋体"/>
          <w:lang w:val="en-US" w:eastAsia="zh-CN"/>
        </w:rPr>
      </w:pPr>
    </w:p>
    <w:p>
      <w:pPr>
        <w:kinsoku w:val="0"/>
        <w:spacing w:line="400" w:lineRule="exact"/>
        <w:ind w:firstLine="904" w:firstLineChars="250"/>
        <w:jc w:val="center"/>
        <w:rPr>
          <w:rFonts w:hAnsi="宋体"/>
          <w:b/>
          <w:bCs/>
          <w:sz w:val="36"/>
          <w:szCs w:val="36"/>
          <w:lang w:eastAsia="zh-CN"/>
        </w:rPr>
      </w:pPr>
      <w:r>
        <w:rPr>
          <w:rFonts w:hint="eastAsia" w:hAnsi="宋体"/>
          <w:b/>
          <w:bCs/>
          <w:sz w:val="36"/>
          <w:szCs w:val="36"/>
          <w:lang w:eastAsia="zh-CN"/>
        </w:rPr>
        <w:t>设备采购供货合同</w:t>
      </w:r>
    </w:p>
    <w:p>
      <w:pPr>
        <w:kinsoku w:val="0"/>
        <w:spacing w:line="400" w:lineRule="exact"/>
        <w:ind w:firstLine="600" w:firstLineChars="250"/>
        <w:rPr>
          <w:rFonts w:hAnsi="宋体"/>
          <w:sz w:val="24"/>
        </w:rPr>
      </w:pPr>
      <w:r>
        <w:rPr>
          <w:rFonts w:hint="eastAsia" w:hAnsi="宋体"/>
          <w:sz w:val="24"/>
        </w:rPr>
        <w:t>甲方：陕西科技大学</w:t>
      </w:r>
    </w:p>
    <w:p>
      <w:pPr>
        <w:kinsoku w:val="0"/>
        <w:spacing w:line="400" w:lineRule="exact"/>
        <w:ind w:firstLine="600" w:firstLineChars="250"/>
        <w:rPr>
          <w:rFonts w:hAnsi="宋体"/>
          <w:sz w:val="24"/>
          <w:highlight w:val="none"/>
          <w:lang w:eastAsia="zh-CN"/>
        </w:rPr>
      </w:pPr>
      <w:r>
        <w:rPr>
          <w:rFonts w:hint="eastAsia" w:hAnsi="宋体"/>
          <w:sz w:val="24"/>
        </w:rPr>
        <w:t>乙方：</w:t>
      </w:r>
      <w:r>
        <w:rPr>
          <w:rFonts w:hAnsi="宋体"/>
          <w:sz w:val="24"/>
          <w:highlight w:val="none"/>
        </w:rPr>
        <w:t xml:space="preserve"> </w:t>
      </w:r>
      <w:r>
        <w:rPr>
          <w:rFonts w:hint="eastAsia" w:hAnsi="宋体"/>
          <w:sz w:val="24"/>
          <w:highlight w:val="none"/>
          <w:lang w:eastAsia="zh-CN"/>
        </w:rPr>
        <w:t xml:space="preserve">           </w:t>
      </w:r>
    </w:p>
    <w:p>
      <w:pPr>
        <w:kinsoku w:val="0"/>
        <w:spacing w:line="400" w:lineRule="exact"/>
        <w:ind w:firstLine="600" w:firstLineChars="250"/>
        <w:rPr>
          <w:rFonts w:hAnsi="宋体"/>
          <w:sz w:val="24"/>
        </w:rPr>
      </w:pPr>
      <w:r>
        <w:rPr>
          <w:rFonts w:hint="eastAsia" w:hAnsi="宋体"/>
          <w:sz w:val="24"/>
          <w:highlight w:val="none"/>
        </w:rPr>
        <w:t>根据《中华人民共和国政府采购法》、《中华人民共和国</w:t>
      </w:r>
      <w:r>
        <w:rPr>
          <w:rFonts w:hint="eastAsia" w:hAnsi="宋体"/>
          <w:sz w:val="24"/>
          <w:highlight w:val="none"/>
          <w:lang w:eastAsia="zh-CN"/>
        </w:rPr>
        <w:t>民法典</w:t>
      </w:r>
      <w:r>
        <w:rPr>
          <w:rFonts w:hint="eastAsia" w:hAnsi="宋体"/>
          <w:sz w:val="24"/>
          <w:highlight w:val="none"/>
        </w:rPr>
        <w:t>》等法律法规，甲方通过</w:t>
      </w:r>
      <w:r>
        <w:rPr>
          <w:rFonts w:hint="eastAsia" w:hAnsi="宋体"/>
          <w:sz w:val="24"/>
          <w:highlight w:val="none"/>
          <w:lang w:eastAsia="zh-CN"/>
        </w:rPr>
        <w:t xml:space="preserve">          （</w:t>
      </w:r>
      <w:r>
        <w:rPr>
          <w:rFonts w:hint="eastAsia" w:hAnsi="宋体"/>
          <w:sz w:val="24"/>
          <w:highlight w:val="none"/>
        </w:rPr>
        <w:t>公开招标</w:t>
      </w:r>
      <w:r>
        <w:rPr>
          <w:rFonts w:hint="eastAsia" w:hAnsi="宋体"/>
          <w:sz w:val="24"/>
          <w:highlight w:val="none"/>
          <w:lang w:eastAsia="zh-CN"/>
        </w:rPr>
        <w:t>、竞争性磋商、竞争性谈判、单一来源、协议供货等，根据具体采购形式填写）</w:t>
      </w:r>
      <w:r>
        <w:rPr>
          <w:rFonts w:hint="eastAsia" w:hAnsi="宋体"/>
          <w:sz w:val="24"/>
          <w:highlight w:val="none"/>
        </w:rPr>
        <w:t>，</w:t>
      </w:r>
      <w:r>
        <w:rPr>
          <w:rFonts w:hint="eastAsia" w:hAnsi="宋体"/>
          <w:sz w:val="24"/>
        </w:rPr>
        <w:t>选定乙方为中标单位。甲、乙双方在平等基础上协商一致，达成如下合同条款：</w:t>
      </w:r>
    </w:p>
    <w:p>
      <w:pPr>
        <w:kinsoku w:val="0"/>
        <w:spacing w:line="400" w:lineRule="exact"/>
        <w:ind w:firstLine="600" w:firstLineChars="250"/>
        <w:rPr>
          <w:rFonts w:hint="default" w:hAnsi="宋体" w:eastAsia="宋体"/>
          <w:sz w:val="24"/>
          <w:lang w:val="en-US" w:eastAsia="zh-CN"/>
        </w:rPr>
      </w:pPr>
      <w:r>
        <w:rPr>
          <w:rFonts w:hint="eastAsia" w:hAnsi="宋体"/>
          <w:sz w:val="24"/>
        </w:rPr>
        <w:t>一、</w:t>
      </w:r>
      <w:r>
        <w:rPr>
          <w:rFonts w:hAnsi="宋体"/>
          <w:b/>
          <w:sz w:val="24"/>
        </w:rPr>
        <w:t>合同内容</w:t>
      </w:r>
      <w:r>
        <w:rPr>
          <w:rFonts w:hint="eastAsia" w:hAnsi="宋体"/>
          <w:b/>
          <w:sz w:val="24"/>
          <w:lang w:val="en-US" w:eastAsia="zh-CN"/>
        </w:rPr>
        <w:t xml:space="preserve">                                 价格单位：元</w:t>
      </w:r>
    </w:p>
    <w:tbl>
      <w:tblPr>
        <w:tblStyle w:val="24"/>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20"/>
        <w:gridCol w:w="1260"/>
        <w:gridCol w:w="900"/>
        <w:gridCol w:w="900"/>
        <w:gridCol w:w="900"/>
        <w:gridCol w:w="89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86" w:type="dxa"/>
            <w:vAlign w:val="center"/>
          </w:tcPr>
          <w:p>
            <w:pPr>
              <w:spacing w:line="400" w:lineRule="exact"/>
              <w:jc w:val="center"/>
              <w:rPr>
                <w:rFonts w:hAnsi="宋体"/>
                <w:b/>
                <w:sz w:val="24"/>
              </w:rPr>
            </w:pPr>
            <w:r>
              <w:rPr>
                <w:rFonts w:hint="eastAsia" w:hAnsi="宋体"/>
                <w:b/>
                <w:sz w:val="24"/>
              </w:rPr>
              <w:t>序号</w:t>
            </w:r>
          </w:p>
        </w:tc>
        <w:tc>
          <w:tcPr>
            <w:tcW w:w="1620" w:type="dxa"/>
            <w:vAlign w:val="center"/>
          </w:tcPr>
          <w:p>
            <w:pPr>
              <w:spacing w:line="400" w:lineRule="exact"/>
              <w:jc w:val="center"/>
              <w:rPr>
                <w:rFonts w:hAnsi="宋体"/>
                <w:b/>
                <w:sz w:val="24"/>
              </w:rPr>
            </w:pPr>
            <w:r>
              <w:rPr>
                <w:rFonts w:hint="eastAsia" w:hAnsi="宋体"/>
                <w:b/>
                <w:sz w:val="24"/>
              </w:rPr>
              <w:t>设备名称</w:t>
            </w:r>
          </w:p>
        </w:tc>
        <w:tc>
          <w:tcPr>
            <w:tcW w:w="1260" w:type="dxa"/>
            <w:vAlign w:val="center"/>
          </w:tcPr>
          <w:p>
            <w:pPr>
              <w:spacing w:line="400" w:lineRule="exact"/>
              <w:jc w:val="center"/>
              <w:rPr>
                <w:rFonts w:hAnsi="宋体"/>
                <w:b/>
                <w:sz w:val="24"/>
              </w:rPr>
            </w:pPr>
            <w:r>
              <w:rPr>
                <w:rFonts w:hint="eastAsia" w:hAnsi="宋体"/>
                <w:b/>
                <w:sz w:val="24"/>
              </w:rPr>
              <w:t>型号</w:t>
            </w:r>
          </w:p>
        </w:tc>
        <w:tc>
          <w:tcPr>
            <w:tcW w:w="900" w:type="dxa"/>
            <w:vAlign w:val="center"/>
          </w:tcPr>
          <w:p>
            <w:pPr>
              <w:spacing w:line="400" w:lineRule="exact"/>
              <w:jc w:val="center"/>
              <w:rPr>
                <w:rFonts w:hAnsi="宋体"/>
                <w:b/>
                <w:sz w:val="24"/>
              </w:rPr>
            </w:pPr>
            <w:r>
              <w:rPr>
                <w:rFonts w:hint="eastAsia" w:hAnsi="宋体"/>
                <w:b/>
                <w:sz w:val="24"/>
              </w:rPr>
              <w:t>产地</w:t>
            </w:r>
          </w:p>
        </w:tc>
        <w:tc>
          <w:tcPr>
            <w:tcW w:w="900" w:type="dxa"/>
            <w:vAlign w:val="center"/>
          </w:tcPr>
          <w:p>
            <w:pPr>
              <w:spacing w:line="400" w:lineRule="exact"/>
              <w:jc w:val="center"/>
              <w:rPr>
                <w:rFonts w:hAnsi="宋体"/>
                <w:b/>
                <w:sz w:val="24"/>
              </w:rPr>
            </w:pPr>
            <w:r>
              <w:rPr>
                <w:rFonts w:hint="eastAsia" w:hAnsi="宋体"/>
                <w:b/>
                <w:sz w:val="24"/>
              </w:rPr>
              <w:t>数量</w:t>
            </w:r>
          </w:p>
        </w:tc>
        <w:tc>
          <w:tcPr>
            <w:tcW w:w="900" w:type="dxa"/>
            <w:vAlign w:val="center"/>
          </w:tcPr>
          <w:p>
            <w:pPr>
              <w:spacing w:line="400" w:lineRule="exact"/>
              <w:jc w:val="center"/>
              <w:rPr>
                <w:rFonts w:hAnsi="宋体"/>
                <w:b/>
                <w:sz w:val="24"/>
              </w:rPr>
            </w:pPr>
            <w:r>
              <w:rPr>
                <w:rFonts w:hint="eastAsia" w:hAnsi="宋体"/>
                <w:b/>
                <w:sz w:val="24"/>
              </w:rPr>
              <w:t>单价</w:t>
            </w:r>
          </w:p>
        </w:tc>
        <w:tc>
          <w:tcPr>
            <w:tcW w:w="894" w:type="dxa"/>
            <w:vAlign w:val="center"/>
          </w:tcPr>
          <w:p>
            <w:pPr>
              <w:spacing w:line="400" w:lineRule="exact"/>
              <w:jc w:val="center"/>
              <w:rPr>
                <w:rFonts w:hAnsi="宋体"/>
                <w:b/>
                <w:sz w:val="24"/>
              </w:rPr>
            </w:pPr>
            <w:r>
              <w:rPr>
                <w:rFonts w:hint="eastAsia" w:hAnsi="宋体"/>
                <w:b/>
                <w:sz w:val="24"/>
              </w:rPr>
              <w:t>总价</w:t>
            </w:r>
          </w:p>
        </w:tc>
        <w:tc>
          <w:tcPr>
            <w:tcW w:w="839" w:type="dxa"/>
            <w:vAlign w:val="center"/>
          </w:tcPr>
          <w:p>
            <w:pPr>
              <w:spacing w:line="400" w:lineRule="exact"/>
              <w:jc w:val="center"/>
              <w:rPr>
                <w:rFonts w:hAnsi="宋体"/>
                <w:b/>
                <w:sz w:val="24"/>
              </w:rPr>
            </w:pPr>
            <w:r>
              <w:rPr>
                <w:rFonts w:hint="eastAsia"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hAnsi="宋体" w:cs="宋体"/>
                <w:szCs w:val="21"/>
              </w:rPr>
            </w:pPr>
            <w:r>
              <w:rPr>
                <w:rFonts w:hint="eastAsia" w:hAnsi="宋体" w:cs="宋体"/>
                <w:szCs w:val="21"/>
              </w:rPr>
              <w:t>1</w:t>
            </w:r>
          </w:p>
        </w:tc>
        <w:tc>
          <w:tcPr>
            <w:tcW w:w="1620" w:type="dxa"/>
            <w:vAlign w:val="center"/>
          </w:tcPr>
          <w:p>
            <w:pPr>
              <w:adjustRightInd w:val="0"/>
              <w:snapToGrid w:val="0"/>
              <w:jc w:val="center"/>
              <w:rPr>
                <w:rFonts w:hAnsi="宋体" w:cs="宋体"/>
                <w:szCs w:val="21"/>
              </w:rPr>
            </w:pPr>
          </w:p>
        </w:tc>
        <w:tc>
          <w:tcPr>
            <w:tcW w:w="1260" w:type="dxa"/>
            <w:vAlign w:val="center"/>
          </w:tcPr>
          <w:p>
            <w:pPr>
              <w:spacing w:line="400" w:lineRule="exact"/>
              <w:jc w:val="center"/>
              <w:rPr>
                <w:rFonts w:hAnsi="宋体"/>
                <w:szCs w:val="21"/>
              </w:rPr>
            </w:pPr>
          </w:p>
        </w:tc>
        <w:tc>
          <w:tcPr>
            <w:tcW w:w="900" w:type="dxa"/>
            <w:vAlign w:val="center"/>
          </w:tcPr>
          <w:p>
            <w:pPr>
              <w:spacing w:line="400" w:lineRule="exact"/>
              <w:jc w:val="center"/>
              <w:rPr>
                <w:rFonts w:hAnsi="宋体"/>
                <w:szCs w:val="21"/>
              </w:rPr>
            </w:pPr>
          </w:p>
        </w:tc>
        <w:tc>
          <w:tcPr>
            <w:tcW w:w="900" w:type="dxa"/>
            <w:vAlign w:val="center"/>
          </w:tcPr>
          <w:p>
            <w:pPr>
              <w:tabs>
                <w:tab w:val="left" w:pos="263"/>
              </w:tabs>
              <w:adjustRightInd w:val="0"/>
              <w:snapToGrid w:val="0"/>
              <w:jc w:val="left"/>
              <w:rPr>
                <w:rFonts w:hint="eastAsia" w:hAnsi="宋体" w:eastAsia="宋体" w:cs="宋体"/>
                <w:szCs w:val="21"/>
                <w:lang w:eastAsia="zh-CN"/>
              </w:rPr>
            </w:pPr>
            <w:r>
              <w:rPr>
                <w:rFonts w:hint="eastAsia" w:hAnsi="宋体" w:cs="宋体"/>
                <w:szCs w:val="21"/>
                <w:lang w:eastAsia="zh-CN"/>
              </w:rPr>
              <w:tab/>
            </w:r>
          </w:p>
        </w:tc>
        <w:tc>
          <w:tcPr>
            <w:tcW w:w="900" w:type="dxa"/>
            <w:vAlign w:val="center"/>
          </w:tcPr>
          <w:p>
            <w:pPr>
              <w:jc w:val="center"/>
              <w:textAlignment w:val="center"/>
              <w:rPr>
                <w:rFonts w:hAnsi="宋体" w:cs="宋体"/>
                <w:szCs w:val="21"/>
              </w:rPr>
            </w:pPr>
          </w:p>
        </w:tc>
        <w:tc>
          <w:tcPr>
            <w:tcW w:w="894" w:type="dxa"/>
            <w:vAlign w:val="center"/>
          </w:tcPr>
          <w:p>
            <w:pPr>
              <w:jc w:val="center"/>
              <w:textAlignment w:val="center"/>
              <w:rPr>
                <w:rFonts w:hAnsi="宋体" w:cs="宋体"/>
                <w:szCs w:val="21"/>
              </w:rPr>
            </w:pPr>
          </w:p>
        </w:tc>
        <w:tc>
          <w:tcPr>
            <w:tcW w:w="839" w:type="dxa"/>
            <w:vAlign w:val="center"/>
          </w:tcPr>
          <w:p>
            <w:pPr>
              <w:jc w:val="center"/>
              <w:textAlignment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hint="eastAsia" w:hAnsi="宋体" w:eastAsia="宋体" w:cs="宋体"/>
                <w:szCs w:val="21"/>
                <w:lang w:val="en-US" w:eastAsia="zh-CN"/>
              </w:rPr>
            </w:pPr>
            <w:r>
              <w:rPr>
                <w:rFonts w:hint="eastAsia" w:hAnsi="宋体" w:cs="宋体"/>
                <w:szCs w:val="21"/>
                <w:lang w:val="en-US" w:eastAsia="zh-CN"/>
              </w:rPr>
              <w:t>2</w:t>
            </w:r>
          </w:p>
        </w:tc>
        <w:tc>
          <w:tcPr>
            <w:tcW w:w="1620" w:type="dxa"/>
            <w:vAlign w:val="center"/>
          </w:tcPr>
          <w:p>
            <w:pPr>
              <w:adjustRightInd w:val="0"/>
              <w:snapToGrid w:val="0"/>
              <w:jc w:val="center"/>
              <w:rPr>
                <w:rFonts w:hAnsi="宋体" w:cs="宋体"/>
                <w:szCs w:val="21"/>
              </w:rPr>
            </w:pPr>
          </w:p>
        </w:tc>
        <w:tc>
          <w:tcPr>
            <w:tcW w:w="1260" w:type="dxa"/>
            <w:vAlign w:val="center"/>
          </w:tcPr>
          <w:p>
            <w:pPr>
              <w:spacing w:line="400" w:lineRule="exact"/>
              <w:jc w:val="center"/>
              <w:rPr>
                <w:rFonts w:hAnsi="宋体"/>
                <w:szCs w:val="21"/>
              </w:rPr>
            </w:pPr>
          </w:p>
        </w:tc>
        <w:tc>
          <w:tcPr>
            <w:tcW w:w="900" w:type="dxa"/>
            <w:vAlign w:val="center"/>
          </w:tcPr>
          <w:p>
            <w:pPr>
              <w:spacing w:line="400" w:lineRule="exact"/>
              <w:jc w:val="center"/>
              <w:rPr>
                <w:rFonts w:hAnsi="宋体"/>
                <w:szCs w:val="21"/>
              </w:rPr>
            </w:pPr>
          </w:p>
        </w:tc>
        <w:tc>
          <w:tcPr>
            <w:tcW w:w="900" w:type="dxa"/>
            <w:vAlign w:val="center"/>
          </w:tcPr>
          <w:p>
            <w:pPr>
              <w:adjustRightInd w:val="0"/>
              <w:snapToGrid w:val="0"/>
              <w:jc w:val="center"/>
              <w:rPr>
                <w:rFonts w:hAnsi="宋体" w:cs="宋体"/>
                <w:szCs w:val="21"/>
              </w:rPr>
            </w:pPr>
          </w:p>
        </w:tc>
        <w:tc>
          <w:tcPr>
            <w:tcW w:w="900" w:type="dxa"/>
            <w:vAlign w:val="center"/>
          </w:tcPr>
          <w:p>
            <w:pPr>
              <w:jc w:val="center"/>
              <w:textAlignment w:val="center"/>
              <w:rPr>
                <w:rFonts w:hAnsi="宋体" w:cs="宋体"/>
                <w:szCs w:val="21"/>
              </w:rPr>
            </w:pPr>
          </w:p>
        </w:tc>
        <w:tc>
          <w:tcPr>
            <w:tcW w:w="894" w:type="dxa"/>
            <w:vAlign w:val="center"/>
          </w:tcPr>
          <w:p>
            <w:pPr>
              <w:jc w:val="center"/>
              <w:textAlignment w:val="center"/>
              <w:rPr>
                <w:rFonts w:hAnsi="宋体" w:cs="宋体"/>
                <w:szCs w:val="21"/>
              </w:rPr>
            </w:pPr>
          </w:p>
        </w:tc>
        <w:tc>
          <w:tcPr>
            <w:tcW w:w="839" w:type="dxa"/>
            <w:vAlign w:val="center"/>
          </w:tcPr>
          <w:p>
            <w:pPr>
              <w:jc w:val="center"/>
              <w:textAlignment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hint="eastAsia" w:hAnsi="宋体" w:eastAsia="宋体" w:cs="宋体"/>
                <w:szCs w:val="21"/>
                <w:lang w:val="en-US" w:eastAsia="zh-CN"/>
              </w:rPr>
            </w:pPr>
            <w:r>
              <w:rPr>
                <w:rFonts w:hint="eastAsia" w:hAnsi="宋体" w:cs="宋体"/>
                <w:szCs w:val="21"/>
                <w:lang w:val="en-US" w:eastAsia="zh-CN"/>
              </w:rPr>
              <w:t>3</w:t>
            </w:r>
          </w:p>
        </w:tc>
        <w:tc>
          <w:tcPr>
            <w:tcW w:w="1620" w:type="dxa"/>
            <w:vAlign w:val="center"/>
          </w:tcPr>
          <w:p>
            <w:pPr>
              <w:adjustRightInd w:val="0"/>
              <w:snapToGrid w:val="0"/>
              <w:jc w:val="center"/>
              <w:rPr>
                <w:rFonts w:hAnsi="宋体" w:cs="宋体"/>
                <w:szCs w:val="21"/>
              </w:rPr>
            </w:pPr>
          </w:p>
        </w:tc>
        <w:tc>
          <w:tcPr>
            <w:tcW w:w="1260" w:type="dxa"/>
            <w:vAlign w:val="center"/>
          </w:tcPr>
          <w:p>
            <w:pPr>
              <w:jc w:val="center"/>
              <w:rPr>
                <w:rFonts w:hAnsi="宋体" w:cs="宋体"/>
                <w:szCs w:val="21"/>
              </w:rPr>
            </w:pPr>
          </w:p>
        </w:tc>
        <w:tc>
          <w:tcPr>
            <w:tcW w:w="900" w:type="dxa"/>
            <w:vAlign w:val="center"/>
          </w:tcPr>
          <w:p>
            <w:pPr>
              <w:spacing w:line="400" w:lineRule="exact"/>
              <w:jc w:val="center"/>
              <w:rPr>
                <w:rFonts w:hAnsi="宋体"/>
                <w:szCs w:val="21"/>
              </w:rPr>
            </w:pPr>
          </w:p>
        </w:tc>
        <w:tc>
          <w:tcPr>
            <w:tcW w:w="900" w:type="dxa"/>
            <w:vAlign w:val="center"/>
          </w:tcPr>
          <w:p>
            <w:pPr>
              <w:adjustRightInd w:val="0"/>
              <w:snapToGrid w:val="0"/>
              <w:jc w:val="center"/>
              <w:rPr>
                <w:rFonts w:hAnsi="宋体" w:cs="宋体"/>
                <w:szCs w:val="21"/>
              </w:rPr>
            </w:pPr>
          </w:p>
        </w:tc>
        <w:tc>
          <w:tcPr>
            <w:tcW w:w="900" w:type="dxa"/>
            <w:vAlign w:val="center"/>
          </w:tcPr>
          <w:p>
            <w:pPr>
              <w:jc w:val="center"/>
              <w:textAlignment w:val="center"/>
              <w:rPr>
                <w:rFonts w:hAnsi="宋体" w:cs="宋体"/>
                <w:szCs w:val="21"/>
              </w:rPr>
            </w:pPr>
          </w:p>
        </w:tc>
        <w:tc>
          <w:tcPr>
            <w:tcW w:w="894" w:type="dxa"/>
            <w:vAlign w:val="center"/>
          </w:tcPr>
          <w:p>
            <w:pPr>
              <w:jc w:val="center"/>
              <w:textAlignment w:val="center"/>
              <w:rPr>
                <w:rFonts w:hAnsi="宋体" w:cs="宋体"/>
                <w:szCs w:val="21"/>
              </w:rPr>
            </w:pPr>
          </w:p>
        </w:tc>
        <w:tc>
          <w:tcPr>
            <w:tcW w:w="839" w:type="dxa"/>
            <w:vAlign w:val="center"/>
          </w:tcPr>
          <w:p>
            <w:pPr>
              <w:jc w:val="center"/>
              <w:textAlignment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06" w:type="dxa"/>
            <w:gridSpan w:val="2"/>
            <w:vAlign w:val="center"/>
          </w:tcPr>
          <w:p>
            <w:pPr>
              <w:adjustRightInd w:val="0"/>
              <w:snapToGrid w:val="0"/>
              <w:jc w:val="center"/>
              <w:rPr>
                <w:rFonts w:hAnsi="宋体" w:cs="宋体"/>
                <w:b/>
                <w:sz w:val="24"/>
              </w:rPr>
            </w:pPr>
            <w:r>
              <w:rPr>
                <w:rFonts w:hint="eastAsia" w:hAnsi="宋体" w:cs="宋体"/>
                <w:b/>
                <w:sz w:val="24"/>
              </w:rPr>
              <w:t>总计（人民币/元）</w:t>
            </w:r>
          </w:p>
        </w:tc>
        <w:tc>
          <w:tcPr>
            <w:tcW w:w="5693" w:type="dxa"/>
            <w:gridSpan w:val="6"/>
            <w:vAlign w:val="center"/>
          </w:tcPr>
          <w:p>
            <w:pPr>
              <w:adjustRightInd w:val="0"/>
              <w:snapToGrid w:val="0"/>
              <w:rPr>
                <w:rFonts w:hAnsi="宋体" w:cs="宋体"/>
                <w:b/>
                <w:sz w:val="24"/>
              </w:rPr>
            </w:pPr>
            <w:r>
              <w:rPr>
                <w:rFonts w:hint="eastAsia" w:hAnsi="宋体" w:cs="宋体"/>
                <w:b/>
                <w:sz w:val="24"/>
              </w:rPr>
              <w:t>￥：       （大写）</w:t>
            </w:r>
          </w:p>
        </w:tc>
      </w:tr>
    </w:tbl>
    <w:p>
      <w:pPr>
        <w:kinsoku w:val="0"/>
        <w:spacing w:line="400" w:lineRule="exact"/>
        <w:ind w:firstLine="600" w:firstLineChars="250"/>
        <w:rPr>
          <w:rFonts w:hAnsi="宋体"/>
          <w:sz w:val="24"/>
        </w:rPr>
      </w:pPr>
      <w:r>
        <w:rPr>
          <w:rFonts w:hint="eastAsia" w:hAnsi="宋体"/>
          <w:sz w:val="24"/>
        </w:rPr>
        <w:t>（</w:t>
      </w:r>
      <w:r>
        <w:rPr>
          <w:rFonts w:hint="eastAsia" w:hAnsi="宋体"/>
          <w:sz w:val="24"/>
          <w:lang w:eastAsia="zh-CN"/>
        </w:rPr>
        <w:t>详细</w:t>
      </w:r>
      <w:r>
        <w:rPr>
          <w:rFonts w:hint="eastAsia" w:hAnsi="宋体"/>
          <w:sz w:val="24"/>
        </w:rPr>
        <w:t>参数</w:t>
      </w:r>
      <w:r>
        <w:rPr>
          <w:rFonts w:hint="eastAsia" w:hAnsi="宋体"/>
          <w:sz w:val="24"/>
          <w:lang w:eastAsia="zh-CN"/>
        </w:rPr>
        <w:t>用</w:t>
      </w:r>
      <w:r>
        <w:rPr>
          <w:rFonts w:hint="eastAsia" w:hAnsi="宋体"/>
          <w:sz w:val="24"/>
        </w:rPr>
        <w:t>附件说明）</w:t>
      </w:r>
    </w:p>
    <w:p>
      <w:pPr>
        <w:kinsoku w:val="0"/>
        <w:spacing w:line="400" w:lineRule="exact"/>
        <w:ind w:firstLine="600" w:firstLineChars="250"/>
        <w:rPr>
          <w:rFonts w:hAnsi="宋体"/>
          <w:sz w:val="24"/>
        </w:rPr>
      </w:pPr>
      <w:r>
        <w:rPr>
          <w:rFonts w:hAnsi="宋体"/>
          <w:sz w:val="24"/>
        </w:rPr>
        <w:t>乙方负责按</w:t>
      </w:r>
      <w:r>
        <w:rPr>
          <w:rFonts w:hint="eastAsia" w:hAnsi="宋体"/>
          <w:sz w:val="24"/>
        </w:rPr>
        <w:t>以上</w:t>
      </w:r>
      <w:r>
        <w:rPr>
          <w:rFonts w:hAnsi="宋体"/>
          <w:sz w:val="24"/>
        </w:rPr>
        <w:t>确定</w:t>
      </w:r>
      <w:r>
        <w:rPr>
          <w:rFonts w:hint="eastAsia" w:hAnsi="宋体"/>
          <w:sz w:val="24"/>
        </w:rPr>
        <w:t>的设备规格、型号及配套内容进行供货，及</w:t>
      </w:r>
      <w:r>
        <w:rPr>
          <w:rFonts w:hAnsi="宋体"/>
          <w:sz w:val="24"/>
        </w:rPr>
        <w:t>时运到甲方指定交货地点</w:t>
      </w:r>
      <w:r>
        <w:rPr>
          <w:rFonts w:hint="eastAsia" w:hAnsi="宋体"/>
          <w:sz w:val="24"/>
        </w:rPr>
        <w:t>安装调试</w:t>
      </w:r>
      <w:r>
        <w:rPr>
          <w:rFonts w:hAnsi="宋体"/>
          <w:sz w:val="24"/>
        </w:rPr>
        <w:t>，</w:t>
      </w:r>
      <w:r>
        <w:rPr>
          <w:rFonts w:hint="eastAsia" w:hAnsi="宋体"/>
          <w:sz w:val="24"/>
        </w:rPr>
        <w:t>确保所有设备达到最佳运行状态，</w:t>
      </w:r>
      <w:r>
        <w:rPr>
          <w:rFonts w:hAnsi="宋体"/>
          <w:sz w:val="24"/>
        </w:rPr>
        <w:t>负责对甲方操作</w:t>
      </w:r>
      <w:r>
        <w:rPr>
          <w:rFonts w:hint="eastAsia" w:hAnsi="宋体"/>
          <w:sz w:val="24"/>
        </w:rPr>
        <w:t>、</w:t>
      </w:r>
      <w:r>
        <w:rPr>
          <w:rFonts w:hAnsi="宋体"/>
          <w:sz w:val="24"/>
        </w:rPr>
        <w:t>维护人员</w:t>
      </w:r>
      <w:r>
        <w:rPr>
          <w:rFonts w:hint="eastAsia" w:hAnsi="宋体"/>
          <w:sz w:val="24"/>
        </w:rPr>
        <w:t>进行培训</w:t>
      </w:r>
      <w:r>
        <w:rPr>
          <w:rFonts w:hAnsi="宋体"/>
          <w:sz w:val="24"/>
        </w:rPr>
        <w:t>，指导操作</w:t>
      </w:r>
      <w:r>
        <w:rPr>
          <w:rFonts w:hint="eastAsia" w:hAnsi="宋体"/>
          <w:sz w:val="24"/>
        </w:rPr>
        <w:t>、</w:t>
      </w:r>
      <w:r>
        <w:rPr>
          <w:rFonts w:hAnsi="宋体"/>
          <w:sz w:val="24"/>
        </w:rPr>
        <w:t>使用和维修保养，做好售后服务工作。</w:t>
      </w:r>
    </w:p>
    <w:p>
      <w:pPr>
        <w:spacing w:line="400" w:lineRule="exact"/>
        <w:ind w:firstLine="482" w:firstLineChars="200"/>
        <w:rPr>
          <w:rFonts w:hAnsi="宋体"/>
          <w:b/>
          <w:sz w:val="24"/>
        </w:rPr>
      </w:pPr>
      <w:r>
        <w:rPr>
          <w:rFonts w:hint="eastAsia" w:hAnsi="宋体"/>
          <w:b/>
          <w:sz w:val="24"/>
        </w:rPr>
        <w:t>二、合同价格</w:t>
      </w:r>
    </w:p>
    <w:p>
      <w:pPr>
        <w:kinsoku w:val="0"/>
        <w:spacing w:line="400" w:lineRule="exact"/>
        <w:ind w:firstLine="480" w:firstLineChars="200"/>
        <w:rPr>
          <w:rFonts w:hAnsi="宋体"/>
          <w:sz w:val="24"/>
        </w:rPr>
      </w:pPr>
      <w:r>
        <w:rPr>
          <w:rFonts w:hint="eastAsia" w:hAnsi="宋体"/>
          <w:sz w:val="24"/>
        </w:rPr>
        <w:t>合同总价：人民币大写：</w:t>
      </w:r>
      <w:r>
        <w:rPr>
          <w:rFonts w:hint="eastAsia" w:hAnsi="宋体"/>
          <w:b/>
          <w:sz w:val="24"/>
          <w:u w:val="single"/>
        </w:rPr>
        <w:t xml:space="preserve">           </w:t>
      </w:r>
      <w:r>
        <w:rPr>
          <w:rFonts w:hint="eastAsia" w:hAnsi="宋体"/>
          <w:b/>
          <w:sz w:val="24"/>
        </w:rPr>
        <w:t>元</w:t>
      </w:r>
      <w:r>
        <w:rPr>
          <w:rFonts w:hAnsi="宋体"/>
          <w:b/>
          <w:sz w:val="24"/>
        </w:rPr>
        <w:t>整</w:t>
      </w:r>
      <w:r>
        <w:rPr>
          <w:rFonts w:hint="eastAsia" w:hAnsi="宋体"/>
          <w:b/>
          <w:sz w:val="24"/>
        </w:rPr>
        <w:t>；</w:t>
      </w:r>
      <w:r>
        <w:rPr>
          <w:rFonts w:hint="eastAsia" w:hAnsi="宋体"/>
          <w:sz w:val="24"/>
        </w:rPr>
        <w:t>￥</w:t>
      </w:r>
      <w:r>
        <w:rPr>
          <w:rFonts w:hint="eastAsia" w:hAnsi="宋体"/>
          <w:sz w:val="24"/>
          <w:u w:val="single"/>
        </w:rPr>
        <w:t xml:space="preserve"> </w:t>
      </w:r>
      <w:r>
        <w:rPr>
          <w:rFonts w:hint="eastAsia" w:hAnsi="宋体"/>
          <w:sz w:val="24"/>
          <w:u w:val="single"/>
          <w:lang w:val="en-US" w:eastAsia="zh-CN"/>
        </w:rPr>
        <w:t xml:space="preserve">        .00</w:t>
      </w:r>
      <w:r>
        <w:rPr>
          <w:rFonts w:hint="eastAsia" w:hAnsi="宋体"/>
          <w:b/>
          <w:sz w:val="24"/>
          <w:u w:val="single"/>
        </w:rPr>
        <w:t xml:space="preserve">  </w:t>
      </w:r>
      <w:r>
        <w:rPr>
          <w:rFonts w:hint="eastAsia" w:hAnsi="宋体"/>
          <w:sz w:val="24"/>
        </w:rPr>
        <w:t>元。</w:t>
      </w:r>
    </w:p>
    <w:p>
      <w:pPr>
        <w:kinsoku w:val="0"/>
        <w:spacing w:line="400" w:lineRule="exact"/>
        <w:ind w:firstLine="480" w:firstLineChars="200"/>
        <w:rPr>
          <w:rFonts w:hAnsi="宋体"/>
          <w:sz w:val="24"/>
        </w:rPr>
      </w:pPr>
      <w:r>
        <w:rPr>
          <w:rFonts w:hint="eastAsia" w:hAnsi="宋体"/>
          <w:color w:val="000000"/>
          <w:sz w:val="24"/>
        </w:rPr>
        <w:t>合同总价包括：设备的</w:t>
      </w:r>
      <w:r>
        <w:rPr>
          <w:rFonts w:hint="eastAsia" w:hAnsi="宋体"/>
          <w:color w:val="000000"/>
          <w:sz w:val="24"/>
          <w:lang w:eastAsia="zh-CN"/>
        </w:rPr>
        <w:t>价格</w:t>
      </w:r>
      <w:r>
        <w:rPr>
          <w:rFonts w:hint="eastAsia" w:hAnsi="宋体"/>
          <w:color w:val="000000"/>
          <w:sz w:val="24"/>
        </w:rPr>
        <w:t>及所发生的运输费、杂费（含保险）、商检费、搬运费、安装调试费、培训费等</w:t>
      </w:r>
      <w:r>
        <w:rPr>
          <w:rFonts w:hint="eastAsia" w:hAnsi="宋体"/>
          <w:sz w:val="24"/>
        </w:rPr>
        <w:t>一切费用。合同总价不可变更，不受市场</w:t>
      </w:r>
      <w:r>
        <w:rPr>
          <w:rFonts w:hint="eastAsia" w:hAnsi="宋体"/>
          <w:sz w:val="24"/>
          <w:lang w:eastAsia="zh-CN"/>
        </w:rPr>
        <w:t>价格或汇率</w:t>
      </w:r>
      <w:r>
        <w:rPr>
          <w:rFonts w:hint="eastAsia" w:hAnsi="宋体"/>
          <w:sz w:val="24"/>
        </w:rPr>
        <w:t>变化的影响，不受实际数量变化的影响。</w:t>
      </w:r>
    </w:p>
    <w:p>
      <w:pPr>
        <w:spacing w:line="400" w:lineRule="exact"/>
        <w:ind w:firstLine="482" w:firstLineChars="200"/>
        <w:rPr>
          <w:rFonts w:hAnsi="宋体"/>
          <w:b/>
          <w:sz w:val="24"/>
        </w:rPr>
      </w:pPr>
      <w:r>
        <w:rPr>
          <w:rFonts w:hint="eastAsia" w:hAnsi="宋体"/>
          <w:b/>
          <w:sz w:val="24"/>
        </w:rPr>
        <w:t>三、款项支付</w:t>
      </w:r>
    </w:p>
    <w:p>
      <w:pPr>
        <w:kinsoku w:val="0"/>
        <w:spacing w:line="400" w:lineRule="exact"/>
        <w:ind w:firstLine="480" w:firstLineChars="200"/>
        <w:rPr>
          <w:rFonts w:hAnsi="宋体"/>
          <w:sz w:val="24"/>
          <w:lang w:eastAsia="zh-CN"/>
        </w:rPr>
      </w:pPr>
      <w:bookmarkStart w:id="143" w:name="_Toc337393755"/>
      <w:r>
        <w:rPr>
          <w:rFonts w:hint="eastAsia" w:hAnsi="宋体"/>
          <w:sz w:val="24"/>
        </w:rPr>
        <w:t>1、</w:t>
      </w:r>
      <w:bookmarkEnd w:id="143"/>
      <w:r>
        <w:rPr>
          <w:rFonts w:hint="eastAsia" w:hAnsi="宋体"/>
          <w:sz w:val="24"/>
        </w:rPr>
        <w:t>发票在货到验收合格后由乙方（或乙方委托的外贸代理机构）开具给甲方</w:t>
      </w:r>
      <w:r>
        <w:rPr>
          <w:rFonts w:hint="eastAsia" w:hAnsi="宋体"/>
          <w:sz w:val="24"/>
          <w:lang w:eastAsia="zh-CN"/>
        </w:rPr>
        <w:t>。</w:t>
      </w:r>
    </w:p>
    <w:p>
      <w:pPr>
        <w:kinsoku w:val="0"/>
        <w:spacing w:line="400" w:lineRule="exact"/>
        <w:ind w:firstLine="480" w:firstLineChars="200"/>
        <w:rPr>
          <w:rFonts w:hAnsi="宋体"/>
          <w:sz w:val="24"/>
          <w:lang w:eastAsia="zh-CN"/>
        </w:rPr>
      </w:pPr>
      <w:r>
        <w:rPr>
          <w:rFonts w:hint="eastAsia" w:hAnsi="宋体"/>
          <w:sz w:val="24"/>
          <w:lang w:eastAsia="zh-CN"/>
        </w:rPr>
        <w:t>2、</w:t>
      </w:r>
      <w:r>
        <w:rPr>
          <w:rFonts w:hint="eastAsia" w:hAnsi="宋体"/>
          <w:sz w:val="24"/>
        </w:rPr>
        <w:t>甲方收到乙方（或乙方委托的外贸代理机构）</w:t>
      </w:r>
      <w:r>
        <w:rPr>
          <w:rFonts w:hint="eastAsia" w:hAnsi="宋体"/>
          <w:sz w:val="24"/>
          <w:lang w:eastAsia="zh-CN"/>
        </w:rPr>
        <w:t>开</w:t>
      </w:r>
      <w:r>
        <w:rPr>
          <w:rFonts w:hint="eastAsia" w:hAnsi="宋体"/>
          <w:sz w:val="24"/>
        </w:rPr>
        <w:t>具的全额发票后及时向乙方（或乙方委托的外贸代理机构）支付合同总价款的</w:t>
      </w:r>
      <w:r>
        <w:rPr>
          <w:rFonts w:hint="eastAsia" w:hAnsi="宋体"/>
          <w:sz w:val="24"/>
          <w:lang w:eastAsia="zh-CN"/>
        </w:rPr>
        <w:t>100</w:t>
      </w:r>
      <w:r>
        <w:rPr>
          <w:rFonts w:hint="eastAsia" w:hAnsi="宋体"/>
          <w:sz w:val="24"/>
        </w:rPr>
        <w:t>%</w:t>
      </w:r>
      <w:r>
        <w:rPr>
          <w:rFonts w:hint="eastAsia" w:hAnsi="宋体"/>
          <w:sz w:val="24"/>
          <w:lang w:eastAsia="zh-CN"/>
        </w:rPr>
        <w:t>。</w:t>
      </w:r>
    </w:p>
    <w:p>
      <w:pPr>
        <w:kinsoku w:val="0"/>
        <w:spacing w:line="400" w:lineRule="exact"/>
        <w:ind w:firstLine="480" w:firstLineChars="200"/>
        <w:rPr>
          <w:rFonts w:hint="eastAsia" w:hAnsi="宋体"/>
          <w:sz w:val="24"/>
          <w:lang w:eastAsia="zh-CN"/>
        </w:rPr>
      </w:pPr>
      <w:bookmarkStart w:id="144" w:name="_Toc337393758"/>
      <w:r>
        <w:rPr>
          <w:rFonts w:hint="eastAsia" w:hAnsi="宋体"/>
          <w:sz w:val="24"/>
          <w:lang w:eastAsia="zh-CN"/>
        </w:rPr>
        <w:t>3</w:t>
      </w:r>
      <w:r>
        <w:rPr>
          <w:rFonts w:hint="eastAsia" w:hAnsi="宋体"/>
          <w:sz w:val="24"/>
        </w:rPr>
        <w:t>、</w:t>
      </w:r>
      <w:bookmarkEnd w:id="144"/>
      <w:r>
        <w:rPr>
          <w:rFonts w:hint="eastAsia" w:hAnsi="宋体"/>
          <w:sz w:val="24"/>
          <w:lang w:eastAsia="zh-CN"/>
        </w:rPr>
        <w:t>签订合同前，乙方应缴纳合同金额</w:t>
      </w:r>
      <w:r>
        <w:rPr>
          <w:rFonts w:hint="eastAsia" w:hAnsi="宋体"/>
          <w:sz w:val="24"/>
          <w:lang w:val="en-US" w:eastAsia="zh-CN"/>
        </w:rPr>
        <w:t>5</w:t>
      </w:r>
      <w:r>
        <w:rPr>
          <w:rFonts w:hint="eastAsia" w:hAnsi="宋体"/>
          <w:sz w:val="24"/>
          <w:lang w:eastAsia="zh-CN"/>
        </w:rPr>
        <w:t>%的履约保证金。项目验收合格后，甲方一次性无息退还5%的履约保证金。</w:t>
      </w:r>
    </w:p>
    <w:p>
      <w:pPr>
        <w:spacing w:line="400" w:lineRule="exact"/>
        <w:ind w:firstLine="482" w:firstLineChars="200"/>
        <w:rPr>
          <w:rFonts w:hAnsi="宋体"/>
          <w:b/>
          <w:sz w:val="24"/>
        </w:rPr>
      </w:pPr>
      <w:r>
        <w:rPr>
          <w:rFonts w:hint="eastAsia" w:hAnsi="宋体"/>
          <w:b/>
          <w:sz w:val="24"/>
        </w:rPr>
        <w:t>四、交货条件</w:t>
      </w:r>
    </w:p>
    <w:p>
      <w:pPr>
        <w:kinsoku w:val="0"/>
        <w:spacing w:line="400" w:lineRule="exact"/>
        <w:ind w:firstLine="600" w:firstLineChars="250"/>
        <w:rPr>
          <w:rFonts w:hAnsi="宋体"/>
          <w:sz w:val="24"/>
          <w:highlight w:val="none"/>
        </w:rPr>
      </w:pPr>
      <w:r>
        <w:rPr>
          <w:rFonts w:hint="eastAsia" w:hAnsi="宋体"/>
          <w:sz w:val="24"/>
        </w:rPr>
        <w:t>1、交货地点：</w:t>
      </w:r>
      <w:r>
        <w:rPr>
          <w:rFonts w:hAnsi="宋体"/>
          <w:sz w:val="24"/>
        </w:rPr>
        <w:t>陕西省西安市未央区</w:t>
      </w:r>
      <w:r>
        <w:rPr>
          <w:rFonts w:hint="eastAsia" w:hAnsi="宋体"/>
          <w:sz w:val="24"/>
        </w:rPr>
        <w:t>陕西科技大学内指定地点</w:t>
      </w:r>
      <w:r>
        <w:rPr>
          <w:rFonts w:hint="eastAsia" w:hAnsi="宋体"/>
          <w:sz w:val="24"/>
          <w:highlight w:val="none"/>
          <w:lang w:eastAsia="zh-CN"/>
        </w:rPr>
        <w:t>（如交货地点为校外，请提供书面说明，且需征得甲方同意）</w:t>
      </w:r>
      <w:r>
        <w:rPr>
          <w:rFonts w:hint="eastAsia" w:hAnsi="宋体"/>
          <w:sz w:val="24"/>
          <w:highlight w:val="none"/>
        </w:rPr>
        <w:t>。</w:t>
      </w:r>
    </w:p>
    <w:p>
      <w:pPr>
        <w:kinsoku w:val="0"/>
        <w:spacing w:line="400" w:lineRule="exact"/>
        <w:ind w:firstLine="600" w:firstLineChars="250"/>
        <w:rPr>
          <w:rFonts w:hAnsi="宋体"/>
          <w:sz w:val="24"/>
          <w:highlight w:val="none"/>
        </w:rPr>
      </w:pPr>
      <w:r>
        <w:rPr>
          <w:rFonts w:hint="eastAsia" w:hAnsi="宋体"/>
          <w:sz w:val="24"/>
          <w:highlight w:val="none"/>
        </w:rPr>
        <w:t>2、交货日期：双方签字盖章后合同生效，合同生效后</w:t>
      </w:r>
      <w:r>
        <w:rPr>
          <w:rFonts w:hint="eastAsia" w:hAnsi="宋体"/>
          <w:sz w:val="24"/>
          <w:highlight w:val="none"/>
          <w:lang w:eastAsia="zh-CN"/>
        </w:rPr>
        <w:t xml:space="preserve">     </w:t>
      </w:r>
      <w:r>
        <w:rPr>
          <w:rFonts w:hint="eastAsia" w:hAnsi="宋体"/>
          <w:sz w:val="24"/>
          <w:highlight w:val="none"/>
        </w:rPr>
        <w:t>个日历日内完成交货</w:t>
      </w:r>
      <w:r>
        <w:rPr>
          <w:rFonts w:hint="eastAsia" w:hAnsi="宋体"/>
          <w:sz w:val="24"/>
          <w:highlight w:val="none"/>
          <w:lang w:eastAsia="zh-CN"/>
        </w:rPr>
        <w:t>（交货日期是工作日的，换算为日历日）</w:t>
      </w:r>
      <w:r>
        <w:rPr>
          <w:rFonts w:hint="eastAsia" w:hAnsi="宋体"/>
          <w:sz w:val="24"/>
          <w:highlight w:val="none"/>
        </w:rPr>
        <w:t>。</w:t>
      </w:r>
    </w:p>
    <w:p>
      <w:pPr>
        <w:spacing w:line="400" w:lineRule="exact"/>
        <w:ind w:firstLine="482" w:firstLineChars="200"/>
        <w:rPr>
          <w:rFonts w:hAnsi="宋体"/>
          <w:b/>
          <w:sz w:val="24"/>
        </w:rPr>
      </w:pPr>
      <w:r>
        <w:rPr>
          <w:rFonts w:hint="eastAsia" w:hAnsi="宋体"/>
          <w:b/>
          <w:sz w:val="24"/>
        </w:rPr>
        <w:t>五、运输方式：</w:t>
      </w:r>
      <w:r>
        <w:rPr>
          <w:rFonts w:hint="eastAsia" w:hAnsi="宋体"/>
          <w:sz w:val="24"/>
        </w:rPr>
        <w:t>根据产品特性，由乙方在保证产品质量的前提下，自行选择运输及包装方式，发生的一切费用全部由乙方承担。</w:t>
      </w:r>
    </w:p>
    <w:p>
      <w:pPr>
        <w:adjustRightInd w:val="0"/>
        <w:snapToGrid w:val="0"/>
        <w:spacing w:line="400" w:lineRule="exact"/>
        <w:ind w:firstLine="482" w:firstLineChars="200"/>
        <w:rPr>
          <w:rFonts w:hAnsi="宋体"/>
          <w:b/>
          <w:sz w:val="24"/>
        </w:rPr>
      </w:pPr>
      <w:r>
        <w:rPr>
          <w:rFonts w:hint="eastAsia" w:hAnsi="宋体"/>
          <w:b/>
          <w:sz w:val="24"/>
        </w:rPr>
        <w:t>六、质量保证</w:t>
      </w:r>
    </w:p>
    <w:p>
      <w:pPr>
        <w:adjustRightInd w:val="0"/>
        <w:snapToGrid w:val="0"/>
        <w:spacing w:line="400" w:lineRule="exact"/>
        <w:ind w:firstLine="480" w:firstLineChars="200"/>
        <w:rPr>
          <w:rFonts w:hint="eastAsia" w:hAnsi="宋体" w:eastAsia="宋体"/>
          <w:sz w:val="24"/>
          <w:lang w:val="en-US" w:eastAsia="zh-CN"/>
        </w:rPr>
      </w:pPr>
      <w:r>
        <w:rPr>
          <w:rFonts w:hint="eastAsia" w:hAnsi="宋体"/>
          <w:sz w:val="24"/>
          <w:lang w:val="en-US" w:eastAsia="zh-CN"/>
        </w:rPr>
        <w:t>1、乙方提供的产品必须满足招标文件及合同的技术参数要求。</w:t>
      </w:r>
    </w:p>
    <w:p>
      <w:pPr>
        <w:adjustRightInd w:val="0"/>
        <w:snapToGrid w:val="0"/>
        <w:spacing w:line="400" w:lineRule="exact"/>
        <w:ind w:firstLine="480" w:firstLineChars="200"/>
        <w:rPr>
          <w:rFonts w:hint="eastAsia" w:hAnsi="宋体"/>
          <w:bCs/>
          <w:sz w:val="24"/>
          <w:lang w:val="en-US" w:eastAsia="zh-CN"/>
        </w:rPr>
      </w:pPr>
      <w:r>
        <w:rPr>
          <w:rFonts w:hint="eastAsia" w:hAnsi="宋体"/>
          <w:bCs/>
          <w:sz w:val="24"/>
          <w:lang w:val="en-US" w:eastAsia="zh-CN"/>
        </w:rPr>
        <w:t>2、乙方保证货物应是全新、未曾使用过的、优质工艺及材料制造的产品，并保证所供设备的完整性（包括满足设备完整运行的附件、备件、配套件、技术手册等）。</w:t>
      </w:r>
    </w:p>
    <w:p>
      <w:pPr>
        <w:adjustRightInd w:val="0"/>
        <w:snapToGrid w:val="0"/>
        <w:spacing w:line="400" w:lineRule="exact"/>
        <w:ind w:firstLine="480" w:firstLineChars="200"/>
        <w:rPr>
          <w:rFonts w:hAnsi="宋体"/>
          <w:sz w:val="24"/>
          <w:lang w:eastAsia="zh-CN"/>
        </w:rPr>
      </w:pPr>
      <w:r>
        <w:rPr>
          <w:rFonts w:hint="eastAsia" w:hAnsi="宋体"/>
          <w:sz w:val="24"/>
          <w:lang w:val="en-US" w:eastAsia="zh-CN"/>
        </w:rPr>
        <w:t>3</w:t>
      </w:r>
      <w:r>
        <w:rPr>
          <w:rFonts w:hint="eastAsia" w:hAnsi="宋体"/>
          <w:sz w:val="24"/>
          <w:lang w:eastAsia="zh-CN"/>
        </w:rPr>
        <w:t>、</w:t>
      </w:r>
      <w:r>
        <w:rPr>
          <w:rFonts w:hint="eastAsia" w:hAnsi="宋体"/>
          <w:sz w:val="24"/>
        </w:rPr>
        <w:t>乙方保证所提供的设备质量可靠</w:t>
      </w:r>
      <w:r>
        <w:rPr>
          <w:rFonts w:hint="eastAsia" w:hAnsi="宋体"/>
          <w:sz w:val="24"/>
          <w:lang w:eastAsia="zh-CN"/>
        </w:rPr>
        <w:t>、</w:t>
      </w:r>
      <w:r>
        <w:rPr>
          <w:rFonts w:hint="eastAsia" w:hAnsi="宋体"/>
          <w:sz w:val="24"/>
        </w:rPr>
        <w:t>进货渠道</w:t>
      </w:r>
      <w:r>
        <w:rPr>
          <w:rFonts w:hint="eastAsia" w:hAnsi="宋体"/>
          <w:sz w:val="24"/>
          <w:lang w:eastAsia="zh-CN"/>
        </w:rPr>
        <w:t>正规、</w:t>
      </w:r>
      <w:r>
        <w:rPr>
          <w:rFonts w:hint="eastAsia" w:hAnsi="宋体"/>
          <w:sz w:val="24"/>
        </w:rPr>
        <w:t>配置合理</w:t>
      </w:r>
      <w:r>
        <w:rPr>
          <w:rFonts w:hint="eastAsia" w:hAnsi="宋体"/>
          <w:sz w:val="24"/>
          <w:lang w:eastAsia="zh-CN"/>
        </w:rPr>
        <w:t>、</w:t>
      </w:r>
      <w:r>
        <w:rPr>
          <w:rFonts w:hint="eastAsia" w:hAnsi="宋体"/>
          <w:sz w:val="24"/>
        </w:rPr>
        <w:t>技术性能完全满足招标文件要求</w:t>
      </w:r>
      <w:r>
        <w:rPr>
          <w:rFonts w:hint="eastAsia" w:hAnsi="宋体"/>
          <w:sz w:val="24"/>
          <w:lang w:eastAsia="zh-CN"/>
        </w:rPr>
        <w:t>。</w:t>
      </w:r>
    </w:p>
    <w:p>
      <w:pPr>
        <w:adjustRightInd w:val="0"/>
        <w:snapToGrid w:val="0"/>
        <w:spacing w:line="400" w:lineRule="exact"/>
        <w:ind w:firstLine="480" w:firstLineChars="200"/>
        <w:rPr>
          <w:rFonts w:hAnsi="宋体"/>
          <w:sz w:val="24"/>
        </w:rPr>
      </w:pPr>
      <w:r>
        <w:rPr>
          <w:rFonts w:hint="eastAsia" w:hAnsi="宋体"/>
          <w:sz w:val="24"/>
          <w:lang w:val="en-US" w:eastAsia="zh-CN"/>
        </w:rPr>
        <w:t>4</w:t>
      </w:r>
      <w:r>
        <w:rPr>
          <w:rFonts w:hint="eastAsia" w:hAnsi="宋体"/>
          <w:sz w:val="24"/>
        </w:rPr>
        <w:t>、</w:t>
      </w:r>
      <w:r>
        <w:rPr>
          <w:rFonts w:hint="eastAsia" w:hAnsi="宋体"/>
          <w:sz w:val="24"/>
          <w:lang w:eastAsia="zh-CN"/>
        </w:rPr>
        <w:t>乙</w:t>
      </w:r>
      <w:r>
        <w:rPr>
          <w:rFonts w:hint="eastAsia" w:hAnsi="宋体"/>
          <w:sz w:val="24"/>
        </w:rPr>
        <w:t>方应</w:t>
      </w:r>
      <w:r>
        <w:rPr>
          <w:rFonts w:hint="eastAsia" w:hAnsi="宋体"/>
          <w:sz w:val="24"/>
          <w:lang w:eastAsia="zh-CN"/>
        </w:rPr>
        <w:t>随产品</w:t>
      </w:r>
      <w:r>
        <w:rPr>
          <w:rFonts w:hint="eastAsia" w:hAnsi="宋体"/>
          <w:sz w:val="24"/>
        </w:rPr>
        <w:t>提供检验报告</w:t>
      </w:r>
      <w:r>
        <w:rPr>
          <w:rFonts w:hint="eastAsia" w:hAnsi="宋体"/>
          <w:sz w:val="24"/>
          <w:lang w:eastAsia="zh-CN"/>
        </w:rPr>
        <w:t>等相关材料</w:t>
      </w:r>
      <w:r>
        <w:rPr>
          <w:rFonts w:hint="eastAsia" w:hAnsi="宋体"/>
          <w:sz w:val="24"/>
        </w:rPr>
        <w:t>。</w:t>
      </w:r>
    </w:p>
    <w:p>
      <w:pPr>
        <w:adjustRightInd w:val="0"/>
        <w:snapToGrid w:val="0"/>
        <w:spacing w:line="400" w:lineRule="exact"/>
        <w:ind w:firstLine="480" w:firstLineChars="200"/>
        <w:rPr>
          <w:rFonts w:hint="eastAsia" w:hAnsi="宋体"/>
          <w:bCs/>
          <w:sz w:val="24"/>
          <w:lang w:eastAsia="zh-CN"/>
        </w:rPr>
      </w:pPr>
      <w:r>
        <w:rPr>
          <w:rFonts w:hint="eastAsia" w:hAnsi="宋体"/>
          <w:sz w:val="24"/>
          <w:lang w:val="en-US" w:eastAsia="zh-CN"/>
        </w:rPr>
        <w:t>5</w:t>
      </w:r>
      <w:r>
        <w:rPr>
          <w:rFonts w:hint="eastAsia" w:hAnsi="宋体"/>
          <w:sz w:val="24"/>
        </w:rPr>
        <w:t>、设备</w:t>
      </w:r>
      <w:r>
        <w:rPr>
          <w:rFonts w:hint="eastAsia" w:hAnsi="宋体"/>
          <w:bCs/>
          <w:sz w:val="24"/>
        </w:rPr>
        <w:t>性能未达到</w:t>
      </w:r>
      <w:r>
        <w:rPr>
          <w:rFonts w:hint="eastAsia" w:hAnsi="宋体"/>
          <w:bCs/>
          <w:sz w:val="24"/>
          <w:lang w:eastAsia="zh-CN"/>
        </w:rPr>
        <w:t>招标文件</w:t>
      </w:r>
      <w:r>
        <w:rPr>
          <w:rFonts w:hint="eastAsia" w:hAnsi="宋体"/>
          <w:bCs/>
          <w:sz w:val="24"/>
        </w:rPr>
        <w:t>技术</w:t>
      </w:r>
      <w:r>
        <w:rPr>
          <w:rFonts w:hint="eastAsia" w:hAnsi="宋体"/>
          <w:bCs/>
          <w:sz w:val="24"/>
          <w:lang w:eastAsia="zh-CN"/>
        </w:rPr>
        <w:t>参数</w:t>
      </w:r>
      <w:r>
        <w:rPr>
          <w:rFonts w:hint="eastAsia" w:hAnsi="宋体"/>
          <w:bCs/>
          <w:sz w:val="24"/>
        </w:rPr>
        <w:t>要求的，</w:t>
      </w:r>
      <w:r>
        <w:rPr>
          <w:rFonts w:hint="eastAsia" w:hAnsi="宋体"/>
          <w:bCs/>
          <w:sz w:val="24"/>
          <w:lang w:eastAsia="zh-CN"/>
        </w:rPr>
        <w:t>甲方有权拒收产品或拒绝验收，</w:t>
      </w:r>
      <w:r>
        <w:rPr>
          <w:rFonts w:hint="eastAsia" w:hAnsi="宋体"/>
          <w:bCs/>
          <w:sz w:val="24"/>
        </w:rPr>
        <w:t>乙方</w:t>
      </w:r>
      <w:r>
        <w:rPr>
          <w:rFonts w:hint="eastAsia" w:hAnsi="宋体"/>
          <w:bCs/>
          <w:sz w:val="24"/>
          <w:lang w:eastAsia="zh-CN"/>
        </w:rPr>
        <w:t>可</w:t>
      </w:r>
      <w:r>
        <w:rPr>
          <w:rFonts w:hint="eastAsia" w:hAnsi="宋体"/>
          <w:bCs/>
          <w:sz w:val="24"/>
        </w:rPr>
        <w:t>进行</w:t>
      </w:r>
      <w:r>
        <w:rPr>
          <w:rFonts w:hint="eastAsia" w:hAnsi="宋体"/>
          <w:bCs/>
          <w:sz w:val="24"/>
          <w:lang w:eastAsia="zh-CN"/>
        </w:rPr>
        <w:t>限期</w:t>
      </w:r>
      <w:r>
        <w:rPr>
          <w:rFonts w:hint="eastAsia" w:hAnsi="宋体"/>
          <w:bCs/>
          <w:sz w:val="24"/>
        </w:rPr>
        <w:t>整改；整改</w:t>
      </w:r>
      <w:r>
        <w:rPr>
          <w:rFonts w:hint="eastAsia" w:hAnsi="宋体"/>
          <w:bCs/>
          <w:sz w:val="24"/>
          <w:lang w:eastAsia="zh-CN"/>
        </w:rPr>
        <w:t>后</w:t>
      </w:r>
      <w:r>
        <w:rPr>
          <w:rFonts w:hint="eastAsia" w:hAnsi="宋体"/>
          <w:bCs/>
          <w:sz w:val="24"/>
        </w:rPr>
        <w:t>仍达不到要求的，甲方有权解除合同，保留依法索赔的权利。</w:t>
      </w:r>
    </w:p>
    <w:p>
      <w:pPr>
        <w:adjustRightInd w:val="0"/>
        <w:snapToGrid w:val="0"/>
        <w:spacing w:line="400" w:lineRule="exact"/>
        <w:ind w:firstLine="482" w:firstLineChars="200"/>
        <w:rPr>
          <w:rFonts w:hint="eastAsia" w:hAnsi="宋体"/>
          <w:b/>
          <w:sz w:val="24"/>
          <w:lang w:val="en-US" w:eastAsia="zh-CN"/>
        </w:rPr>
      </w:pPr>
      <w:r>
        <w:rPr>
          <w:rFonts w:hint="eastAsia" w:hAnsi="宋体"/>
          <w:b/>
          <w:sz w:val="24"/>
          <w:lang w:val="en-US" w:eastAsia="zh-CN"/>
        </w:rPr>
        <w:t>七、质保期与承诺</w:t>
      </w:r>
    </w:p>
    <w:p>
      <w:pPr>
        <w:adjustRightInd w:val="0"/>
        <w:snapToGrid w:val="0"/>
        <w:spacing w:line="400" w:lineRule="exact"/>
        <w:ind w:firstLine="480" w:firstLineChars="200"/>
        <w:rPr>
          <w:rFonts w:hint="eastAsia" w:hAnsi="宋体"/>
          <w:sz w:val="24"/>
          <w:u w:val="single"/>
          <w:lang w:val="en-US" w:eastAsia="zh-CN"/>
        </w:rPr>
      </w:pPr>
      <w:r>
        <w:rPr>
          <w:rFonts w:hint="eastAsia" w:hAnsi="宋体"/>
          <w:sz w:val="24"/>
          <w:lang w:val="en-US" w:eastAsia="zh-CN"/>
        </w:rPr>
        <w:t>1</w:t>
      </w:r>
      <w:r>
        <w:rPr>
          <w:rFonts w:hint="eastAsia" w:hAnsi="宋体"/>
          <w:sz w:val="24"/>
          <w:lang w:eastAsia="zh-CN"/>
        </w:rPr>
        <w:t>、</w:t>
      </w:r>
      <w:r>
        <w:rPr>
          <w:rFonts w:hint="eastAsia" w:hAnsi="宋体"/>
          <w:sz w:val="24"/>
        </w:rPr>
        <w:t>设备的质保期为设备验收合格后</w:t>
      </w:r>
      <w:r>
        <w:rPr>
          <w:rFonts w:hint="eastAsia" w:hAnsi="宋体"/>
          <w:sz w:val="24"/>
          <w:highlight w:val="none"/>
          <w:u w:val="single"/>
          <w:lang w:val="en-US" w:eastAsia="zh-CN"/>
        </w:rPr>
        <w:t xml:space="preserve">     </w:t>
      </w:r>
      <w:r>
        <w:rPr>
          <w:rFonts w:hint="eastAsia" w:hAnsi="宋体"/>
          <w:sz w:val="24"/>
          <w:highlight w:val="none"/>
        </w:rPr>
        <w:t>年</w:t>
      </w:r>
      <w:r>
        <w:rPr>
          <w:rFonts w:hint="eastAsia" w:hAnsi="宋体"/>
          <w:sz w:val="24"/>
          <w:u w:val="none"/>
          <w:lang w:val="en-US" w:eastAsia="zh-CN"/>
        </w:rPr>
        <w:t>。</w:t>
      </w:r>
    </w:p>
    <w:p>
      <w:pPr>
        <w:adjustRightInd w:val="0"/>
        <w:snapToGrid w:val="0"/>
        <w:spacing w:line="400" w:lineRule="exact"/>
        <w:ind w:firstLine="480" w:firstLineChars="200"/>
        <w:rPr>
          <w:rFonts w:hint="eastAsia" w:hAnsi="宋体"/>
          <w:bCs/>
          <w:sz w:val="24"/>
          <w:lang w:val="en-US" w:eastAsia="zh-CN"/>
        </w:rPr>
      </w:pPr>
      <w:r>
        <w:rPr>
          <w:rFonts w:hint="eastAsia" w:hAnsi="宋体"/>
          <w:bCs/>
          <w:sz w:val="24"/>
          <w:lang w:val="en-US" w:eastAsia="zh-CN"/>
        </w:rPr>
        <w:t>2</w:t>
      </w:r>
      <w:r>
        <w:rPr>
          <w:rFonts w:hint="eastAsia" w:hAnsi="宋体"/>
          <w:bCs/>
          <w:sz w:val="24"/>
          <w:lang w:eastAsia="zh-CN"/>
        </w:rPr>
        <w:t>、质保期内，若发生产品质量问题，乙方应免费解决</w:t>
      </w:r>
      <w:r>
        <w:rPr>
          <w:rFonts w:hint="eastAsia" w:hAnsi="宋体"/>
          <w:bCs/>
          <w:sz w:val="24"/>
          <w:lang w:val="en-US" w:eastAsia="zh-CN"/>
        </w:rPr>
        <w:t>；否则，甲方将乙方列入“政府采购联合惩戒黑名单”，并追究法律责任。</w:t>
      </w:r>
    </w:p>
    <w:p>
      <w:pPr>
        <w:adjustRightInd w:val="0"/>
        <w:snapToGrid w:val="0"/>
        <w:spacing w:line="400" w:lineRule="exact"/>
        <w:ind w:firstLine="359" w:firstLineChars="149"/>
        <w:rPr>
          <w:rFonts w:hAnsi="宋体"/>
          <w:b/>
          <w:sz w:val="24"/>
        </w:rPr>
      </w:pPr>
      <w:r>
        <w:rPr>
          <w:rFonts w:hint="eastAsia" w:hAnsi="宋体"/>
          <w:b/>
          <w:sz w:val="24"/>
          <w:lang w:eastAsia="zh-CN"/>
        </w:rPr>
        <w:t>八</w:t>
      </w:r>
      <w:r>
        <w:rPr>
          <w:rFonts w:hint="eastAsia" w:hAnsi="宋体"/>
          <w:b/>
          <w:sz w:val="24"/>
        </w:rPr>
        <w:t>、安装、调试及技术服务</w:t>
      </w:r>
    </w:p>
    <w:p>
      <w:pPr>
        <w:spacing w:line="400" w:lineRule="exact"/>
        <w:ind w:firstLine="496" w:firstLineChars="207"/>
        <w:rPr>
          <w:rFonts w:hAnsi="宋体"/>
          <w:sz w:val="24"/>
        </w:rPr>
      </w:pPr>
      <w:r>
        <w:rPr>
          <w:rFonts w:hint="eastAsia" w:hAnsi="宋体"/>
          <w:sz w:val="24"/>
        </w:rPr>
        <w:t>1、技术资料包括：出厂检测报告、产品使用说明书、合格证等其它相关资料。</w:t>
      </w:r>
    </w:p>
    <w:p>
      <w:pPr>
        <w:spacing w:line="400" w:lineRule="exact"/>
        <w:ind w:firstLine="480" w:firstLineChars="200"/>
        <w:rPr>
          <w:rFonts w:hint="eastAsia" w:hAnsi="宋体"/>
          <w:sz w:val="24"/>
        </w:rPr>
      </w:pPr>
      <w:r>
        <w:rPr>
          <w:rFonts w:hint="eastAsia" w:hAnsi="宋体"/>
          <w:sz w:val="24"/>
        </w:rPr>
        <w:t>2、在质保期内，乙方在接到用户对所购设备进行维修的要求后，24小时内到用户现场进行维修服务，全部费用由乙方支付</w:t>
      </w:r>
      <w:r>
        <w:rPr>
          <w:rFonts w:hint="eastAsia" w:hAnsi="宋体"/>
          <w:sz w:val="24"/>
          <w:lang w:eastAsia="zh-CN"/>
        </w:rPr>
        <w:t>；</w:t>
      </w:r>
      <w:r>
        <w:rPr>
          <w:rFonts w:hint="eastAsia" w:hAnsi="宋体"/>
          <w:sz w:val="24"/>
        </w:rPr>
        <w:t>若需将产品送回生产厂，由乙方支付维修设备所需的往返费用。</w:t>
      </w:r>
    </w:p>
    <w:p>
      <w:pPr>
        <w:spacing w:line="400" w:lineRule="exact"/>
        <w:ind w:firstLine="480" w:firstLineChars="200"/>
        <w:rPr>
          <w:rFonts w:hint="eastAsia" w:hAnsi="宋体" w:eastAsia="宋体"/>
          <w:sz w:val="24"/>
          <w:lang w:val="en-US" w:eastAsia="zh-CN"/>
        </w:rPr>
      </w:pPr>
      <w:r>
        <w:rPr>
          <w:rFonts w:hint="eastAsia" w:hAnsi="宋体"/>
          <w:sz w:val="24"/>
          <w:lang w:val="en-US" w:eastAsia="zh-CN"/>
        </w:rPr>
        <w:t>3、安装调试完成后，产品的性能、稳定性等未达到招标文件要求，甲方有权拒绝验收。</w:t>
      </w:r>
    </w:p>
    <w:p>
      <w:pPr>
        <w:spacing w:line="400" w:lineRule="exact"/>
        <w:ind w:firstLine="480" w:firstLineChars="200"/>
        <w:rPr>
          <w:rFonts w:hAnsi="宋体"/>
          <w:sz w:val="24"/>
        </w:rPr>
      </w:pPr>
      <w:r>
        <w:rPr>
          <w:rFonts w:hint="eastAsia" w:hAnsi="宋体"/>
          <w:sz w:val="24"/>
        </w:rPr>
        <w:t>4、技术培训</w:t>
      </w:r>
    </w:p>
    <w:p>
      <w:pPr>
        <w:spacing w:line="400" w:lineRule="exact"/>
        <w:ind w:firstLine="600" w:firstLineChars="250"/>
        <w:rPr>
          <w:rFonts w:hAnsi="宋体"/>
          <w:sz w:val="24"/>
        </w:rPr>
      </w:pPr>
      <w:r>
        <w:rPr>
          <w:rFonts w:hint="eastAsia" w:hAnsi="宋体"/>
          <w:sz w:val="24"/>
        </w:rPr>
        <w:t>1）内容：包括设备原理、使用操作、保养维修技术等，使受训人员达到独立使用、熟练操作的程度。</w:t>
      </w:r>
    </w:p>
    <w:p>
      <w:pPr>
        <w:spacing w:line="400" w:lineRule="exact"/>
        <w:ind w:firstLine="600" w:firstLineChars="250"/>
        <w:rPr>
          <w:rFonts w:hAnsi="宋体"/>
          <w:sz w:val="24"/>
        </w:rPr>
      </w:pPr>
      <w:r>
        <w:rPr>
          <w:rFonts w:hint="eastAsia" w:hAnsi="宋体"/>
          <w:sz w:val="24"/>
        </w:rPr>
        <w:t>2）</w:t>
      </w:r>
      <w:r>
        <w:rPr>
          <w:rFonts w:hint="eastAsia" w:hAnsi="宋体"/>
          <w:sz w:val="24"/>
          <w:lang w:eastAsia="zh-CN"/>
        </w:rPr>
        <w:t>根据实际需要</w:t>
      </w:r>
      <w:r>
        <w:rPr>
          <w:rFonts w:hint="eastAsia" w:hAnsi="宋体"/>
          <w:sz w:val="24"/>
        </w:rPr>
        <w:t>培训主要操作人员。</w:t>
      </w:r>
    </w:p>
    <w:p>
      <w:pPr>
        <w:spacing w:line="400" w:lineRule="exact"/>
        <w:ind w:firstLine="600" w:firstLineChars="250"/>
        <w:rPr>
          <w:rFonts w:hint="eastAsia" w:hAnsi="宋体"/>
          <w:sz w:val="24"/>
        </w:rPr>
      </w:pPr>
      <w:r>
        <w:rPr>
          <w:rFonts w:hint="eastAsia" w:hAnsi="宋体"/>
          <w:sz w:val="24"/>
          <w:lang w:eastAsia="zh-CN"/>
        </w:rPr>
        <w:t>3</w:t>
      </w:r>
      <w:r>
        <w:rPr>
          <w:rFonts w:hint="eastAsia" w:hAnsi="宋体"/>
          <w:sz w:val="24"/>
        </w:rPr>
        <w:t>）时间：在收到</w:t>
      </w:r>
      <w:r>
        <w:rPr>
          <w:rFonts w:hint="eastAsia" w:hAnsi="宋体"/>
          <w:sz w:val="24"/>
          <w:lang w:eastAsia="zh-CN"/>
        </w:rPr>
        <w:t>甲方</w:t>
      </w:r>
      <w:r>
        <w:rPr>
          <w:rFonts w:hint="eastAsia" w:hAnsi="宋体"/>
          <w:sz w:val="24"/>
        </w:rPr>
        <w:t>通知后一周内安排。</w:t>
      </w:r>
    </w:p>
    <w:p>
      <w:pPr>
        <w:spacing w:line="400" w:lineRule="exact"/>
        <w:ind w:firstLine="600" w:firstLineChars="250"/>
        <w:rPr>
          <w:rFonts w:hint="eastAsia" w:hAnsi="宋体"/>
          <w:sz w:val="24"/>
          <w:lang w:val="en-US" w:eastAsia="zh-CN"/>
        </w:rPr>
      </w:pPr>
      <w:r>
        <w:rPr>
          <w:rFonts w:hint="eastAsia" w:hAnsi="宋体"/>
          <w:sz w:val="24"/>
          <w:lang w:val="en-US" w:eastAsia="zh-CN"/>
        </w:rPr>
        <w:t>4）所有培训费用（含交通费、住宿等费用）由乙方承担。</w:t>
      </w:r>
    </w:p>
    <w:p>
      <w:pPr>
        <w:spacing w:line="400" w:lineRule="exact"/>
        <w:ind w:firstLine="600" w:firstLineChars="250"/>
        <w:rPr>
          <w:rFonts w:hint="eastAsia" w:hAnsi="宋体"/>
          <w:sz w:val="24"/>
          <w:lang w:val="en-US" w:eastAsia="zh-CN"/>
        </w:rPr>
      </w:pPr>
      <w:r>
        <w:rPr>
          <w:rFonts w:hint="eastAsia" w:hAnsi="宋体"/>
          <w:sz w:val="24"/>
          <w:lang w:val="en-US" w:eastAsia="zh-CN"/>
        </w:rPr>
        <w:t>5）投标文件里有其他相关说明或承诺的，应该按投标文件执行。</w:t>
      </w:r>
    </w:p>
    <w:p>
      <w:pPr>
        <w:adjustRightInd w:val="0"/>
        <w:snapToGrid w:val="0"/>
        <w:spacing w:line="400" w:lineRule="exact"/>
        <w:ind w:firstLine="480" w:firstLineChars="200"/>
        <w:rPr>
          <w:rFonts w:hAnsi="宋体"/>
          <w:sz w:val="24"/>
        </w:rPr>
      </w:pPr>
      <w:r>
        <w:rPr>
          <w:rFonts w:hint="eastAsia" w:hAnsi="宋体"/>
          <w:sz w:val="24"/>
        </w:rPr>
        <w:t>5、服务承诺：按投标文件中的服务承诺执行。</w:t>
      </w:r>
    </w:p>
    <w:p>
      <w:pPr>
        <w:adjustRightInd w:val="0"/>
        <w:snapToGrid w:val="0"/>
        <w:spacing w:line="400" w:lineRule="exact"/>
        <w:ind w:firstLine="480" w:firstLineChars="200"/>
        <w:rPr>
          <w:rFonts w:hint="eastAsia" w:hAnsi="宋体" w:eastAsia="宋体"/>
          <w:sz w:val="24"/>
          <w:lang w:eastAsia="zh-CN"/>
        </w:rPr>
      </w:pPr>
      <w:r>
        <w:rPr>
          <w:rFonts w:hint="eastAsia" w:hAnsi="宋体"/>
          <w:sz w:val="24"/>
        </w:rPr>
        <w:t>6、安装调试过程中出现的安全责任问题由乙方全权负责</w:t>
      </w:r>
      <w:r>
        <w:rPr>
          <w:rFonts w:hint="eastAsia" w:hAnsi="宋体"/>
          <w:sz w:val="24"/>
          <w:lang w:eastAsia="zh-CN"/>
        </w:rPr>
        <w:t>，若造成损失由乙方负责赔偿。</w:t>
      </w:r>
    </w:p>
    <w:p>
      <w:pPr>
        <w:spacing w:line="400" w:lineRule="exact"/>
        <w:ind w:firstLine="532"/>
        <w:rPr>
          <w:rFonts w:hAnsi="宋体"/>
          <w:b/>
          <w:sz w:val="24"/>
        </w:rPr>
      </w:pPr>
      <w:r>
        <w:rPr>
          <w:rFonts w:hint="eastAsia" w:hAnsi="宋体"/>
          <w:b/>
          <w:sz w:val="24"/>
          <w:lang w:eastAsia="zh-CN"/>
        </w:rPr>
        <w:t>九</w:t>
      </w:r>
      <w:r>
        <w:rPr>
          <w:rFonts w:hint="eastAsia" w:hAnsi="宋体"/>
          <w:b/>
          <w:sz w:val="24"/>
        </w:rPr>
        <w:t>、设备验收</w:t>
      </w:r>
    </w:p>
    <w:p>
      <w:pPr>
        <w:spacing w:line="400" w:lineRule="exact"/>
        <w:ind w:firstLine="480" w:firstLineChars="200"/>
        <w:rPr>
          <w:rFonts w:hAnsi="宋体"/>
          <w:sz w:val="24"/>
        </w:rPr>
      </w:pPr>
      <w:r>
        <w:rPr>
          <w:rFonts w:hint="eastAsia" w:hAnsi="宋体"/>
          <w:sz w:val="24"/>
        </w:rPr>
        <w:t>1、设备到货后，乙方负责安装调试，达到正常运行条件后书面通知甲方验收。</w:t>
      </w:r>
    </w:p>
    <w:p>
      <w:pPr>
        <w:spacing w:line="400" w:lineRule="exact"/>
        <w:ind w:firstLine="480" w:firstLineChars="200"/>
        <w:rPr>
          <w:rFonts w:hAnsi="宋体"/>
          <w:sz w:val="24"/>
        </w:rPr>
      </w:pPr>
      <w:r>
        <w:rPr>
          <w:rFonts w:hint="eastAsia" w:hAnsi="宋体"/>
          <w:sz w:val="24"/>
        </w:rPr>
        <w:t>2、安装完成后应提供详细的安装报告，并详细记录各种指示的实测数据。</w:t>
      </w:r>
    </w:p>
    <w:p>
      <w:pPr>
        <w:spacing w:line="400" w:lineRule="exact"/>
        <w:ind w:firstLine="480" w:firstLineChars="200"/>
        <w:rPr>
          <w:rFonts w:hAnsi="宋体"/>
          <w:sz w:val="24"/>
        </w:rPr>
      </w:pPr>
      <w:r>
        <w:rPr>
          <w:rFonts w:hint="eastAsia" w:hAnsi="宋体"/>
          <w:sz w:val="24"/>
        </w:rPr>
        <w:t>3、提供完整的操作手册和安装、调试、维修手册；提供制造厂家的检验测试报告或设备出厂检测报告。</w:t>
      </w:r>
    </w:p>
    <w:p>
      <w:pPr>
        <w:spacing w:line="400" w:lineRule="exact"/>
        <w:ind w:firstLine="480" w:firstLineChars="200"/>
        <w:rPr>
          <w:rFonts w:hAnsi="宋体"/>
          <w:sz w:val="24"/>
        </w:rPr>
      </w:pPr>
      <w:r>
        <w:rPr>
          <w:rFonts w:hint="eastAsia" w:hAnsi="宋体"/>
          <w:sz w:val="24"/>
        </w:rPr>
        <w:t>4、甲方根据合同要求对设备进行验收、确认设备的产地、规格、型号和数量。验收依据为</w:t>
      </w:r>
      <w:bookmarkStart w:id="145" w:name="_Toc337393760"/>
      <w:r>
        <w:rPr>
          <w:rFonts w:hint="eastAsia" w:hAnsi="宋体"/>
          <w:sz w:val="24"/>
        </w:rPr>
        <w:t>本合同文本、招投标文件和国内相应的标准、规范</w:t>
      </w:r>
      <w:bookmarkEnd w:id="145"/>
      <w:bookmarkStart w:id="146" w:name="_Toc337393761"/>
      <w:r>
        <w:rPr>
          <w:rFonts w:hint="eastAsia" w:hAnsi="宋体"/>
          <w:sz w:val="24"/>
        </w:rPr>
        <w:t>。</w:t>
      </w:r>
      <w:bookmarkEnd w:id="146"/>
    </w:p>
    <w:p>
      <w:pPr>
        <w:spacing w:line="400" w:lineRule="exact"/>
        <w:ind w:firstLine="480" w:firstLineChars="200"/>
        <w:rPr>
          <w:rFonts w:hint="eastAsia" w:hAnsi="宋体"/>
          <w:b/>
          <w:sz w:val="24"/>
          <w:lang w:eastAsia="zh-CN"/>
        </w:rPr>
      </w:pPr>
      <w:r>
        <w:rPr>
          <w:rFonts w:hint="eastAsia" w:hAnsi="宋体"/>
          <w:sz w:val="24"/>
        </w:rPr>
        <w:t>5、验收合格后，填写设备验收单，并向甲方提交设备所包含的所有资料，以便使用单位日后管理和维护。</w:t>
      </w:r>
    </w:p>
    <w:p>
      <w:pPr>
        <w:tabs>
          <w:tab w:val="left" w:pos="5355"/>
        </w:tabs>
        <w:spacing w:line="400" w:lineRule="exact"/>
        <w:ind w:firstLine="506" w:firstLineChars="210"/>
        <w:rPr>
          <w:rFonts w:hAnsi="宋体"/>
          <w:b/>
          <w:sz w:val="24"/>
        </w:rPr>
      </w:pPr>
      <w:r>
        <w:rPr>
          <w:rFonts w:hint="eastAsia" w:hAnsi="宋体"/>
          <w:b/>
          <w:sz w:val="24"/>
          <w:lang w:eastAsia="zh-CN"/>
        </w:rPr>
        <w:t>十</w:t>
      </w:r>
      <w:r>
        <w:rPr>
          <w:rFonts w:hAnsi="宋体"/>
          <w:b/>
          <w:sz w:val="24"/>
        </w:rPr>
        <w:t>、违约责任</w:t>
      </w:r>
      <w:r>
        <w:rPr>
          <w:rFonts w:hint="eastAsia" w:hAnsi="宋体"/>
          <w:b/>
          <w:sz w:val="24"/>
        </w:rPr>
        <w:t>：</w:t>
      </w:r>
    </w:p>
    <w:p>
      <w:pPr>
        <w:adjustRightInd w:val="0"/>
        <w:snapToGrid w:val="0"/>
        <w:spacing w:line="400" w:lineRule="exact"/>
        <w:ind w:firstLine="480" w:firstLineChars="200"/>
        <w:rPr>
          <w:rFonts w:hAnsi="宋体"/>
          <w:sz w:val="24"/>
        </w:rPr>
      </w:pPr>
      <w:r>
        <w:rPr>
          <w:rFonts w:hint="eastAsia" w:hAnsi="宋体"/>
          <w:sz w:val="24"/>
        </w:rPr>
        <w:t>1、按《中华人民共和国</w:t>
      </w:r>
      <w:r>
        <w:rPr>
          <w:rFonts w:hint="eastAsia" w:hAnsi="宋体"/>
          <w:sz w:val="24"/>
          <w:lang w:eastAsia="zh-CN"/>
        </w:rPr>
        <w:t>民法典</w:t>
      </w:r>
      <w:r>
        <w:rPr>
          <w:rFonts w:hint="eastAsia" w:hAnsi="宋体"/>
          <w:sz w:val="24"/>
        </w:rPr>
        <w:t>》中的相关条款执行。</w:t>
      </w:r>
    </w:p>
    <w:p>
      <w:pPr>
        <w:adjustRightInd w:val="0"/>
        <w:snapToGrid w:val="0"/>
        <w:spacing w:line="400" w:lineRule="exact"/>
        <w:ind w:firstLine="480" w:firstLineChars="200"/>
        <w:rPr>
          <w:rFonts w:hAnsi="宋体"/>
          <w:sz w:val="24"/>
          <w:lang w:eastAsia="zh-CN"/>
        </w:rPr>
      </w:pPr>
      <w:r>
        <w:rPr>
          <w:rFonts w:hint="eastAsia" w:hAnsi="宋体"/>
          <w:sz w:val="24"/>
        </w:rPr>
        <w:t>2、</w:t>
      </w:r>
      <w:r>
        <w:rPr>
          <w:rFonts w:hint="eastAsia" w:hAnsi="宋体"/>
          <w:sz w:val="24"/>
          <w:lang w:eastAsia="zh-CN"/>
        </w:rPr>
        <w:t>若乙方出现不能供货等违约情况，甲方将不退合同金额</w:t>
      </w:r>
      <w:r>
        <w:rPr>
          <w:rFonts w:hint="eastAsia" w:hAnsi="宋体"/>
          <w:sz w:val="24"/>
          <w:lang w:val="en-US" w:eastAsia="zh-CN"/>
        </w:rPr>
        <w:t>5</w:t>
      </w:r>
      <w:r>
        <w:rPr>
          <w:rFonts w:hint="eastAsia" w:hAnsi="宋体"/>
          <w:sz w:val="24"/>
          <w:lang w:eastAsia="zh-CN"/>
        </w:rPr>
        <w:t>%的履约保证金。</w:t>
      </w:r>
    </w:p>
    <w:p>
      <w:pPr>
        <w:adjustRightInd w:val="0"/>
        <w:snapToGrid w:val="0"/>
        <w:spacing w:line="400" w:lineRule="exact"/>
        <w:ind w:firstLine="480" w:firstLineChars="200"/>
        <w:rPr>
          <w:rFonts w:hAnsi="宋体"/>
          <w:sz w:val="24"/>
        </w:rPr>
      </w:pPr>
      <w:r>
        <w:rPr>
          <w:rFonts w:hint="eastAsia" w:hAnsi="宋体"/>
          <w:sz w:val="24"/>
          <w:lang w:eastAsia="zh-CN"/>
        </w:rPr>
        <w:t>3、</w:t>
      </w:r>
      <w:r>
        <w:rPr>
          <w:rFonts w:hint="eastAsia" w:hAnsi="宋体"/>
          <w:sz w:val="24"/>
        </w:rPr>
        <w:t>未按合同要求提供产品或设备质量不能满足招标的技术要求，甲方有权终止合同，并保留追究乙方违约责任的权利。</w:t>
      </w:r>
    </w:p>
    <w:p>
      <w:pPr>
        <w:adjustRightInd w:val="0"/>
        <w:snapToGrid w:val="0"/>
        <w:spacing w:line="400" w:lineRule="exact"/>
        <w:ind w:firstLine="480" w:firstLineChars="200"/>
        <w:rPr>
          <w:rFonts w:hint="eastAsia" w:hAnsi="宋体"/>
          <w:sz w:val="24"/>
        </w:rPr>
      </w:pPr>
      <w:r>
        <w:rPr>
          <w:rFonts w:hint="eastAsia" w:hAnsi="宋体"/>
          <w:sz w:val="24"/>
          <w:lang w:eastAsia="zh-CN"/>
        </w:rPr>
        <w:t>4</w:t>
      </w:r>
      <w:r>
        <w:rPr>
          <w:rFonts w:hint="eastAsia" w:hAnsi="宋体"/>
          <w:sz w:val="24"/>
        </w:rPr>
        <w:t>、</w:t>
      </w:r>
      <w:r>
        <w:rPr>
          <w:rFonts w:hint="eastAsia" w:hAnsi="宋体"/>
          <w:sz w:val="24"/>
          <w:lang w:eastAsia="zh-CN"/>
        </w:rPr>
        <w:t>因供货期</w:t>
      </w:r>
      <w:r>
        <w:rPr>
          <w:rFonts w:hint="eastAsia" w:hAnsi="宋体"/>
          <w:sz w:val="24"/>
        </w:rPr>
        <w:t>迟延的，</w:t>
      </w:r>
      <w:r>
        <w:rPr>
          <w:rFonts w:hint="eastAsia" w:hAnsi="宋体"/>
          <w:sz w:val="24"/>
          <w:lang w:eastAsia="zh-CN"/>
        </w:rPr>
        <w:t>乙</w:t>
      </w:r>
      <w:r>
        <w:rPr>
          <w:rFonts w:hint="eastAsia" w:hAnsi="宋体"/>
          <w:sz w:val="24"/>
        </w:rPr>
        <w:t>方按照每天1‰向</w:t>
      </w:r>
      <w:r>
        <w:rPr>
          <w:rFonts w:hint="eastAsia" w:hAnsi="宋体"/>
          <w:sz w:val="24"/>
          <w:lang w:eastAsia="zh-CN"/>
        </w:rPr>
        <w:t>甲方</w:t>
      </w:r>
      <w:r>
        <w:rPr>
          <w:rFonts w:hint="eastAsia" w:hAnsi="宋体"/>
          <w:sz w:val="24"/>
        </w:rPr>
        <w:t>承担违约责任。</w:t>
      </w:r>
    </w:p>
    <w:p>
      <w:pPr>
        <w:adjustRightInd w:val="0"/>
        <w:snapToGrid w:val="0"/>
        <w:spacing w:line="400" w:lineRule="exact"/>
        <w:ind w:firstLine="480" w:firstLineChars="200"/>
        <w:rPr>
          <w:rFonts w:hAnsi="宋体"/>
          <w:sz w:val="24"/>
        </w:rPr>
      </w:pPr>
      <w:r>
        <w:rPr>
          <w:rFonts w:hint="eastAsia" w:hAnsi="宋体"/>
          <w:sz w:val="24"/>
          <w:lang w:val="en-US" w:eastAsia="zh-CN"/>
        </w:rPr>
        <w:t>5、因</w:t>
      </w:r>
      <w:r>
        <w:rPr>
          <w:rFonts w:hint="eastAsia" w:hAnsi="宋体"/>
          <w:sz w:val="24"/>
        </w:rPr>
        <w:t>产品质量问题违约的，除了按照迟延时间计算违约金外，另可以采取退货、换货等方式，由</w:t>
      </w:r>
      <w:r>
        <w:rPr>
          <w:rFonts w:hint="eastAsia" w:hAnsi="宋体"/>
          <w:sz w:val="24"/>
          <w:lang w:eastAsia="zh-CN"/>
        </w:rPr>
        <w:t>乙</w:t>
      </w:r>
      <w:r>
        <w:rPr>
          <w:rFonts w:hint="eastAsia" w:hAnsi="宋体"/>
          <w:sz w:val="24"/>
        </w:rPr>
        <w:t>方承担一切费用。</w:t>
      </w:r>
    </w:p>
    <w:p>
      <w:pPr>
        <w:tabs>
          <w:tab w:val="left" w:pos="5355"/>
        </w:tabs>
        <w:spacing w:line="400" w:lineRule="exact"/>
        <w:ind w:firstLine="482" w:firstLineChars="200"/>
        <w:rPr>
          <w:rFonts w:hAnsi="宋体"/>
          <w:b/>
          <w:sz w:val="24"/>
        </w:rPr>
      </w:pPr>
      <w:r>
        <w:rPr>
          <w:rFonts w:hint="eastAsia" w:hAnsi="宋体"/>
          <w:b/>
          <w:sz w:val="24"/>
        </w:rPr>
        <w:t>十</w:t>
      </w:r>
      <w:r>
        <w:rPr>
          <w:rFonts w:hint="eastAsia" w:hAnsi="宋体"/>
          <w:b/>
          <w:sz w:val="24"/>
          <w:lang w:eastAsia="zh-CN"/>
        </w:rPr>
        <w:t>一</w:t>
      </w:r>
      <w:r>
        <w:rPr>
          <w:rFonts w:hint="eastAsia" w:hAnsi="宋体"/>
          <w:b/>
          <w:sz w:val="24"/>
        </w:rPr>
        <w:t>、合同争议的解决：</w:t>
      </w:r>
    </w:p>
    <w:p>
      <w:pPr>
        <w:tabs>
          <w:tab w:val="left" w:pos="5355"/>
        </w:tabs>
        <w:spacing w:line="400" w:lineRule="exact"/>
        <w:ind w:firstLine="480" w:firstLineChars="200"/>
        <w:rPr>
          <w:rFonts w:hAnsi="宋体"/>
          <w:b/>
          <w:sz w:val="24"/>
        </w:rPr>
      </w:pPr>
      <w:r>
        <w:rPr>
          <w:rFonts w:hint="eastAsia" w:hAnsi="宋体"/>
          <w:sz w:val="24"/>
        </w:rPr>
        <w:t>合同一经签订，不得随意变更、中止或终止。对确需变更、调整或者中止、终止合同的，应按规定履行相应的手续。</w:t>
      </w:r>
    </w:p>
    <w:p>
      <w:pPr>
        <w:tabs>
          <w:tab w:val="left" w:pos="5355"/>
        </w:tabs>
        <w:spacing w:line="400" w:lineRule="exact"/>
        <w:ind w:firstLine="480" w:firstLineChars="200"/>
        <w:rPr>
          <w:rFonts w:hAnsi="宋体"/>
          <w:sz w:val="24"/>
        </w:rPr>
      </w:pPr>
      <w:r>
        <w:rPr>
          <w:rFonts w:hint="eastAsia" w:hAnsi="宋体"/>
          <w:sz w:val="24"/>
        </w:rPr>
        <w:t>合同执行中发生争议的，甲、乙双方应协商解决，协商达不成一致时，可向甲方所在地人民法院提请诉讼。</w:t>
      </w:r>
    </w:p>
    <w:p>
      <w:pPr>
        <w:tabs>
          <w:tab w:val="left" w:pos="5355"/>
        </w:tabs>
        <w:spacing w:line="400" w:lineRule="exact"/>
        <w:ind w:firstLine="482" w:firstLineChars="200"/>
        <w:rPr>
          <w:rFonts w:hAnsi="宋体"/>
          <w:b/>
          <w:sz w:val="24"/>
        </w:rPr>
      </w:pPr>
      <w:r>
        <w:rPr>
          <w:rFonts w:hint="eastAsia" w:hAnsi="宋体"/>
          <w:b/>
          <w:sz w:val="24"/>
        </w:rPr>
        <w:t>十</w:t>
      </w:r>
      <w:r>
        <w:rPr>
          <w:rFonts w:hint="eastAsia" w:hAnsi="宋体"/>
          <w:b/>
          <w:sz w:val="24"/>
          <w:lang w:eastAsia="zh-CN"/>
        </w:rPr>
        <w:t>二</w:t>
      </w:r>
      <w:r>
        <w:rPr>
          <w:rFonts w:hint="eastAsia" w:hAnsi="宋体"/>
          <w:b/>
          <w:sz w:val="24"/>
        </w:rPr>
        <w:t>、其它事项</w:t>
      </w:r>
    </w:p>
    <w:p>
      <w:pPr>
        <w:adjustRightInd w:val="0"/>
        <w:snapToGrid w:val="0"/>
        <w:spacing w:line="400" w:lineRule="exact"/>
        <w:ind w:firstLine="600" w:firstLineChars="250"/>
        <w:rPr>
          <w:rFonts w:hAnsi="宋体"/>
          <w:sz w:val="24"/>
        </w:rPr>
      </w:pPr>
      <w:r>
        <w:rPr>
          <w:rFonts w:hint="eastAsia" w:hAnsi="宋体"/>
          <w:sz w:val="24"/>
        </w:rPr>
        <w:t>1</w:t>
      </w:r>
      <w:r>
        <w:rPr>
          <w:rFonts w:hint="eastAsia" w:hAnsi="宋体"/>
          <w:sz w:val="24"/>
          <w:highlight w:val="none"/>
        </w:rPr>
        <w:t>、甲、乙双方做为合同执行的主体，有义务及时完全履行合同。招标代理机构</w:t>
      </w:r>
      <w:r>
        <w:rPr>
          <w:rFonts w:hint="eastAsia" w:hAnsi="宋体"/>
          <w:sz w:val="24"/>
          <w:highlight w:val="none"/>
          <w:lang w:eastAsia="zh-CN"/>
        </w:rPr>
        <w:t>陕西万泽招标有限公司</w:t>
      </w:r>
      <w:r>
        <w:rPr>
          <w:rFonts w:hint="eastAsia" w:hAnsi="宋体"/>
          <w:sz w:val="24"/>
          <w:highlight w:val="none"/>
        </w:rPr>
        <w:t>监督履行。</w:t>
      </w:r>
    </w:p>
    <w:p>
      <w:pPr>
        <w:adjustRightInd w:val="0"/>
        <w:snapToGrid w:val="0"/>
        <w:spacing w:line="400" w:lineRule="exact"/>
        <w:ind w:firstLine="600" w:firstLineChars="250"/>
        <w:rPr>
          <w:rFonts w:hint="eastAsia" w:hAnsi="宋体"/>
          <w:sz w:val="24"/>
        </w:rPr>
      </w:pPr>
      <w:r>
        <w:rPr>
          <w:rFonts w:hint="eastAsia" w:hAnsi="宋体"/>
          <w:sz w:val="24"/>
        </w:rPr>
        <w:t>2、甲方使用部门代表学校签署合同，并随时监督合同履行情况。</w:t>
      </w:r>
    </w:p>
    <w:p>
      <w:pPr>
        <w:adjustRightInd w:val="0"/>
        <w:snapToGrid w:val="0"/>
        <w:spacing w:line="400" w:lineRule="exact"/>
        <w:ind w:firstLine="600" w:firstLineChars="250"/>
        <w:rPr>
          <w:rFonts w:hAnsi="宋体"/>
          <w:sz w:val="24"/>
        </w:rPr>
      </w:pPr>
      <w:r>
        <w:rPr>
          <w:rFonts w:hint="eastAsia" w:hAnsi="宋体"/>
          <w:sz w:val="24"/>
        </w:rPr>
        <w:t>3、合同未尽事宜，由甲、乙双方协商，协商方案作为本合同不可分割的组成部分，与本合同具有同等法律效力。</w:t>
      </w:r>
    </w:p>
    <w:p>
      <w:pPr>
        <w:adjustRightInd w:val="0"/>
        <w:snapToGrid w:val="0"/>
        <w:spacing w:line="400" w:lineRule="exact"/>
        <w:ind w:firstLine="600" w:firstLineChars="250"/>
        <w:rPr>
          <w:rFonts w:hAnsi="宋体"/>
          <w:sz w:val="24"/>
        </w:rPr>
      </w:pPr>
      <w:r>
        <w:rPr>
          <w:rFonts w:hint="eastAsia" w:hAnsi="宋体"/>
          <w:sz w:val="24"/>
        </w:rPr>
        <w:t>4、招标文件和乙方的投标文件以及合同附件均为合同不可分割的部分。</w:t>
      </w:r>
    </w:p>
    <w:p>
      <w:pPr>
        <w:adjustRightInd w:val="0"/>
        <w:snapToGrid w:val="0"/>
        <w:spacing w:line="400" w:lineRule="exact"/>
        <w:ind w:firstLine="600" w:firstLineChars="250"/>
        <w:rPr>
          <w:rFonts w:hAnsi="宋体"/>
          <w:sz w:val="24"/>
        </w:rPr>
      </w:pPr>
      <w:r>
        <w:rPr>
          <w:rFonts w:hint="eastAsia" w:hAnsi="宋体"/>
          <w:sz w:val="24"/>
        </w:rPr>
        <w:t>5、</w:t>
      </w:r>
      <w:r>
        <w:rPr>
          <w:rFonts w:hint="eastAsia" w:hAnsi="宋体"/>
          <w:sz w:val="24"/>
          <w:highlight w:val="none"/>
        </w:rPr>
        <w:t>合同一式陆份，甲方持肆份、乙方执壹份，招标代理机构壹份。双方</w:t>
      </w:r>
      <w:r>
        <w:rPr>
          <w:rFonts w:hint="eastAsia" w:hAnsi="宋体"/>
          <w:sz w:val="24"/>
        </w:rPr>
        <w:t>签字盖章后生效，合同执行完毕自动失效（合同的服务承诺长期有效）。</w:t>
      </w:r>
    </w:p>
    <w:p>
      <w:pPr>
        <w:tabs>
          <w:tab w:val="left" w:pos="5355"/>
        </w:tabs>
        <w:spacing w:line="400" w:lineRule="exact"/>
        <w:rPr>
          <w:rFonts w:hAnsi="宋体"/>
          <w:sz w:val="24"/>
        </w:rPr>
      </w:pPr>
      <w:r>
        <w:rPr>
          <w:rFonts w:hint="eastAsia" w:hAnsi="宋体"/>
          <w:sz w:val="24"/>
        </w:rPr>
        <w:t xml:space="preserve">    6、使用单位收货、验货人员：____________  电话：_______________</w:t>
      </w:r>
    </w:p>
    <w:p>
      <w:pPr>
        <w:tabs>
          <w:tab w:val="left" w:pos="5355"/>
        </w:tabs>
        <w:spacing w:line="400" w:lineRule="exact"/>
        <w:rPr>
          <w:rFonts w:hAnsi="宋体"/>
          <w:sz w:val="24"/>
        </w:rPr>
      </w:pPr>
    </w:p>
    <w:p>
      <w:pPr>
        <w:tabs>
          <w:tab w:val="left" w:pos="5355"/>
        </w:tabs>
        <w:spacing w:line="500" w:lineRule="exact"/>
        <w:ind w:firstLine="120" w:firstLineChars="50"/>
        <w:rPr>
          <w:rFonts w:hAnsi="宋体"/>
          <w:sz w:val="24"/>
        </w:rPr>
      </w:pPr>
      <w:r>
        <w:rPr>
          <w:rFonts w:hint="eastAsia" w:hAnsi="宋体"/>
          <w:color w:val="000000"/>
          <w:sz w:val="24"/>
        </w:rPr>
        <w:t>甲  方：</w:t>
      </w:r>
      <w:r>
        <w:rPr>
          <w:rFonts w:hint="eastAsia" w:hAnsi="宋体"/>
          <w:sz w:val="24"/>
        </w:rPr>
        <w:t>陕西科技大学</w:t>
      </w:r>
      <w:r>
        <w:rPr>
          <w:rFonts w:hint="eastAsia" w:hAnsi="宋体"/>
          <w:color w:val="000000"/>
          <w:sz w:val="24"/>
        </w:rPr>
        <w:t xml:space="preserve">   　            乙  方：</w:t>
      </w:r>
      <w:r>
        <w:rPr>
          <w:rFonts w:hint="eastAsia" w:hAnsi="宋体"/>
          <w:sz w:val="24"/>
        </w:rPr>
        <w:t xml:space="preserve"> </w:t>
      </w:r>
    </w:p>
    <w:p>
      <w:pPr>
        <w:tabs>
          <w:tab w:val="left" w:pos="5355"/>
        </w:tabs>
        <w:spacing w:line="500" w:lineRule="exact"/>
        <w:ind w:firstLine="120" w:firstLineChars="50"/>
        <w:rPr>
          <w:rFonts w:hAnsi="宋体"/>
          <w:sz w:val="24"/>
        </w:rPr>
      </w:pPr>
      <w:r>
        <w:rPr>
          <w:rFonts w:hint="eastAsia" w:hAnsi="宋体"/>
          <w:sz w:val="24"/>
        </w:rPr>
        <w:t>地　址：</w:t>
      </w:r>
      <w:r>
        <w:rPr>
          <w:rFonts w:hAnsi="宋体"/>
          <w:sz w:val="24"/>
        </w:rPr>
        <w:t>陕西省西安市未央大学园区</w:t>
      </w:r>
      <w:r>
        <w:rPr>
          <w:rFonts w:hint="eastAsia" w:hAnsi="宋体"/>
          <w:sz w:val="24"/>
        </w:rPr>
        <w:t xml:space="preserve">     地　址： </w:t>
      </w:r>
    </w:p>
    <w:p>
      <w:pPr>
        <w:tabs>
          <w:tab w:val="left" w:pos="5355"/>
        </w:tabs>
        <w:spacing w:line="500" w:lineRule="exact"/>
        <w:ind w:firstLine="120" w:firstLineChars="50"/>
        <w:rPr>
          <w:rFonts w:hAnsi="宋体"/>
          <w:sz w:val="24"/>
        </w:rPr>
      </w:pPr>
      <w:r>
        <w:rPr>
          <w:rFonts w:hint="eastAsia" w:hAnsi="宋体"/>
          <w:sz w:val="24"/>
        </w:rPr>
        <w:t>代理人：　　　　　　　　　　　　　 　代理人：</w:t>
      </w:r>
    </w:p>
    <w:p>
      <w:pPr>
        <w:tabs>
          <w:tab w:val="left" w:pos="5355"/>
        </w:tabs>
        <w:spacing w:line="500" w:lineRule="exact"/>
        <w:ind w:firstLine="120" w:firstLineChars="50"/>
        <w:rPr>
          <w:rFonts w:hAnsi="宋体"/>
          <w:sz w:val="24"/>
        </w:rPr>
      </w:pPr>
      <w:r>
        <w:rPr>
          <w:rFonts w:hint="eastAsia" w:hAnsi="宋体"/>
          <w:sz w:val="24"/>
        </w:rPr>
        <w:t>技术确认：                           技术确认：</w:t>
      </w:r>
    </w:p>
    <w:p>
      <w:pPr>
        <w:tabs>
          <w:tab w:val="left" w:pos="5355"/>
        </w:tabs>
        <w:spacing w:line="500" w:lineRule="exact"/>
        <w:ind w:firstLine="120" w:firstLineChars="50"/>
        <w:rPr>
          <w:rFonts w:hAnsi="宋体"/>
          <w:sz w:val="24"/>
        </w:rPr>
      </w:pPr>
      <w:r>
        <w:rPr>
          <w:rFonts w:hint="eastAsia" w:hAnsi="宋体"/>
          <w:sz w:val="24"/>
        </w:rPr>
        <w:t>联系电话：</w:t>
      </w:r>
      <w:r>
        <w:rPr>
          <w:rFonts w:hAnsi="宋体"/>
          <w:sz w:val="24"/>
        </w:rPr>
        <w:t>029-</w:t>
      </w:r>
      <w:r>
        <w:rPr>
          <w:rFonts w:hint="eastAsia" w:hAnsi="宋体"/>
          <w:sz w:val="24"/>
        </w:rPr>
        <w:t>86168</w:t>
      </w:r>
      <w:r>
        <w:rPr>
          <w:rFonts w:hint="eastAsia" w:hAnsi="宋体"/>
          <w:sz w:val="24"/>
          <w:lang w:val="en-US" w:eastAsia="zh-CN"/>
        </w:rPr>
        <w:t>123</w:t>
      </w:r>
      <w:r>
        <w:rPr>
          <w:rFonts w:hAnsi="宋体"/>
          <w:sz w:val="24"/>
        </w:rPr>
        <w:t xml:space="preserve"> </w:t>
      </w:r>
      <w:r>
        <w:rPr>
          <w:rFonts w:hint="eastAsia" w:hAnsi="宋体"/>
          <w:sz w:val="24"/>
        </w:rPr>
        <w:t xml:space="preserve">              联系电话：</w:t>
      </w:r>
    </w:p>
    <w:p>
      <w:pPr>
        <w:tabs>
          <w:tab w:val="left" w:pos="5355"/>
        </w:tabs>
        <w:spacing w:line="500" w:lineRule="exact"/>
        <w:ind w:firstLine="120" w:firstLineChars="50"/>
        <w:rPr>
          <w:rFonts w:hAnsi="宋体"/>
          <w:sz w:val="24"/>
        </w:rPr>
      </w:pPr>
      <w:r>
        <w:rPr>
          <w:rFonts w:hint="eastAsia" w:hAnsi="宋体"/>
          <w:sz w:val="24"/>
        </w:rPr>
        <w:t xml:space="preserve">开户行：中国银行西安浐灞区支行       开户行： </w:t>
      </w:r>
    </w:p>
    <w:p>
      <w:pPr>
        <w:tabs>
          <w:tab w:val="left" w:pos="5355"/>
        </w:tabs>
        <w:spacing w:line="500" w:lineRule="exact"/>
        <w:ind w:firstLine="120" w:firstLineChars="50"/>
        <w:rPr>
          <w:rFonts w:hAnsi="宋体"/>
          <w:sz w:val="24"/>
        </w:rPr>
      </w:pPr>
      <w:r>
        <w:rPr>
          <w:rFonts w:hint="eastAsia" w:hAnsi="宋体"/>
          <w:sz w:val="24"/>
        </w:rPr>
        <w:t xml:space="preserve">账号：102887455445       </w:t>
      </w:r>
      <w:r>
        <w:rPr>
          <w:rFonts w:hint="eastAsia" w:hAnsi="宋体"/>
          <w:sz w:val="24"/>
          <w:lang w:val="en-US" w:eastAsia="zh-CN"/>
        </w:rPr>
        <w:t xml:space="preserve">            </w:t>
      </w:r>
      <w:r>
        <w:rPr>
          <w:rFonts w:hint="eastAsia" w:hAnsi="宋体"/>
          <w:sz w:val="24"/>
        </w:rPr>
        <w:t>账号：</w:t>
      </w:r>
    </w:p>
    <w:p>
      <w:pPr>
        <w:tabs>
          <w:tab w:val="left" w:pos="5355"/>
        </w:tabs>
        <w:spacing w:line="500" w:lineRule="exact"/>
        <w:ind w:firstLine="120" w:firstLineChars="50"/>
        <w:rPr>
          <w:rFonts w:hAnsi="宋体"/>
          <w:sz w:val="24"/>
        </w:rPr>
      </w:pPr>
      <w:r>
        <w:rPr>
          <w:rFonts w:hint="eastAsia" w:hAnsi="宋体"/>
          <w:sz w:val="24"/>
        </w:rPr>
        <w:t>时间：                               时间：</w:t>
      </w:r>
    </w:p>
    <w:p>
      <w:pPr>
        <w:pStyle w:val="7"/>
        <w:spacing w:line="400" w:lineRule="exact"/>
        <w:ind w:firstLine="422" w:firstLineChars="175"/>
        <w:rPr>
          <w:rFonts w:ascii="宋体" w:hAnsi="宋体"/>
          <w:b/>
          <w:bCs/>
          <w:sz w:val="24"/>
        </w:rPr>
      </w:pPr>
    </w:p>
    <w:p>
      <w:pPr>
        <w:widowControl/>
        <w:wordWrap/>
        <w:jc w:val="left"/>
        <w:rPr>
          <w:rFonts w:hAnsi="宋体"/>
          <w:sz w:val="24"/>
        </w:rPr>
      </w:pPr>
    </w:p>
    <w:p>
      <w:pPr>
        <w:widowControl/>
        <w:wordWrap/>
        <w:jc w:val="right"/>
        <w:rPr>
          <w:rFonts w:hAnsi="宋体"/>
          <w:sz w:val="24"/>
        </w:rPr>
      </w:pPr>
    </w:p>
    <w:p>
      <w:pPr>
        <w:widowControl/>
        <w:wordWrap/>
        <w:jc w:val="left"/>
      </w:pPr>
      <w:r>
        <w:rPr>
          <w:rFonts w:hAnsi="宋体"/>
          <w:b/>
          <w:sz w:val="24"/>
        </w:rPr>
        <w:t xml:space="preserve">                         </w:t>
      </w:r>
    </w:p>
    <w:p>
      <w:pP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br w:type="page"/>
      </w:r>
    </w:p>
    <w:p>
      <w:pPr>
        <w:spacing w:line="480" w:lineRule="exact"/>
        <w:jc w:val="center"/>
        <w:outlineLvl w:val="0"/>
        <w:rPr>
          <w:rFonts w:asciiTheme="minorEastAsia" w:hAnsiTheme="minorEastAsia" w:eastAsiaTheme="minorEastAsia" w:cstheme="minorEastAsia"/>
        </w:rPr>
      </w:pPr>
      <w:bookmarkStart w:id="147" w:name="_Toc8556"/>
      <w:bookmarkStart w:id="148" w:name="_Toc31291"/>
      <w:bookmarkStart w:id="149" w:name="_Toc26115"/>
      <w:bookmarkStart w:id="150" w:name="_Toc20061"/>
      <w:bookmarkStart w:id="151" w:name="_Toc27777"/>
      <w:r>
        <w:rPr>
          <w:rFonts w:hint="eastAsia" w:asciiTheme="minorEastAsia" w:hAnsiTheme="minorEastAsia" w:eastAsiaTheme="minorEastAsia" w:cstheme="minorEastAsia"/>
          <w:sz w:val="36"/>
          <w:szCs w:val="36"/>
        </w:rPr>
        <w:t>第七部分  投标文件格式</w:t>
      </w:r>
      <w:bookmarkEnd w:id="135"/>
      <w:bookmarkEnd w:id="147"/>
      <w:bookmarkEnd w:id="148"/>
      <w:bookmarkEnd w:id="149"/>
      <w:bookmarkEnd w:id="150"/>
      <w:bookmarkEnd w:id="151"/>
    </w:p>
    <w:p>
      <w:pPr>
        <w:adjustRightInd w:val="0"/>
        <w:snapToGrid w:val="0"/>
        <w:spacing w:line="500" w:lineRule="exact"/>
        <w:jc w:val="left"/>
        <w:rPr>
          <w:rFonts w:asciiTheme="minorEastAsia" w:hAnsiTheme="minorEastAsia" w:eastAsiaTheme="minorEastAsia" w:cstheme="minorEastAsia"/>
          <w:b/>
          <w:bCs/>
          <w:w w:val="120"/>
          <w:sz w:val="28"/>
          <w:szCs w:val="28"/>
        </w:rPr>
      </w:pPr>
      <w:r>
        <w:rPr>
          <w:rFonts w:hint="eastAsia" w:asciiTheme="minorEastAsia" w:hAnsiTheme="minorEastAsia" w:eastAsiaTheme="minorEastAsia" w:cstheme="minorEastAsia"/>
          <w:b/>
          <w:bCs/>
          <w:w w:val="120"/>
          <w:sz w:val="28"/>
          <w:szCs w:val="28"/>
        </w:rPr>
        <w:t>项目编号：</w:t>
      </w:r>
      <w:r>
        <w:rPr>
          <w:rFonts w:hint="eastAsia" w:asciiTheme="minorEastAsia" w:hAnsiTheme="minorEastAsia" w:eastAsiaTheme="minorEastAsia" w:cstheme="minorEastAsia"/>
          <w:b/>
          <w:bCs/>
          <w:w w:val="120"/>
          <w:sz w:val="28"/>
          <w:szCs w:val="28"/>
          <w:lang w:eastAsia="zh-CN"/>
        </w:rPr>
        <w:t>SXWZ2022ZB-SKD-135</w:t>
      </w:r>
      <w:r>
        <w:rPr>
          <w:rFonts w:hint="eastAsia" w:asciiTheme="minorEastAsia" w:hAnsiTheme="minorEastAsia" w:eastAsiaTheme="minorEastAsia" w:cstheme="minorEastAsia"/>
          <w:b/>
          <w:bCs/>
          <w:w w:val="120"/>
          <w:sz w:val="28"/>
          <w:szCs w:val="28"/>
        </w:rPr>
        <w:t xml:space="preserve">       （正本或副本）</w:t>
      </w:r>
    </w:p>
    <w:p>
      <w:pPr>
        <w:adjustRightInd w:val="0"/>
        <w:snapToGrid w:val="0"/>
        <w:spacing w:line="360" w:lineRule="auto"/>
        <w:jc w:val="center"/>
        <w:rPr>
          <w:rFonts w:asciiTheme="minorEastAsia" w:hAnsiTheme="minorEastAsia" w:eastAsiaTheme="minorEastAsia" w:cstheme="minorEastAsia"/>
          <w:b/>
          <w:bCs/>
          <w:sz w:val="52"/>
          <w:szCs w:val="52"/>
        </w:rPr>
      </w:pPr>
    </w:p>
    <w:p>
      <w:pPr>
        <w:snapToGrid w:val="0"/>
        <w:spacing w:line="360" w:lineRule="auto"/>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陕西科技大学</w:t>
      </w:r>
    </w:p>
    <w:p>
      <w:pPr>
        <w:snapToGrid w:val="0"/>
        <w:spacing w:line="360" w:lineRule="auto"/>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实训楼有线无线网络建设项目</w:t>
      </w:r>
    </w:p>
    <w:p>
      <w:pPr>
        <w:snapToGrid w:val="0"/>
        <w:spacing w:line="360" w:lineRule="auto"/>
        <w:jc w:val="center"/>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投</w:t>
      </w:r>
    </w:p>
    <w:p>
      <w:pPr>
        <w:snapToGrid w:val="0"/>
        <w:spacing w:line="360" w:lineRule="auto"/>
        <w:jc w:val="center"/>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标</w:t>
      </w:r>
    </w:p>
    <w:p>
      <w:pPr>
        <w:snapToGrid w:val="0"/>
        <w:spacing w:line="360" w:lineRule="auto"/>
        <w:jc w:val="center"/>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文</w:t>
      </w:r>
    </w:p>
    <w:p>
      <w:pPr>
        <w:snapToGrid w:val="0"/>
        <w:spacing w:line="360" w:lineRule="auto"/>
        <w:jc w:val="center"/>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件</w:t>
      </w:r>
    </w:p>
    <w:p>
      <w:pPr>
        <w:snapToGrid w:val="0"/>
        <w:spacing w:line="360" w:lineRule="auto"/>
        <w:ind w:firstLine="560" w:firstLineChars="200"/>
        <w:jc w:val="left"/>
        <w:rPr>
          <w:rFonts w:hint="eastAsia" w:ascii="宋体" w:hAnsi="宋体" w:cs="宋体"/>
          <w:b w:val="0"/>
          <w:bCs w:val="0"/>
          <w:sz w:val="28"/>
          <w:szCs w:val="28"/>
          <w:lang w:val="zh-CN"/>
        </w:rPr>
      </w:pPr>
    </w:p>
    <w:p>
      <w:pPr>
        <w:snapToGrid w:val="0"/>
        <w:spacing w:line="360" w:lineRule="auto"/>
        <w:ind w:firstLine="560" w:firstLineChars="200"/>
        <w:jc w:val="left"/>
        <w:rPr>
          <w:rFonts w:hint="eastAsia" w:ascii="宋体" w:hAnsi="宋体" w:cs="宋体"/>
          <w:b w:val="0"/>
          <w:bCs w:val="0"/>
          <w:sz w:val="28"/>
          <w:szCs w:val="28"/>
          <w:lang w:val="zh-CN"/>
        </w:rPr>
      </w:pPr>
      <w:r>
        <w:rPr>
          <w:rFonts w:hint="eastAsia" w:ascii="宋体" w:hAnsi="宋体" w:cs="宋体"/>
          <w:b w:val="0"/>
          <w:bCs w:val="0"/>
          <w:sz w:val="28"/>
          <w:szCs w:val="28"/>
          <w:lang w:val="zh-CN"/>
        </w:rPr>
        <w:t>供应商（单位名称及公章）：</w:t>
      </w:r>
      <w:r>
        <w:rPr>
          <w:rFonts w:hint="eastAsia" w:ascii="宋体" w:hAnsi="宋体" w:cs="宋体"/>
          <w:b w:val="0"/>
          <w:bCs w:val="0"/>
          <w:sz w:val="28"/>
          <w:szCs w:val="28"/>
          <w:lang w:val="en-US" w:eastAsia="zh-CN"/>
        </w:rPr>
        <w:t>_________________</w:t>
      </w:r>
    </w:p>
    <w:p>
      <w:pPr>
        <w:snapToGrid w:val="0"/>
        <w:spacing w:line="360" w:lineRule="auto"/>
        <w:ind w:firstLine="560" w:firstLineChars="200"/>
        <w:jc w:val="left"/>
        <w:rPr>
          <w:rFonts w:hint="eastAsia" w:ascii="宋体" w:hAnsi="宋体" w:cs="宋体"/>
          <w:b w:val="0"/>
          <w:bCs w:val="0"/>
          <w:sz w:val="28"/>
          <w:szCs w:val="28"/>
          <w:lang w:val="zh-CN"/>
        </w:rPr>
      </w:pPr>
      <w:r>
        <w:rPr>
          <w:rFonts w:hint="eastAsia" w:ascii="宋体" w:hAnsi="宋体" w:cs="宋体"/>
          <w:b w:val="0"/>
          <w:bCs w:val="0"/>
          <w:sz w:val="28"/>
          <w:szCs w:val="28"/>
          <w:lang w:val="zh-CN"/>
        </w:rPr>
        <w:t>法定代表人或被授权人（签字或盖章）：</w:t>
      </w:r>
      <w:r>
        <w:rPr>
          <w:rFonts w:hint="eastAsia" w:ascii="宋体" w:hAnsi="宋体" w:cs="宋体"/>
          <w:b w:val="0"/>
          <w:bCs w:val="0"/>
          <w:sz w:val="28"/>
          <w:szCs w:val="28"/>
          <w:lang w:val="en-US" w:eastAsia="zh-CN"/>
        </w:rPr>
        <w:t>_________________</w:t>
      </w:r>
    </w:p>
    <w:p>
      <w:pPr>
        <w:snapToGrid w:val="0"/>
        <w:spacing w:line="360" w:lineRule="auto"/>
        <w:ind w:firstLine="560" w:firstLineChars="200"/>
        <w:jc w:val="left"/>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身份证号：_________________</w:t>
      </w:r>
    </w:p>
    <w:p>
      <w:pPr>
        <w:snapToGrid w:val="0"/>
        <w:spacing w:line="360" w:lineRule="auto"/>
        <w:ind w:firstLine="560" w:firstLineChars="200"/>
        <w:jc w:val="left"/>
        <w:rPr>
          <w:rFonts w:hint="eastAsia" w:ascii="宋体" w:hAnsi="宋体" w:cs="宋体"/>
          <w:b w:val="0"/>
          <w:bCs w:val="0"/>
          <w:sz w:val="28"/>
          <w:szCs w:val="28"/>
          <w:lang w:val="zh-CN"/>
        </w:rPr>
      </w:pPr>
      <w:r>
        <w:rPr>
          <w:rFonts w:hint="eastAsia" w:ascii="宋体" w:hAnsi="宋体" w:cs="宋体"/>
          <w:b w:val="0"/>
          <w:bCs w:val="0"/>
          <w:sz w:val="28"/>
          <w:szCs w:val="28"/>
          <w:lang w:val="zh-CN"/>
        </w:rPr>
        <w:t>日期：</w:t>
      </w:r>
      <w:r>
        <w:rPr>
          <w:rFonts w:hint="eastAsia" w:ascii="宋体" w:hAnsi="宋体" w:cs="宋体"/>
          <w:b w:val="0"/>
          <w:bCs w:val="0"/>
          <w:sz w:val="28"/>
          <w:szCs w:val="28"/>
          <w:lang w:val="en-US" w:eastAsia="zh-CN"/>
        </w:rPr>
        <w:t>_________________</w:t>
      </w:r>
    </w:p>
    <w:p>
      <w:pPr>
        <w:pageBreakBefore/>
        <w:spacing w:before="319" w:beforeLines="100" w:after="478" w:afterLines="150" w:line="500" w:lineRule="exact"/>
        <w:ind w:firstLine="723" w:firstLineChars="200"/>
        <w:jc w:val="center"/>
        <w:rPr>
          <w:rFonts w:asciiTheme="minorEastAsia" w:hAnsiTheme="minorEastAsia" w:eastAsiaTheme="minorEastAsia" w:cstheme="minorEastAsia"/>
          <w:b/>
          <w:bCs/>
          <w:sz w:val="50"/>
          <w:szCs w:val="50"/>
        </w:rPr>
      </w:pPr>
      <w:r>
        <w:rPr>
          <w:rFonts w:hint="eastAsia" w:asciiTheme="minorEastAsia" w:hAnsiTheme="minorEastAsia" w:eastAsiaTheme="minorEastAsia" w:cstheme="minorEastAsia"/>
          <w:b/>
          <w:bCs/>
          <w:sz w:val="36"/>
          <w:szCs w:val="36"/>
        </w:rPr>
        <w:t>目 录</w:t>
      </w:r>
    </w:p>
    <w:p>
      <w:pPr>
        <w:pStyle w:val="12"/>
        <w:snapToGrid w:val="0"/>
        <w:spacing w:line="48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第一部分   投标函</w:t>
      </w:r>
    </w:p>
    <w:p>
      <w:pPr>
        <w:snapToGrid w:val="0"/>
        <w:spacing w:line="48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第二部分   报价一览表 </w:t>
      </w:r>
    </w:p>
    <w:p>
      <w:pPr>
        <w:pStyle w:val="12"/>
        <w:snapToGrid w:val="0"/>
        <w:spacing w:line="480" w:lineRule="auto"/>
        <w:ind w:firstLine="2108" w:firstLineChars="75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投标产品分项报价表</w:t>
      </w:r>
    </w:p>
    <w:p>
      <w:pPr>
        <w:pStyle w:val="12"/>
        <w:snapToGrid w:val="0"/>
        <w:spacing w:line="480" w:lineRule="auto"/>
        <w:ind w:firstLine="2108" w:firstLineChars="75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投标产品技术偏差表</w:t>
      </w:r>
    </w:p>
    <w:p>
      <w:pPr>
        <w:pStyle w:val="12"/>
        <w:snapToGrid w:val="0"/>
        <w:spacing w:line="48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第三部分   商务响应说明</w:t>
      </w:r>
    </w:p>
    <w:p>
      <w:pPr>
        <w:pStyle w:val="12"/>
        <w:snapToGrid w:val="0"/>
        <w:spacing w:line="48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第四部分   无重大违法记录声明</w:t>
      </w:r>
    </w:p>
    <w:p>
      <w:pPr>
        <w:pStyle w:val="12"/>
        <w:snapToGrid w:val="0"/>
        <w:spacing w:line="48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第五部分   供应商资质要求</w:t>
      </w:r>
    </w:p>
    <w:p>
      <w:pPr>
        <w:pStyle w:val="12"/>
        <w:snapToGrid w:val="0"/>
        <w:spacing w:line="48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第六部分   </w:t>
      </w:r>
      <w:r>
        <w:rPr>
          <w:rFonts w:hint="eastAsia" w:hAnsi="宋体" w:cs="宋体" w:eastAsiaTheme="minorEastAsia"/>
          <w:b/>
          <w:bCs/>
          <w:sz w:val="28"/>
          <w:szCs w:val="28"/>
          <w:lang w:eastAsia="zh-CN"/>
        </w:rPr>
        <w:t>实施方案</w:t>
      </w:r>
      <w:r>
        <w:rPr>
          <w:rFonts w:hint="eastAsia" w:ascii="宋体" w:hAnsi="宋体" w:cs="宋体"/>
          <w:b/>
          <w:bCs/>
          <w:sz w:val="28"/>
          <w:szCs w:val="28"/>
        </w:rPr>
        <w:t>与技术组织方案</w:t>
      </w:r>
    </w:p>
    <w:p>
      <w:pPr>
        <w:pStyle w:val="12"/>
        <w:snapToGrid w:val="0"/>
        <w:spacing w:line="480" w:lineRule="auto"/>
        <w:ind w:firstLine="562" w:firstLineChars="200"/>
        <w:jc w:val="left"/>
        <w:rPr>
          <w:rFonts w:hint="eastAsia" w:eastAsia="宋体" w:asciiTheme="minorEastAsia" w:hAnsiTheme="minorEastAsia" w:cstheme="minorEastAsia"/>
          <w:b/>
          <w:bCs/>
          <w:sz w:val="28"/>
          <w:szCs w:val="28"/>
          <w:lang w:eastAsia="zh-CN"/>
        </w:rPr>
      </w:pPr>
      <w:r>
        <w:rPr>
          <w:rFonts w:hint="eastAsia" w:asciiTheme="minorEastAsia" w:hAnsiTheme="minorEastAsia" w:eastAsiaTheme="minorEastAsia" w:cstheme="minorEastAsia"/>
          <w:b/>
          <w:bCs/>
          <w:sz w:val="28"/>
          <w:szCs w:val="28"/>
        </w:rPr>
        <w:t xml:space="preserve">第七部分   </w:t>
      </w:r>
      <w:r>
        <w:rPr>
          <w:rFonts w:hint="eastAsia" w:ascii="宋体" w:hAnsi="宋体" w:cs="宋体"/>
          <w:b/>
          <w:bCs/>
          <w:sz w:val="28"/>
          <w:szCs w:val="28"/>
        </w:rPr>
        <w:t>售后服务</w:t>
      </w:r>
      <w:r>
        <w:rPr>
          <w:rFonts w:hint="eastAsia" w:hAnsi="宋体" w:cs="宋体"/>
          <w:b/>
          <w:bCs/>
          <w:sz w:val="28"/>
          <w:szCs w:val="28"/>
          <w:lang w:eastAsia="zh-CN"/>
        </w:rPr>
        <w:t>及培训方案</w:t>
      </w:r>
    </w:p>
    <w:p>
      <w:pPr>
        <w:snapToGrid w:val="0"/>
        <w:spacing w:line="48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第八部分   业绩一览表</w:t>
      </w:r>
    </w:p>
    <w:p>
      <w:pPr>
        <w:snapToGrid w:val="0"/>
        <w:spacing w:line="48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第九部分   供应商认为有必要说明的其他问题。</w:t>
      </w:r>
    </w:p>
    <w:p>
      <w:pPr>
        <w:pStyle w:val="4"/>
        <w:pageBreakBefore/>
        <w:spacing w:before="319" w:beforeLines="100" w:after="478" w:afterLines="150" w:line="500" w:lineRule="exact"/>
        <w:rPr>
          <w:rFonts w:asciiTheme="minorEastAsia" w:hAnsiTheme="minorEastAsia" w:eastAsiaTheme="minorEastAsia" w:cstheme="minorEastAsia"/>
          <w:sz w:val="36"/>
          <w:szCs w:val="36"/>
        </w:rPr>
      </w:pPr>
      <w:bookmarkStart w:id="152" w:name="_Toc6991"/>
      <w:bookmarkStart w:id="153" w:name="_Toc1625"/>
      <w:bookmarkStart w:id="154" w:name="_Toc13878"/>
      <w:bookmarkStart w:id="155" w:name="_Toc2536"/>
      <w:bookmarkStart w:id="156" w:name="_Toc25587"/>
      <w:bookmarkStart w:id="157" w:name="_Toc6124"/>
      <w:r>
        <w:rPr>
          <w:rFonts w:hint="eastAsia" w:asciiTheme="minorEastAsia" w:hAnsiTheme="minorEastAsia" w:eastAsiaTheme="minorEastAsia" w:cstheme="minorEastAsia"/>
          <w:sz w:val="36"/>
          <w:szCs w:val="36"/>
        </w:rPr>
        <w:t>第一部分  报价函</w:t>
      </w:r>
      <w:bookmarkEnd w:id="152"/>
      <w:bookmarkEnd w:id="153"/>
      <w:bookmarkEnd w:id="154"/>
      <w:bookmarkEnd w:id="155"/>
      <w:bookmarkEnd w:id="156"/>
      <w:bookmarkEnd w:id="157"/>
    </w:p>
    <w:p>
      <w:pPr>
        <w:adjustRightInd w:val="0"/>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t>陕西万泽招标有限公司</w:t>
      </w:r>
      <w:r>
        <w:rPr>
          <w:rFonts w:hint="eastAsia" w:asciiTheme="minorEastAsia" w:hAnsiTheme="minorEastAsia" w:eastAsiaTheme="minorEastAsia" w:cstheme="minorEastAsia"/>
          <w:sz w:val="28"/>
          <w:szCs w:val="28"/>
        </w:rPr>
        <w:t>：</w:t>
      </w:r>
    </w:p>
    <w:p>
      <w:pPr>
        <w:adjustRightInd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我单位收到编号为：</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2、按照招标文件的规定，完成总体供货和服务的投标总报价为：</w:t>
      </w:r>
    </w:p>
    <w:p>
      <w:pPr>
        <w:adjustRightInd w:val="0"/>
        <w:snapToGrid w:val="0"/>
        <w:spacing w:line="360" w:lineRule="auto"/>
        <w:ind w:left="210" w:leftChars="100"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人民币（大写）：</w:t>
      </w:r>
      <w:r>
        <w:rPr>
          <w:rFonts w:hint="eastAsia" w:ascii="宋体" w:hAnsi="宋体" w:cs="宋体"/>
          <w:b w:val="0"/>
          <w:bCs w:val="0"/>
          <w:sz w:val="28"/>
          <w:szCs w:val="28"/>
          <w:lang w:val="en-US" w:eastAsia="zh-CN"/>
        </w:rPr>
        <w:t>_________________</w:t>
      </w:r>
      <w:r>
        <w:rPr>
          <w:rFonts w:hint="eastAsia" w:asciiTheme="minorEastAsia" w:hAnsiTheme="minorEastAsia" w:eastAsiaTheme="minorEastAsia" w:cstheme="minorEastAsia"/>
          <w:sz w:val="24"/>
          <w:szCs w:val="24"/>
        </w:rPr>
        <w:t>；（小写）</w:t>
      </w: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sz w:val="24"/>
          <w:szCs w:val="24"/>
        </w:rPr>
        <w:t>：</w:t>
      </w:r>
      <w:r>
        <w:rPr>
          <w:rFonts w:hint="eastAsia" w:ascii="宋体" w:hAnsi="宋体" w:cs="宋体"/>
          <w:b w:val="0"/>
          <w:bCs w:val="0"/>
          <w:sz w:val="28"/>
          <w:szCs w:val="28"/>
          <w:lang w:val="en-US" w:eastAsia="zh-CN"/>
        </w:rPr>
        <w:t>_________________</w:t>
      </w:r>
      <w:r>
        <w:rPr>
          <w:rFonts w:hint="eastAsia" w:asciiTheme="minorEastAsia" w:hAnsiTheme="minorEastAsia" w:eastAsiaTheme="minorEastAsia" w:cstheme="minorEastAsia"/>
          <w:sz w:val="24"/>
          <w:szCs w:val="24"/>
        </w:rPr>
        <w:t>元。</w:t>
      </w:r>
    </w:p>
    <w:p>
      <w:pPr>
        <w:adjustRightInd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3、我方提交的投标文件正本______份、副本______份、投标报价一览表______份、电子文档______份、。</w:t>
      </w:r>
    </w:p>
    <w:p>
      <w:pPr>
        <w:adjustRightInd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4、我们已详细阅读了招标文件，完全理解并同意放弃提出含糊不清和误解问题的权力。</w:t>
      </w:r>
    </w:p>
    <w:p>
      <w:pPr>
        <w:adjustRightInd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5、如果我方在投标后到规定的投标有效期内撤回投标文件及承诺，我们的保证金将被对方没收。</w:t>
      </w:r>
    </w:p>
    <w:p>
      <w:pPr>
        <w:adjustRightInd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6、同意向贵方提供贵方可能要求的、与本次投标有关的任何证据资料。</w:t>
      </w:r>
    </w:p>
    <w:p>
      <w:pPr>
        <w:adjustRightInd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7、我方承诺投标有效期为开标后_______日历日内有效。</w:t>
      </w:r>
    </w:p>
    <w:p>
      <w:pPr>
        <w:adjustRightInd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8、所有关于本次投标的函电，请按下列地址联系：</w:t>
      </w:r>
    </w:p>
    <w:p>
      <w:pPr>
        <w:adjustRightInd w:val="0"/>
        <w:snapToGrid w:val="0"/>
        <w:spacing w:line="360" w:lineRule="auto"/>
        <w:ind w:firstLine="480" w:firstLineChars="200"/>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供应商（单位名称及公章）：____________________</w:t>
      </w:r>
    </w:p>
    <w:p>
      <w:pPr>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法定代表人或被授权人（签字或盖章）：____________________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开户银行：____________________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帐    号：____________________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电    话：____________________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传    真：____________________</w:t>
      </w:r>
    </w:p>
    <w:p>
      <w:pPr>
        <w:adjustRightInd w:val="0"/>
        <w:snapToGrid w:val="0"/>
        <w:spacing w:line="360" w:lineRule="auto"/>
        <w:ind w:firstLine="480" w:firstLineChars="200"/>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邮    编：____________________</w:t>
      </w:r>
    </w:p>
    <w:p>
      <w:pPr>
        <w:adjustRightInd w:val="0"/>
        <w:snapToGrid w:val="0"/>
        <w:spacing w:line="360" w:lineRule="auto"/>
        <w:ind w:firstLine="480" w:firstLineChars="200"/>
        <w:rPr>
          <w:rFonts w:asciiTheme="minorEastAsia" w:hAnsiTheme="minorEastAsia" w:eastAsiaTheme="minorEastAsia" w:cstheme="minorEastAsia"/>
          <w:sz w:val="24"/>
          <w:szCs w:val="24"/>
        </w:rPr>
        <w:sectPr>
          <w:headerReference r:id="rId13" w:type="default"/>
          <w:footerReference r:id="rId14" w:type="default"/>
          <w:pgSz w:w="11906" w:h="16838"/>
          <w:pgMar w:top="1440" w:right="1803" w:bottom="1440" w:left="1803" w:header="851" w:footer="992" w:gutter="0"/>
          <w:cols w:space="0" w:num="1"/>
          <w:rtlGutter w:val="1"/>
          <w:docGrid w:type="lines" w:linePitch="319" w:charSpace="0"/>
        </w:sectPr>
      </w:pPr>
      <w:r>
        <w:rPr>
          <w:rFonts w:hint="eastAsia" w:asciiTheme="minorEastAsia" w:hAnsiTheme="minorEastAsia" w:eastAsiaTheme="minorEastAsia" w:cstheme="minorEastAsia"/>
          <w:sz w:val="24"/>
          <w:szCs w:val="24"/>
        </w:rPr>
        <w:t>日    期：</w:t>
      </w:r>
      <w:r>
        <w:rPr>
          <w:rFonts w:hint="eastAsia" w:asciiTheme="minorEastAsia" w:hAnsiTheme="minorEastAsia" w:eastAsiaTheme="minorEastAsia" w:cstheme="minorEastAsia"/>
          <w:sz w:val="24"/>
          <w:szCs w:val="24"/>
          <w:lang w:val="en-US" w:eastAsia="zh-CN"/>
        </w:rPr>
        <w:t>____</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____</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____</w:t>
      </w:r>
      <w:r>
        <w:rPr>
          <w:rFonts w:hint="eastAsia" w:asciiTheme="minorEastAsia" w:hAnsiTheme="minorEastAsia" w:eastAsiaTheme="minorEastAsia" w:cstheme="minorEastAsia"/>
          <w:sz w:val="24"/>
          <w:szCs w:val="24"/>
        </w:rPr>
        <w:t>日</w:t>
      </w:r>
    </w:p>
    <w:p>
      <w:pPr>
        <w:pStyle w:val="4"/>
        <w:spacing w:before="319" w:beforeLines="100" w:after="478" w:afterLines="150" w:line="500" w:lineRule="exact"/>
        <w:rPr>
          <w:rFonts w:hint="eastAsia" w:ascii="宋体" w:hAnsi="宋体" w:eastAsia="宋体" w:cs="宋体"/>
          <w:sz w:val="36"/>
          <w:szCs w:val="36"/>
          <w:lang w:eastAsia="zh-CN"/>
        </w:rPr>
      </w:pPr>
      <w:bookmarkStart w:id="158" w:name="_Toc1453"/>
      <w:bookmarkStart w:id="159" w:name="_Toc20806"/>
      <w:bookmarkStart w:id="160" w:name="_Toc7118"/>
      <w:r>
        <w:rPr>
          <w:rFonts w:hint="eastAsia" w:ascii="宋体" w:hAnsi="宋体" w:cs="宋体"/>
          <w:sz w:val="36"/>
          <w:szCs w:val="36"/>
        </w:rPr>
        <w:t xml:space="preserve">第二部分  </w:t>
      </w:r>
      <w:bookmarkEnd w:id="158"/>
      <w:r>
        <w:rPr>
          <w:rFonts w:hint="eastAsia" w:ascii="宋体" w:hAnsi="宋体" w:cs="宋体"/>
          <w:sz w:val="36"/>
          <w:szCs w:val="36"/>
          <w:lang w:eastAsia="zh-CN"/>
        </w:rPr>
        <w:t>报价一览表</w:t>
      </w:r>
      <w:bookmarkEnd w:id="159"/>
      <w:bookmarkEnd w:id="160"/>
    </w:p>
    <w:p>
      <w:pPr>
        <w:widowControl/>
        <w:wordWrap w:val="0"/>
        <w:spacing w:line="360" w:lineRule="auto"/>
        <w:jc w:val="left"/>
        <w:rPr>
          <w:rFonts w:hint="eastAsia" w:ascii="宋体" w:eastAsia="宋体" w:cs="宋体"/>
          <w:kern w:val="0"/>
          <w:sz w:val="24"/>
          <w:szCs w:val="24"/>
          <w:u w:val="single"/>
          <w:lang w:eastAsia="zh-CN"/>
        </w:rPr>
      </w:pPr>
      <w:r>
        <w:rPr>
          <w:rFonts w:hint="eastAsia" w:ascii="宋体" w:hAnsi="宋体" w:cs="宋体"/>
          <w:sz w:val="24"/>
        </w:rPr>
        <w:t>项目名称：</w:t>
      </w:r>
      <w:r>
        <w:rPr>
          <w:rFonts w:hint="eastAsia" w:ascii="宋体" w:hAnsi="宋体" w:cs="宋体"/>
          <w:sz w:val="24"/>
          <w:u w:val="single"/>
          <w:lang w:eastAsia="zh-CN"/>
        </w:rPr>
        <w:t>陕西科技大学实训楼有线无线网络建设项目</w:t>
      </w:r>
    </w:p>
    <w:p>
      <w:pPr>
        <w:kinsoku w:val="0"/>
        <w:spacing w:line="360" w:lineRule="auto"/>
        <w:jc w:val="left"/>
        <w:rPr>
          <w:rFonts w:hint="default" w:ascii="宋体" w:hAnsi="宋体" w:eastAsia="宋体" w:cs="宋体"/>
          <w:sz w:val="24"/>
          <w:lang w:val="en-US" w:eastAsia="zh-CN"/>
        </w:rPr>
      </w:pPr>
      <w:r>
        <w:rPr>
          <w:rFonts w:hint="eastAsia" w:ascii="宋体" w:hAnsi="宋体" w:cs="宋体"/>
          <w:sz w:val="24"/>
        </w:rPr>
        <w:t>单位：</w:t>
      </w:r>
      <w:r>
        <w:rPr>
          <w:rFonts w:hint="eastAsia" w:ascii="宋体" w:hAnsi="宋体" w:cs="宋体"/>
          <w:sz w:val="24"/>
          <w:szCs w:val="24"/>
        </w:rPr>
        <w:t>元</w:t>
      </w:r>
      <w:r>
        <w:rPr>
          <w:rFonts w:hint="eastAsia" w:ascii="宋体" w:hAnsi="宋体" w:cs="宋体"/>
          <w:sz w:val="24"/>
          <w:szCs w:val="24"/>
          <w:lang w:val="en-US" w:eastAsia="zh-CN"/>
        </w:rPr>
        <w:t xml:space="preserve">                                             </w:t>
      </w:r>
    </w:p>
    <w:tbl>
      <w:tblPr>
        <w:tblStyle w:val="24"/>
        <w:tblpPr w:leftFromText="180" w:rightFromText="180" w:vertAnchor="text" w:horzAnchor="margin" w:tblpXSpec="center" w:tblpY="95"/>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1"/>
        <w:gridCol w:w="1912"/>
        <w:gridCol w:w="231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2741" w:type="dxa"/>
            <w:tcBorders>
              <w:tl2br w:val="single" w:color="auto" w:sz="4" w:space="0"/>
            </w:tcBorders>
            <w:noWrap w:val="0"/>
            <w:vAlign w:val="top"/>
          </w:tcPr>
          <w:p>
            <w:pPr>
              <w:kinsoku w:val="0"/>
              <w:spacing w:line="480" w:lineRule="auto"/>
              <w:ind w:left="10" w:right="-199" w:rightChars="-95" w:firstLine="739" w:firstLineChars="308"/>
              <w:rPr>
                <w:rFonts w:ascii="宋体" w:hAnsi="宋体" w:cs="宋体"/>
                <w:sz w:val="24"/>
              </w:rPr>
            </w:pPr>
            <w:r>
              <w:rPr>
                <w:rFonts w:hint="eastAsia" w:ascii="宋体" w:hAnsi="宋体" w:cs="宋体"/>
                <w:sz w:val="24"/>
              </w:rPr>
              <w:t>报价内容</w:t>
            </w:r>
          </w:p>
          <w:p>
            <w:pPr>
              <w:kinsoku w:val="0"/>
              <w:spacing w:line="480" w:lineRule="auto"/>
              <w:ind w:left="10" w:right="-199" w:rightChars="-95" w:firstLine="501" w:firstLineChars="209"/>
              <w:rPr>
                <w:rFonts w:ascii="宋体" w:hAnsi="宋体" w:cs="宋体"/>
                <w:sz w:val="24"/>
              </w:rPr>
            </w:pPr>
          </w:p>
          <w:p>
            <w:pPr>
              <w:kinsoku w:val="0"/>
              <w:spacing w:line="480" w:lineRule="auto"/>
              <w:ind w:left="10" w:right="-199" w:rightChars="-95" w:firstLine="501" w:firstLineChars="209"/>
              <w:rPr>
                <w:rFonts w:ascii="宋体" w:hAnsi="宋体" w:cs="宋体"/>
                <w:sz w:val="24"/>
              </w:rPr>
            </w:pPr>
            <w:r>
              <w:rPr>
                <w:rFonts w:hint="eastAsia" w:ascii="宋体" w:hAnsi="宋体" w:cs="宋体"/>
                <w:sz w:val="24"/>
                <w:lang w:eastAsia="zh-CN"/>
              </w:rPr>
              <w:t>响应</w:t>
            </w:r>
            <w:r>
              <w:rPr>
                <w:rFonts w:hint="eastAsia" w:ascii="宋体" w:hAnsi="宋体" w:cs="宋体"/>
                <w:sz w:val="24"/>
              </w:rPr>
              <w:t>内容</w:t>
            </w:r>
          </w:p>
        </w:tc>
        <w:tc>
          <w:tcPr>
            <w:tcW w:w="1912" w:type="dxa"/>
            <w:noWrap w:val="0"/>
            <w:vAlign w:val="center"/>
          </w:tcPr>
          <w:p>
            <w:pPr>
              <w:kinsoku w:val="0"/>
              <w:spacing w:line="480" w:lineRule="auto"/>
              <w:ind w:right="-199" w:rightChars="-95"/>
              <w:jc w:val="center"/>
              <w:rPr>
                <w:rFonts w:ascii="宋体" w:hAnsi="宋体" w:cs="宋体"/>
                <w:sz w:val="24"/>
              </w:rPr>
            </w:pPr>
            <w:r>
              <w:rPr>
                <w:rFonts w:hint="eastAsia" w:ascii="宋体" w:hAnsi="宋体" w:cs="宋体"/>
                <w:sz w:val="24"/>
              </w:rPr>
              <w:t>总报价</w:t>
            </w:r>
          </w:p>
        </w:tc>
        <w:tc>
          <w:tcPr>
            <w:tcW w:w="2310" w:type="dxa"/>
            <w:noWrap w:val="0"/>
            <w:vAlign w:val="center"/>
          </w:tcPr>
          <w:p>
            <w:pPr>
              <w:kinsoku w:val="0"/>
              <w:ind w:right="-199" w:rightChars="-95"/>
              <w:jc w:val="center"/>
              <w:rPr>
                <w:rFonts w:hint="default" w:ascii="宋体" w:hAnsi="宋体" w:eastAsia="宋体" w:cs="宋体"/>
                <w:sz w:val="24"/>
                <w:lang w:val="en-US" w:eastAsia="zh-CN"/>
              </w:rPr>
            </w:pPr>
            <w:r>
              <w:rPr>
                <w:rFonts w:hint="eastAsia" w:ascii="宋体" w:hAnsi="宋体" w:eastAsia="宋体" w:cs="宋体"/>
                <w:sz w:val="24"/>
                <w:lang w:val="en-US" w:eastAsia="zh-CN"/>
              </w:rPr>
              <w:t>交货期</w:t>
            </w:r>
          </w:p>
        </w:tc>
        <w:tc>
          <w:tcPr>
            <w:tcW w:w="2075" w:type="dxa"/>
            <w:noWrap w:val="0"/>
            <w:vAlign w:val="center"/>
          </w:tcPr>
          <w:p>
            <w:pPr>
              <w:kinsoku w:val="0"/>
              <w:ind w:right="-199" w:rightChars="-95"/>
              <w:jc w:val="center"/>
              <w:rPr>
                <w:rFonts w:hint="eastAsia" w:ascii="宋体" w:hAnsi="宋体" w:eastAsia="宋体" w:cs="宋体"/>
                <w:sz w:val="24"/>
                <w:lang w:eastAsia="zh-CN"/>
              </w:rPr>
            </w:pPr>
            <w:r>
              <w:rPr>
                <w:rFonts w:hint="eastAsia" w:ascii="宋体" w:hAnsi="宋体" w:cs="宋体"/>
                <w:sz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2741" w:type="dxa"/>
            <w:noWrap w:val="0"/>
            <w:vAlign w:val="center"/>
          </w:tcPr>
          <w:p>
            <w:pPr>
              <w:kinsoku w:val="0"/>
              <w:ind w:right="59" w:rightChars="28"/>
              <w:jc w:val="center"/>
              <w:rPr>
                <w:rFonts w:ascii="宋体" w:hAnsi="宋体" w:cs="宋体"/>
                <w:sz w:val="24"/>
              </w:rPr>
            </w:pPr>
            <w:r>
              <w:rPr>
                <w:rFonts w:hint="eastAsia" w:ascii="宋体" w:hAnsi="宋体" w:cs="宋体"/>
                <w:sz w:val="24"/>
                <w:lang w:eastAsia="zh-CN"/>
              </w:rPr>
              <w:t>陕西科技大学实训楼有线无线网络建设项目</w:t>
            </w:r>
          </w:p>
        </w:tc>
        <w:tc>
          <w:tcPr>
            <w:tcW w:w="1912" w:type="dxa"/>
            <w:noWrap w:val="0"/>
            <w:vAlign w:val="center"/>
          </w:tcPr>
          <w:p>
            <w:pPr>
              <w:kinsoku w:val="0"/>
              <w:spacing w:line="480" w:lineRule="auto"/>
              <w:ind w:left="10" w:right="-199" w:rightChars="-95" w:firstLine="501" w:firstLineChars="209"/>
              <w:jc w:val="center"/>
              <w:rPr>
                <w:rFonts w:ascii="宋体" w:hAnsi="宋体" w:cs="宋体"/>
                <w:sz w:val="24"/>
              </w:rPr>
            </w:pPr>
          </w:p>
        </w:tc>
        <w:tc>
          <w:tcPr>
            <w:tcW w:w="2310" w:type="dxa"/>
            <w:noWrap w:val="0"/>
            <w:vAlign w:val="center"/>
          </w:tcPr>
          <w:p>
            <w:pPr>
              <w:kinsoku w:val="0"/>
              <w:spacing w:line="480" w:lineRule="auto"/>
              <w:ind w:left="10" w:right="-199" w:rightChars="-95" w:firstLine="501" w:firstLineChars="209"/>
              <w:jc w:val="center"/>
              <w:rPr>
                <w:rFonts w:ascii="宋体" w:hAnsi="宋体" w:cs="宋体"/>
                <w:sz w:val="24"/>
              </w:rPr>
            </w:pPr>
          </w:p>
        </w:tc>
        <w:tc>
          <w:tcPr>
            <w:tcW w:w="2075" w:type="dxa"/>
            <w:noWrap w:val="0"/>
            <w:vAlign w:val="center"/>
          </w:tcPr>
          <w:p>
            <w:pPr>
              <w:kinsoku w:val="0"/>
              <w:spacing w:line="480" w:lineRule="auto"/>
              <w:ind w:left="10" w:right="-199" w:rightChars="-95" w:firstLine="501" w:firstLineChars="209"/>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9038" w:type="dxa"/>
            <w:gridSpan w:val="4"/>
            <w:noWrap w:val="0"/>
            <w:vAlign w:val="top"/>
          </w:tcPr>
          <w:p>
            <w:pPr>
              <w:kinsoku w:val="0"/>
              <w:ind w:right="-199" w:rightChars="-95"/>
              <w:rPr>
                <w:rFonts w:hint="eastAsia" w:ascii="宋体" w:hAnsi="宋体" w:cs="宋体"/>
                <w:b/>
                <w:bCs/>
                <w:sz w:val="24"/>
                <w:szCs w:val="24"/>
              </w:rPr>
            </w:pPr>
          </w:p>
          <w:p>
            <w:pPr>
              <w:kinsoku w:val="0"/>
              <w:ind w:right="-199" w:rightChars="-95"/>
              <w:rPr>
                <w:rFonts w:hint="eastAsia" w:ascii="宋体" w:hAnsi="宋体" w:cs="宋体"/>
                <w:sz w:val="24"/>
              </w:rPr>
            </w:pPr>
            <w:r>
              <w:rPr>
                <w:rFonts w:hint="eastAsia" w:ascii="宋体" w:hAnsi="宋体" w:cs="宋体"/>
                <w:sz w:val="24"/>
              </w:rPr>
              <w:t>总报价：（大写）</w:t>
            </w:r>
            <w:r>
              <w:rPr>
                <w:rFonts w:hint="eastAsia" w:ascii="宋体" w:hAnsi="宋体" w:cs="宋体"/>
                <w:sz w:val="24"/>
                <w:lang w:val="en-US" w:eastAsia="zh-CN"/>
              </w:rPr>
              <w:t>________________</w:t>
            </w:r>
            <w:r>
              <w:rPr>
                <w:rFonts w:hint="eastAsia" w:ascii="宋体" w:hAnsi="宋体" w:cs="宋体"/>
                <w:sz w:val="24"/>
              </w:rPr>
              <w:t>（小写）</w:t>
            </w:r>
            <w:r>
              <w:rPr>
                <w:rFonts w:hint="eastAsia" w:ascii="宋体" w:hAnsi="宋体" w:cs="宋体"/>
                <w:sz w:val="24"/>
                <w:lang w:val="en-US" w:eastAsia="zh-CN"/>
              </w:rPr>
              <w:t>_________________</w:t>
            </w:r>
            <w:r>
              <w:rPr>
                <w:rFonts w:hint="eastAsia" w:ascii="宋体" w:hAnsi="宋体" w:cs="宋体"/>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9038" w:type="dxa"/>
            <w:gridSpan w:val="4"/>
            <w:noWrap w:val="0"/>
            <w:vAlign w:val="center"/>
          </w:tcPr>
          <w:p>
            <w:pPr>
              <w:kinsoku w:val="0"/>
              <w:ind w:right="-199" w:rightChars="-95"/>
              <w:rPr>
                <w:rFonts w:hint="eastAsia" w:ascii="宋体" w:hAnsi="宋体" w:cs="宋体"/>
                <w:b/>
                <w:bCs/>
                <w:sz w:val="24"/>
                <w:szCs w:val="24"/>
              </w:rPr>
            </w:pPr>
            <w:r>
              <w:rPr>
                <w:rFonts w:hint="eastAsia" w:ascii="宋体" w:hAnsi="宋体" w:cs="宋体"/>
                <w:b/>
                <w:bCs/>
                <w:sz w:val="24"/>
                <w:szCs w:val="24"/>
              </w:rPr>
              <w:t>报价以元为单位，精确到小数点后两位，不进行四舍五入。</w:t>
            </w:r>
          </w:p>
        </w:tc>
      </w:tr>
    </w:tbl>
    <w:p>
      <w:pPr>
        <w:adjustRightInd w:val="0"/>
        <w:snapToGrid w:val="0"/>
        <w:spacing w:line="480" w:lineRule="auto"/>
        <w:rPr>
          <w:rFonts w:ascii="宋体" w:hAnsi="宋体" w:cs="宋体"/>
          <w:sz w:val="24"/>
        </w:rPr>
      </w:pPr>
    </w:p>
    <w:p>
      <w:pPr>
        <w:adjustRightInd w:val="0"/>
        <w:snapToGrid w:val="0"/>
        <w:spacing w:line="480" w:lineRule="auto"/>
        <w:jc w:val="left"/>
        <w:rPr>
          <w:rFonts w:hint="default" w:ascii="宋体" w:hAnsi="宋体" w:eastAsia="宋体" w:cs="宋体"/>
          <w:sz w:val="24"/>
          <w:lang w:val="en-US" w:eastAsia="zh-CN"/>
        </w:rPr>
      </w:pPr>
      <w:r>
        <w:rPr>
          <w:rFonts w:hint="eastAsia" w:ascii="宋体" w:hAnsi="宋体" w:cs="宋体"/>
          <w:sz w:val="24"/>
        </w:rPr>
        <w:t>供应商（单位名称及公章）：</w:t>
      </w:r>
      <w:r>
        <w:rPr>
          <w:rFonts w:hint="eastAsia" w:ascii="宋体" w:hAnsi="宋体" w:cs="宋体"/>
          <w:sz w:val="24"/>
          <w:lang w:val="en-US" w:eastAsia="zh-CN"/>
        </w:rPr>
        <w:t>___________________________</w:t>
      </w:r>
    </w:p>
    <w:p>
      <w:pPr>
        <w:adjustRightInd w:val="0"/>
        <w:snapToGrid w:val="0"/>
        <w:spacing w:line="480" w:lineRule="auto"/>
        <w:jc w:val="left"/>
        <w:rPr>
          <w:rFonts w:hint="default" w:eastAsia="宋体"/>
          <w:lang w:val="en-US" w:eastAsia="zh-CN"/>
        </w:rPr>
      </w:pPr>
      <w:r>
        <w:rPr>
          <w:rFonts w:hint="eastAsia" w:ascii="宋体" w:hAnsi="宋体" w:cs="宋体"/>
          <w:sz w:val="24"/>
          <w:lang w:eastAsia="zh-CN"/>
        </w:rPr>
        <w:t>法定代表人或被授权人</w:t>
      </w:r>
      <w:r>
        <w:rPr>
          <w:rFonts w:hint="eastAsia" w:ascii="宋体" w:hAnsi="宋体" w:cs="宋体"/>
          <w:sz w:val="24"/>
        </w:rPr>
        <w:t>（签字或盖章）：</w:t>
      </w:r>
      <w:r>
        <w:rPr>
          <w:rFonts w:hint="eastAsia" w:ascii="宋体" w:hAnsi="宋体" w:cs="宋体"/>
          <w:sz w:val="24"/>
          <w:lang w:val="en-US" w:eastAsia="zh-CN"/>
        </w:rPr>
        <w:t>__________________</w:t>
      </w:r>
    </w:p>
    <w:p>
      <w:pPr>
        <w:adjustRightInd w:val="0"/>
        <w:snapToGrid w:val="0"/>
        <w:spacing w:line="480" w:lineRule="auto"/>
        <w:jc w:val="left"/>
        <w:rPr>
          <w:rFonts w:ascii="宋体" w:cs="宋体"/>
          <w:sz w:val="24"/>
        </w:rPr>
      </w:pPr>
      <w:r>
        <w:rPr>
          <w:rFonts w:hint="eastAsia" w:ascii="宋体" w:hAnsi="宋体" w:cs="宋体"/>
          <w:sz w:val="24"/>
          <w:lang w:val="en-US" w:eastAsia="zh-CN"/>
        </w:rPr>
        <w:t>时间：_______</w:t>
      </w:r>
      <w:r>
        <w:rPr>
          <w:rFonts w:hint="eastAsia" w:ascii="宋体" w:hAnsi="宋体" w:cs="宋体"/>
          <w:sz w:val="24"/>
        </w:rPr>
        <w:t>年</w:t>
      </w:r>
      <w:r>
        <w:rPr>
          <w:rFonts w:hint="eastAsia" w:ascii="宋体" w:hAnsi="宋体" w:cs="宋体"/>
          <w:sz w:val="24"/>
          <w:lang w:val="en-US" w:eastAsia="zh-CN"/>
        </w:rPr>
        <w:t>________</w:t>
      </w:r>
      <w:r>
        <w:rPr>
          <w:rFonts w:hint="eastAsia" w:ascii="宋体" w:hAnsi="宋体" w:cs="宋体"/>
          <w:sz w:val="24"/>
        </w:rPr>
        <w:t>月</w:t>
      </w:r>
      <w:r>
        <w:rPr>
          <w:rFonts w:hint="eastAsia" w:ascii="宋体" w:hAnsi="宋体" w:cs="宋体"/>
          <w:sz w:val="24"/>
          <w:lang w:val="en-US" w:eastAsia="zh-CN"/>
        </w:rPr>
        <w:t>_______</w:t>
      </w:r>
      <w:r>
        <w:rPr>
          <w:rFonts w:hint="eastAsia" w:ascii="宋体" w:hAnsi="宋体" w:cs="宋体"/>
          <w:sz w:val="24"/>
        </w:rPr>
        <w:t>日</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sz w:val="28"/>
          <w:szCs w:val="28"/>
        </w:rPr>
        <w:t>投标产品分项报价表</w:t>
      </w:r>
    </w:p>
    <w:p>
      <w:pPr>
        <w:widowControl/>
        <w:wordWrap w:val="0"/>
        <w:spacing w:line="360" w:lineRule="auto"/>
        <w:jc w:val="left"/>
        <w:rPr>
          <w:rFonts w:ascii="宋体" w:hAnsi="宋体" w:cs="宋体"/>
          <w:b/>
          <w:bCs/>
          <w:sz w:val="36"/>
          <w:szCs w:val="36"/>
        </w:rPr>
      </w:pPr>
      <w:r>
        <w:rPr>
          <w:rFonts w:hint="eastAsia" w:ascii="宋体" w:hAnsi="宋体" w:cs="宋体"/>
          <w:sz w:val="24"/>
          <w:szCs w:val="24"/>
        </w:rPr>
        <w:t>共</w:t>
      </w:r>
      <w:r>
        <w:rPr>
          <w:rFonts w:hint="eastAsia" w:ascii="宋体" w:hAnsi="宋体" w:cs="宋体"/>
          <w:sz w:val="21"/>
          <w:szCs w:val="21"/>
          <w:lang w:val="en-US" w:eastAsia="zh-CN"/>
        </w:rPr>
        <w:t>_________</w:t>
      </w:r>
      <w:r>
        <w:rPr>
          <w:rFonts w:hint="eastAsia" w:ascii="宋体" w:hAnsi="宋体" w:cs="宋体"/>
          <w:sz w:val="24"/>
          <w:szCs w:val="24"/>
        </w:rPr>
        <w:t>页，第</w:t>
      </w:r>
      <w:r>
        <w:rPr>
          <w:rFonts w:hint="eastAsia" w:ascii="宋体" w:hAnsi="宋体" w:cs="宋体"/>
          <w:sz w:val="21"/>
          <w:szCs w:val="21"/>
          <w:lang w:val="en-US" w:eastAsia="zh-CN"/>
        </w:rPr>
        <w:t>_________</w:t>
      </w:r>
      <w:r>
        <w:rPr>
          <w:rFonts w:hint="eastAsia" w:ascii="宋体" w:hAnsi="宋体" w:cs="宋体"/>
          <w:sz w:val="24"/>
          <w:szCs w:val="24"/>
        </w:rPr>
        <w:t>页</w:t>
      </w:r>
    </w:p>
    <w:tbl>
      <w:tblPr>
        <w:tblStyle w:val="24"/>
        <w:tblpPr w:leftFromText="180" w:rightFromText="180" w:vertAnchor="text" w:horzAnchor="page" w:tblpX="1534" w:tblpY="373"/>
        <w:tblOverlap w:val="never"/>
        <w:tblW w:w="8496" w:type="dxa"/>
        <w:tblInd w:w="0" w:type="dxa"/>
        <w:tblLayout w:type="fixed"/>
        <w:tblCellMar>
          <w:top w:w="0" w:type="dxa"/>
          <w:left w:w="28" w:type="dxa"/>
          <w:bottom w:w="0" w:type="dxa"/>
          <w:right w:w="28" w:type="dxa"/>
        </w:tblCellMar>
      </w:tblPr>
      <w:tblGrid>
        <w:gridCol w:w="1076"/>
        <w:gridCol w:w="497"/>
        <w:gridCol w:w="740"/>
        <w:gridCol w:w="551"/>
        <w:gridCol w:w="903"/>
        <w:gridCol w:w="1472"/>
        <w:gridCol w:w="907"/>
        <w:gridCol w:w="1269"/>
        <w:gridCol w:w="1081"/>
      </w:tblGrid>
      <w:tr>
        <w:tblPrEx>
          <w:tblCellMar>
            <w:top w:w="0" w:type="dxa"/>
            <w:left w:w="28" w:type="dxa"/>
            <w:bottom w:w="0" w:type="dxa"/>
            <w:right w:w="28" w:type="dxa"/>
          </w:tblCellMar>
        </w:tblPrEx>
        <w:trPr>
          <w:trHeight w:val="936" w:hRule="atLeast"/>
        </w:trPr>
        <w:tc>
          <w:tcPr>
            <w:tcW w:w="1076" w:type="dxa"/>
            <w:vMerge w:val="restart"/>
            <w:tcBorders>
              <w:top w:val="single" w:color="auto" w:sz="6" w:space="0"/>
              <w:left w:val="single" w:color="auto" w:sz="6"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产品费用</w:t>
            </w:r>
          </w:p>
        </w:tc>
        <w:tc>
          <w:tcPr>
            <w:tcW w:w="497" w:type="dxa"/>
            <w:tcBorders>
              <w:top w:val="single" w:color="auto" w:sz="6" w:space="0"/>
              <w:left w:val="single" w:color="auto" w:sz="4" w:space="0"/>
              <w:bottom w:val="single" w:color="auto" w:sz="6" w:space="0"/>
            </w:tcBorders>
            <w:noWrap w:val="0"/>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序号</w:t>
            </w:r>
          </w:p>
        </w:tc>
        <w:tc>
          <w:tcPr>
            <w:tcW w:w="740"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名称</w:t>
            </w:r>
          </w:p>
        </w:tc>
        <w:tc>
          <w:tcPr>
            <w:tcW w:w="551" w:type="dxa"/>
            <w:tcBorders>
              <w:top w:val="single" w:color="auto" w:sz="6" w:space="0"/>
              <w:left w:val="single" w:color="auto" w:sz="6" w:space="0"/>
              <w:bottom w:val="single" w:color="auto" w:sz="6" w:space="0"/>
              <w:right w:val="single" w:color="auto" w:sz="4" w:space="0"/>
            </w:tcBorders>
            <w:noWrap w:val="0"/>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品牌</w:t>
            </w:r>
          </w:p>
        </w:tc>
        <w:tc>
          <w:tcPr>
            <w:tcW w:w="903" w:type="dxa"/>
            <w:tcBorders>
              <w:top w:val="single" w:color="auto" w:sz="6" w:space="0"/>
              <w:left w:val="single" w:color="auto" w:sz="4" w:space="0"/>
              <w:bottom w:val="single" w:color="auto" w:sz="6" w:space="0"/>
              <w:right w:val="single" w:color="auto" w:sz="6" w:space="0"/>
            </w:tcBorders>
            <w:noWrap w:val="0"/>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型号和规格</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spacing w:before="159" w:beforeLines="50" w:after="120"/>
              <w:jc w:val="center"/>
              <w:rPr>
                <w:rFonts w:hint="eastAsia" w:ascii="宋体" w:hAnsi="宋体" w:eastAsia="宋体" w:cs="宋体"/>
                <w:sz w:val="24"/>
                <w:szCs w:val="24"/>
              </w:rPr>
            </w:pPr>
            <w:r>
              <w:rPr>
                <w:rFonts w:hint="eastAsia" w:ascii="宋体" w:hAnsi="宋体" w:eastAsia="宋体" w:cs="宋体"/>
                <w:sz w:val="24"/>
                <w:szCs w:val="24"/>
              </w:rPr>
              <w:t>原产地及制造厂名</w:t>
            </w:r>
          </w:p>
        </w:tc>
        <w:tc>
          <w:tcPr>
            <w:tcW w:w="9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269"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单价</w:t>
            </w:r>
          </w:p>
          <w:p>
            <w:pPr>
              <w:spacing w:after="120"/>
              <w:jc w:val="center"/>
              <w:rPr>
                <w:rFonts w:hint="eastAsia" w:ascii="宋体" w:hAnsi="宋体" w:eastAsia="宋体" w:cs="宋体"/>
                <w:sz w:val="24"/>
                <w:szCs w:val="24"/>
              </w:rPr>
            </w:pPr>
            <w:r>
              <w:rPr>
                <w:rFonts w:hint="eastAsia" w:ascii="宋体" w:hAnsi="宋体" w:eastAsia="宋体" w:cs="宋体"/>
                <w:sz w:val="24"/>
                <w:szCs w:val="24"/>
              </w:rPr>
              <w:t>（元）</w:t>
            </w:r>
          </w:p>
        </w:tc>
        <w:tc>
          <w:tcPr>
            <w:tcW w:w="108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总价</w:t>
            </w:r>
          </w:p>
          <w:p>
            <w:pPr>
              <w:spacing w:after="120"/>
              <w:jc w:val="center"/>
              <w:rPr>
                <w:rFonts w:hint="eastAsia" w:ascii="宋体" w:hAnsi="宋体" w:eastAsia="宋体" w:cs="宋体"/>
                <w:sz w:val="24"/>
                <w:szCs w:val="24"/>
              </w:rPr>
            </w:pPr>
            <w:r>
              <w:rPr>
                <w:rFonts w:hint="eastAsia" w:ascii="宋体" w:hAnsi="宋体" w:eastAsia="宋体" w:cs="宋体"/>
                <w:sz w:val="24"/>
                <w:szCs w:val="24"/>
              </w:rPr>
              <w:t>（元）</w:t>
            </w:r>
          </w:p>
        </w:tc>
      </w:tr>
      <w:tr>
        <w:tblPrEx>
          <w:tblCellMar>
            <w:top w:w="0" w:type="dxa"/>
            <w:left w:w="28" w:type="dxa"/>
            <w:bottom w:w="0" w:type="dxa"/>
            <w:right w:w="28" w:type="dxa"/>
          </w:tblCellMar>
        </w:tblPrEx>
        <w:trPr>
          <w:trHeight w:val="655" w:hRule="atLeast"/>
        </w:trPr>
        <w:tc>
          <w:tcPr>
            <w:tcW w:w="1076" w:type="dxa"/>
            <w:vMerge w:val="continue"/>
            <w:tcBorders>
              <w:left w:val="single" w:color="auto" w:sz="6" w:space="0"/>
              <w:right w:val="single" w:color="auto" w:sz="4" w:space="0"/>
            </w:tcBorders>
            <w:noWrap w:val="0"/>
            <w:vAlign w:val="center"/>
          </w:tcPr>
          <w:p>
            <w:pPr>
              <w:spacing w:before="319" w:beforeLines="100"/>
              <w:jc w:val="center"/>
              <w:rPr>
                <w:rFonts w:hint="eastAsia" w:ascii="宋体" w:hAnsi="宋体" w:eastAsia="宋体" w:cs="宋体"/>
                <w:sz w:val="24"/>
                <w:szCs w:val="24"/>
              </w:rPr>
            </w:pPr>
          </w:p>
        </w:tc>
        <w:tc>
          <w:tcPr>
            <w:tcW w:w="497" w:type="dxa"/>
            <w:tcBorders>
              <w:top w:val="single" w:color="auto" w:sz="6" w:space="0"/>
              <w:left w:val="single" w:color="auto" w:sz="4" w:space="0"/>
              <w:bottom w:val="single" w:color="auto" w:sz="4" w:space="0"/>
            </w:tcBorders>
            <w:noWrap w:val="0"/>
            <w:vAlign w:val="center"/>
          </w:tcPr>
          <w:p>
            <w:pPr>
              <w:spacing w:before="319" w:beforeLines="100"/>
              <w:jc w:val="center"/>
              <w:rPr>
                <w:rFonts w:hint="eastAsia" w:ascii="宋体" w:hAnsi="宋体" w:eastAsia="宋体" w:cs="宋体"/>
                <w:sz w:val="24"/>
                <w:szCs w:val="24"/>
              </w:rPr>
            </w:pPr>
            <w:r>
              <w:rPr>
                <w:rFonts w:hint="eastAsia" w:ascii="宋体" w:hAnsi="宋体" w:eastAsia="宋体" w:cs="宋体"/>
                <w:sz w:val="24"/>
                <w:szCs w:val="24"/>
              </w:rPr>
              <w:t>1</w:t>
            </w:r>
          </w:p>
        </w:tc>
        <w:tc>
          <w:tcPr>
            <w:tcW w:w="740"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551" w:type="dxa"/>
            <w:tcBorders>
              <w:top w:val="single" w:color="auto" w:sz="6" w:space="0"/>
              <w:left w:val="single" w:color="auto" w:sz="6" w:space="0"/>
              <w:bottom w:val="single" w:color="auto" w:sz="4" w:space="0"/>
              <w:right w:val="single" w:color="auto" w:sz="4" w:space="0"/>
            </w:tcBorders>
            <w:noWrap w:val="0"/>
            <w:vAlign w:val="center"/>
          </w:tcPr>
          <w:p>
            <w:pPr>
              <w:spacing w:before="159" w:beforeLines="50"/>
              <w:jc w:val="center"/>
              <w:rPr>
                <w:rFonts w:hint="eastAsia" w:ascii="宋体" w:hAnsi="宋体" w:eastAsia="宋体" w:cs="宋体"/>
                <w:sz w:val="24"/>
                <w:szCs w:val="24"/>
              </w:rPr>
            </w:pPr>
          </w:p>
        </w:tc>
        <w:tc>
          <w:tcPr>
            <w:tcW w:w="903" w:type="dxa"/>
            <w:tcBorders>
              <w:top w:val="single" w:color="auto" w:sz="6" w:space="0"/>
              <w:left w:val="single" w:color="auto" w:sz="4" w:space="0"/>
              <w:bottom w:val="single" w:color="auto" w:sz="4"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472"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907"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269"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081"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50" w:hRule="atLeast"/>
        </w:trPr>
        <w:tc>
          <w:tcPr>
            <w:tcW w:w="1076" w:type="dxa"/>
            <w:vMerge w:val="continue"/>
            <w:tcBorders>
              <w:left w:val="single" w:color="auto" w:sz="6" w:space="0"/>
              <w:right w:val="single" w:color="auto" w:sz="4" w:space="0"/>
            </w:tcBorders>
            <w:noWrap w:val="0"/>
            <w:vAlign w:val="center"/>
          </w:tcPr>
          <w:p>
            <w:pPr>
              <w:spacing w:before="319" w:beforeLines="100"/>
              <w:jc w:val="center"/>
              <w:rPr>
                <w:rFonts w:hint="eastAsia" w:ascii="宋体" w:hAnsi="宋体" w:eastAsia="宋体" w:cs="宋体"/>
                <w:sz w:val="24"/>
                <w:szCs w:val="24"/>
              </w:rPr>
            </w:pPr>
          </w:p>
        </w:tc>
        <w:tc>
          <w:tcPr>
            <w:tcW w:w="497" w:type="dxa"/>
            <w:tcBorders>
              <w:top w:val="single" w:color="auto" w:sz="4" w:space="0"/>
              <w:left w:val="single" w:color="auto" w:sz="4" w:space="0"/>
              <w:bottom w:val="single" w:color="auto" w:sz="6" w:space="0"/>
            </w:tcBorders>
            <w:noWrap w:val="0"/>
            <w:vAlign w:val="center"/>
          </w:tcPr>
          <w:p>
            <w:pPr>
              <w:spacing w:before="319" w:beforeLines="100"/>
              <w:jc w:val="center"/>
              <w:rPr>
                <w:rFonts w:hint="eastAsia" w:ascii="宋体" w:hAnsi="宋体" w:eastAsia="宋体" w:cs="宋体"/>
                <w:sz w:val="24"/>
                <w:szCs w:val="24"/>
              </w:rPr>
            </w:pPr>
            <w:r>
              <w:rPr>
                <w:rFonts w:hint="eastAsia" w:ascii="宋体" w:hAnsi="宋体" w:eastAsia="宋体" w:cs="宋体"/>
                <w:sz w:val="24"/>
                <w:szCs w:val="24"/>
              </w:rPr>
              <w:t>2</w:t>
            </w:r>
          </w:p>
        </w:tc>
        <w:tc>
          <w:tcPr>
            <w:tcW w:w="740" w:type="dxa"/>
            <w:tcBorders>
              <w:top w:val="single" w:color="auto" w:sz="4" w:space="0"/>
              <w:left w:val="single" w:color="auto" w:sz="6" w:space="0"/>
              <w:bottom w:val="single" w:color="auto" w:sz="6" w:space="0"/>
              <w:right w:val="single" w:color="auto" w:sz="6" w:space="0"/>
            </w:tcBorders>
            <w:noWrap w:val="0"/>
            <w:vAlign w:val="center"/>
          </w:tcPr>
          <w:p>
            <w:pPr>
              <w:spacing w:before="319" w:beforeLines="100"/>
              <w:jc w:val="center"/>
              <w:rPr>
                <w:rFonts w:hint="eastAsia" w:ascii="宋体" w:hAnsi="宋体" w:eastAsia="宋体" w:cs="宋体"/>
                <w:sz w:val="24"/>
                <w:szCs w:val="24"/>
              </w:rPr>
            </w:pPr>
          </w:p>
        </w:tc>
        <w:tc>
          <w:tcPr>
            <w:tcW w:w="551"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hint="eastAsia" w:ascii="宋体" w:hAnsi="宋体" w:eastAsia="宋体" w:cs="宋体"/>
                <w:sz w:val="24"/>
                <w:szCs w:val="24"/>
              </w:rPr>
            </w:pPr>
          </w:p>
        </w:tc>
        <w:tc>
          <w:tcPr>
            <w:tcW w:w="90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472"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907"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269"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081"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55" w:hRule="atLeast"/>
        </w:trPr>
        <w:tc>
          <w:tcPr>
            <w:tcW w:w="1076" w:type="dxa"/>
            <w:vMerge w:val="continue"/>
            <w:tcBorders>
              <w:left w:val="single" w:color="auto" w:sz="6" w:space="0"/>
              <w:right w:val="single" w:color="auto" w:sz="4" w:space="0"/>
            </w:tcBorders>
            <w:noWrap w:val="0"/>
            <w:vAlign w:val="center"/>
          </w:tcPr>
          <w:p>
            <w:pPr>
              <w:spacing w:before="319" w:beforeLines="100"/>
              <w:jc w:val="center"/>
              <w:rPr>
                <w:rFonts w:hint="eastAsia" w:ascii="宋体" w:hAnsi="宋体" w:eastAsia="宋体" w:cs="宋体"/>
                <w:sz w:val="24"/>
                <w:szCs w:val="24"/>
              </w:rPr>
            </w:pPr>
          </w:p>
        </w:tc>
        <w:tc>
          <w:tcPr>
            <w:tcW w:w="497" w:type="dxa"/>
            <w:tcBorders>
              <w:top w:val="single" w:color="auto" w:sz="4" w:space="0"/>
              <w:left w:val="single" w:color="auto" w:sz="4" w:space="0"/>
              <w:bottom w:val="single" w:color="auto" w:sz="6" w:space="0"/>
            </w:tcBorders>
            <w:noWrap w:val="0"/>
            <w:vAlign w:val="center"/>
          </w:tcPr>
          <w:p>
            <w:pPr>
              <w:spacing w:before="319" w:beforeLines="100"/>
              <w:jc w:val="center"/>
              <w:rPr>
                <w:rFonts w:hint="eastAsia" w:ascii="宋体" w:hAnsi="宋体" w:eastAsia="宋体" w:cs="宋体"/>
                <w:sz w:val="24"/>
                <w:szCs w:val="24"/>
              </w:rPr>
            </w:pPr>
            <w:r>
              <w:rPr>
                <w:rFonts w:hint="eastAsia" w:ascii="宋体" w:hAnsi="宋体" w:eastAsia="宋体" w:cs="宋体"/>
                <w:sz w:val="24"/>
                <w:szCs w:val="24"/>
              </w:rPr>
              <w:t>3</w:t>
            </w:r>
          </w:p>
        </w:tc>
        <w:tc>
          <w:tcPr>
            <w:tcW w:w="740" w:type="dxa"/>
            <w:tcBorders>
              <w:top w:val="single" w:color="auto" w:sz="4" w:space="0"/>
              <w:left w:val="single" w:color="auto" w:sz="6" w:space="0"/>
              <w:bottom w:val="single" w:color="auto" w:sz="6" w:space="0"/>
              <w:right w:val="single" w:color="auto" w:sz="6" w:space="0"/>
            </w:tcBorders>
            <w:noWrap w:val="0"/>
            <w:vAlign w:val="center"/>
          </w:tcPr>
          <w:p>
            <w:pPr>
              <w:spacing w:before="319" w:beforeLines="100"/>
              <w:jc w:val="center"/>
              <w:rPr>
                <w:rFonts w:hint="eastAsia" w:ascii="宋体" w:hAnsi="宋体" w:eastAsia="宋体" w:cs="宋体"/>
                <w:sz w:val="24"/>
                <w:szCs w:val="24"/>
              </w:rPr>
            </w:pPr>
          </w:p>
        </w:tc>
        <w:tc>
          <w:tcPr>
            <w:tcW w:w="551"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hint="eastAsia" w:ascii="宋体" w:hAnsi="宋体" w:eastAsia="宋体" w:cs="宋体"/>
                <w:sz w:val="24"/>
                <w:szCs w:val="24"/>
              </w:rPr>
            </w:pPr>
          </w:p>
        </w:tc>
        <w:tc>
          <w:tcPr>
            <w:tcW w:w="90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472"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907"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269"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081"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55" w:hRule="atLeast"/>
        </w:trPr>
        <w:tc>
          <w:tcPr>
            <w:tcW w:w="1076" w:type="dxa"/>
            <w:vMerge w:val="continue"/>
            <w:tcBorders>
              <w:left w:val="single" w:color="auto" w:sz="6" w:space="0"/>
              <w:right w:val="single" w:color="auto" w:sz="4" w:space="0"/>
            </w:tcBorders>
            <w:noWrap w:val="0"/>
            <w:vAlign w:val="center"/>
          </w:tcPr>
          <w:p>
            <w:pPr>
              <w:spacing w:before="319" w:beforeLines="100"/>
              <w:jc w:val="center"/>
              <w:rPr>
                <w:rFonts w:hint="eastAsia" w:ascii="宋体" w:hAnsi="宋体" w:eastAsia="宋体" w:cs="宋体"/>
                <w:sz w:val="24"/>
                <w:szCs w:val="24"/>
              </w:rPr>
            </w:pPr>
          </w:p>
        </w:tc>
        <w:tc>
          <w:tcPr>
            <w:tcW w:w="497" w:type="dxa"/>
            <w:tcBorders>
              <w:top w:val="single" w:color="auto" w:sz="4" w:space="0"/>
              <w:left w:val="single" w:color="auto" w:sz="4" w:space="0"/>
              <w:bottom w:val="single" w:color="auto" w:sz="6" w:space="0"/>
            </w:tcBorders>
            <w:noWrap w:val="0"/>
            <w:vAlign w:val="center"/>
          </w:tcPr>
          <w:p>
            <w:pPr>
              <w:spacing w:before="319" w:beforeLines="100"/>
              <w:jc w:val="center"/>
              <w:rPr>
                <w:rFonts w:hint="eastAsia" w:ascii="宋体" w:hAnsi="宋体" w:eastAsia="宋体" w:cs="宋体"/>
                <w:sz w:val="24"/>
                <w:szCs w:val="24"/>
              </w:rPr>
            </w:pPr>
            <w:r>
              <w:rPr>
                <w:rFonts w:hint="eastAsia" w:ascii="宋体" w:hAnsi="宋体" w:eastAsia="宋体" w:cs="宋体"/>
                <w:sz w:val="24"/>
                <w:szCs w:val="24"/>
              </w:rPr>
              <w:t>……</w:t>
            </w:r>
          </w:p>
        </w:tc>
        <w:tc>
          <w:tcPr>
            <w:tcW w:w="740"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551"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hint="eastAsia" w:ascii="宋体" w:hAnsi="宋体" w:eastAsia="宋体" w:cs="宋体"/>
                <w:sz w:val="24"/>
                <w:szCs w:val="24"/>
              </w:rPr>
            </w:pPr>
          </w:p>
        </w:tc>
        <w:tc>
          <w:tcPr>
            <w:tcW w:w="90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472"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907"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269"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081"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55" w:hRule="atLeast"/>
        </w:trPr>
        <w:tc>
          <w:tcPr>
            <w:tcW w:w="1076" w:type="dxa"/>
            <w:vMerge w:val="continue"/>
            <w:tcBorders>
              <w:left w:val="single" w:color="auto" w:sz="6" w:space="0"/>
              <w:bottom w:val="single" w:color="auto" w:sz="6" w:space="0"/>
              <w:right w:val="single" w:color="auto" w:sz="4" w:space="0"/>
            </w:tcBorders>
            <w:noWrap w:val="0"/>
            <w:vAlign w:val="center"/>
          </w:tcPr>
          <w:p>
            <w:pPr>
              <w:spacing w:before="319" w:beforeLines="100"/>
              <w:jc w:val="center"/>
              <w:rPr>
                <w:rFonts w:hint="eastAsia" w:ascii="宋体" w:hAnsi="宋体" w:eastAsia="宋体" w:cs="宋体"/>
                <w:sz w:val="24"/>
                <w:szCs w:val="24"/>
              </w:rPr>
            </w:pPr>
          </w:p>
        </w:tc>
        <w:tc>
          <w:tcPr>
            <w:tcW w:w="497" w:type="dxa"/>
            <w:tcBorders>
              <w:top w:val="single" w:color="auto" w:sz="4" w:space="0"/>
              <w:left w:val="single" w:color="auto" w:sz="4" w:space="0"/>
              <w:bottom w:val="single" w:color="auto" w:sz="6" w:space="0"/>
            </w:tcBorders>
            <w:noWrap w:val="0"/>
            <w:vAlign w:val="center"/>
          </w:tcPr>
          <w:p>
            <w:pPr>
              <w:spacing w:before="319" w:beforeLines="100"/>
              <w:jc w:val="center"/>
              <w:rPr>
                <w:rFonts w:hint="eastAsia" w:ascii="宋体" w:hAnsi="宋体" w:eastAsia="宋体" w:cs="宋体"/>
                <w:b/>
                <w:bCs/>
                <w:sz w:val="24"/>
                <w:szCs w:val="24"/>
              </w:rPr>
            </w:pPr>
            <w:r>
              <w:rPr>
                <w:rFonts w:hint="eastAsia" w:ascii="宋体" w:hAnsi="宋体" w:eastAsia="宋体" w:cs="宋体"/>
                <w:sz w:val="24"/>
                <w:szCs w:val="24"/>
              </w:rPr>
              <w:t>……</w:t>
            </w:r>
          </w:p>
        </w:tc>
        <w:tc>
          <w:tcPr>
            <w:tcW w:w="740"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551"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hint="eastAsia" w:ascii="宋体" w:hAnsi="宋体" w:eastAsia="宋体" w:cs="宋体"/>
                <w:sz w:val="24"/>
                <w:szCs w:val="24"/>
              </w:rPr>
            </w:pPr>
          </w:p>
        </w:tc>
        <w:tc>
          <w:tcPr>
            <w:tcW w:w="90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472"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907"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269"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c>
          <w:tcPr>
            <w:tcW w:w="1081"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16" w:hRule="atLeast"/>
        </w:trPr>
        <w:tc>
          <w:tcPr>
            <w:tcW w:w="2313" w:type="dxa"/>
            <w:gridSpan w:val="3"/>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安装调试费</w:t>
            </w:r>
          </w:p>
        </w:tc>
        <w:tc>
          <w:tcPr>
            <w:tcW w:w="6183" w:type="dxa"/>
            <w:gridSpan w:val="6"/>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r>
              <w:rPr>
                <w:rFonts w:hint="eastAsia" w:ascii="宋体" w:hAnsi="宋体" w:eastAsia="宋体" w:cs="宋体"/>
                <w:sz w:val="24"/>
                <w:szCs w:val="24"/>
              </w:rPr>
              <w:t>……</w:t>
            </w:r>
          </w:p>
        </w:tc>
      </w:tr>
      <w:tr>
        <w:tblPrEx>
          <w:tblCellMar>
            <w:top w:w="0" w:type="dxa"/>
            <w:left w:w="28" w:type="dxa"/>
            <w:bottom w:w="0" w:type="dxa"/>
            <w:right w:w="28" w:type="dxa"/>
          </w:tblCellMar>
        </w:tblPrEx>
        <w:trPr>
          <w:trHeight w:val="616" w:hRule="atLeast"/>
        </w:trPr>
        <w:tc>
          <w:tcPr>
            <w:tcW w:w="2313" w:type="dxa"/>
            <w:gridSpan w:val="3"/>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运杂费</w:t>
            </w:r>
          </w:p>
        </w:tc>
        <w:tc>
          <w:tcPr>
            <w:tcW w:w="6183" w:type="dxa"/>
            <w:gridSpan w:val="6"/>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CellMar>
            <w:top w:w="0" w:type="dxa"/>
            <w:left w:w="28" w:type="dxa"/>
            <w:bottom w:w="0" w:type="dxa"/>
            <w:right w:w="28" w:type="dxa"/>
          </w:tblCellMar>
        </w:tblPrEx>
        <w:trPr>
          <w:trHeight w:val="616" w:hRule="atLeast"/>
        </w:trPr>
        <w:tc>
          <w:tcPr>
            <w:tcW w:w="2313" w:type="dxa"/>
            <w:gridSpan w:val="3"/>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其他费用</w:t>
            </w:r>
          </w:p>
        </w:tc>
        <w:tc>
          <w:tcPr>
            <w:tcW w:w="6183" w:type="dxa"/>
            <w:gridSpan w:val="6"/>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CellMar>
            <w:top w:w="0" w:type="dxa"/>
            <w:left w:w="28" w:type="dxa"/>
            <w:bottom w:w="0" w:type="dxa"/>
            <w:right w:w="28" w:type="dxa"/>
          </w:tblCellMar>
        </w:tblPrEx>
        <w:trPr>
          <w:trHeight w:val="616" w:hRule="atLeast"/>
        </w:trPr>
        <w:tc>
          <w:tcPr>
            <w:tcW w:w="2313" w:type="dxa"/>
            <w:gridSpan w:val="3"/>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6183" w:type="dxa"/>
            <w:gridSpan w:val="6"/>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CellMar>
            <w:top w:w="0" w:type="dxa"/>
            <w:left w:w="28" w:type="dxa"/>
            <w:bottom w:w="0" w:type="dxa"/>
            <w:right w:w="28" w:type="dxa"/>
          </w:tblCellMar>
        </w:tblPrEx>
        <w:trPr>
          <w:trHeight w:val="616" w:hRule="atLeast"/>
        </w:trPr>
        <w:tc>
          <w:tcPr>
            <w:tcW w:w="1573" w:type="dxa"/>
            <w:gridSpan w:val="2"/>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投标总报价</w:t>
            </w:r>
          </w:p>
        </w:tc>
        <w:tc>
          <w:tcPr>
            <w:tcW w:w="6923" w:type="dxa"/>
            <w:gridSpan w:val="7"/>
            <w:tcBorders>
              <w:top w:val="single" w:color="auto" w:sz="4" w:space="0"/>
              <w:left w:val="single" w:color="auto" w:sz="6" w:space="0"/>
              <w:bottom w:val="single" w:color="auto" w:sz="6" w:space="0"/>
              <w:right w:val="single" w:color="auto" w:sz="6" w:space="0"/>
            </w:tcBorders>
            <w:noWrap w:val="0"/>
            <w:vAlign w:val="center"/>
          </w:tcPr>
          <w:p>
            <w:pPr>
              <w:spacing w:before="159" w:beforeLines="50"/>
              <w:jc w:val="left"/>
              <w:rPr>
                <w:rFonts w:hint="eastAsia" w:ascii="宋体" w:hAnsi="宋体" w:eastAsia="宋体" w:cs="宋体"/>
                <w:sz w:val="24"/>
                <w:szCs w:val="24"/>
              </w:rPr>
            </w:pPr>
            <w:r>
              <w:rPr>
                <w:rFonts w:hint="eastAsia" w:ascii="宋体" w:hAnsi="宋体" w:eastAsia="宋体" w:cs="宋体"/>
                <w:sz w:val="24"/>
                <w:szCs w:val="24"/>
              </w:rPr>
              <w:t>大写：                       小写：</w:t>
            </w:r>
          </w:p>
        </w:tc>
      </w:tr>
      <w:tr>
        <w:tblPrEx>
          <w:tblCellMar>
            <w:top w:w="0" w:type="dxa"/>
            <w:left w:w="28" w:type="dxa"/>
            <w:bottom w:w="0" w:type="dxa"/>
            <w:right w:w="28" w:type="dxa"/>
          </w:tblCellMar>
        </w:tblPrEx>
        <w:trPr>
          <w:trHeight w:val="631" w:hRule="atLeast"/>
        </w:trPr>
        <w:tc>
          <w:tcPr>
            <w:tcW w:w="1573" w:type="dxa"/>
            <w:gridSpan w:val="2"/>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c>
          <w:tcPr>
            <w:tcW w:w="6923" w:type="dxa"/>
            <w:gridSpan w:val="7"/>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hint="eastAsia" w:ascii="宋体" w:hAnsi="宋体" w:eastAsia="宋体" w:cs="宋体"/>
                <w:sz w:val="24"/>
                <w:szCs w:val="24"/>
              </w:rPr>
            </w:pPr>
            <w:r>
              <w:rPr>
                <w:rFonts w:hint="eastAsia" w:ascii="宋体" w:hAnsi="宋体" w:eastAsia="宋体" w:cs="宋体"/>
                <w:spacing w:val="-6"/>
                <w:sz w:val="24"/>
                <w:szCs w:val="24"/>
              </w:rPr>
              <w:t>保留小数点后两位。</w:t>
            </w:r>
          </w:p>
        </w:tc>
      </w:tr>
    </w:tbl>
    <w:p>
      <w:pPr>
        <w:adjustRightInd w:val="0"/>
        <w:snapToGrid w:val="0"/>
        <w:spacing w:line="360" w:lineRule="auto"/>
        <w:jc w:val="left"/>
        <w:rPr>
          <w:rFonts w:hint="eastAsia" w:ascii="宋体" w:hAnsi="宋体" w:cs="宋体"/>
          <w:sz w:val="24"/>
          <w:szCs w:val="24"/>
        </w:rPr>
      </w:pPr>
    </w:p>
    <w:p>
      <w:pPr>
        <w:adjustRightInd w:val="0"/>
        <w:snapToGrid w:val="0"/>
        <w:spacing w:line="36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1"/>
          <w:szCs w:val="21"/>
          <w:lang w:val="en-US" w:eastAsia="zh-CN"/>
        </w:rPr>
        <w:t>________________________________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法定代表</w:t>
      </w:r>
      <w:r>
        <w:rPr>
          <w:rFonts w:hint="eastAsia" w:ascii="宋体" w:hAnsi="宋体" w:cs="宋体"/>
          <w:sz w:val="24"/>
          <w:szCs w:val="24"/>
          <w:lang w:eastAsia="zh-CN"/>
        </w:rPr>
        <w:t>人或</w:t>
      </w:r>
      <w:r>
        <w:rPr>
          <w:rFonts w:hint="eastAsia" w:ascii="宋体" w:hAnsi="宋体" w:cs="宋体"/>
          <w:sz w:val="24"/>
          <w:szCs w:val="24"/>
        </w:rPr>
        <w:t>被授权人（签字</w:t>
      </w:r>
      <w:r>
        <w:rPr>
          <w:rFonts w:hint="eastAsia" w:ascii="宋体" w:hAnsi="宋体" w:cs="宋体"/>
          <w:sz w:val="24"/>
          <w:szCs w:val="24"/>
          <w:lang w:eastAsia="zh-CN"/>
        </w:rPr>
        <w:t>或盖章</w:t>
      </w:r>
      <w:r>
        <w:rPr>
          <w:rFonts w:hint="eastAsia" w:ascii="宋体" w:hAnsi="宋体" w:cs="宋体"/>
          <w:sz w:val="24"/>
          <w:szCs w:val="24"/>
        </w:rPr>
        <w:t>）：</w:t>
      </w:r>
      <w:r>
        <w:rPr>
          <w:rFonts w:hint="eastAsia" w:ascii="宋体" w:hAnsi="宋体" w:cs="宋体"/>
          <w:sz w:val="21"/>
          <w:szCs w:val="21"/>
          <w:lang w:val="en-US" w:eastAsia="zh-CN"/>
        </w:rPr>
        <w:t>____________________________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时间：</w:t>
      </w:r>
      <w:r>
        <w:rPr>
          <w:rFonts w:hint="eastAsia" w:ascii="宋体" w:hAnsi="宋体" w:cs="宋体"/>
          <w:sz w:val="24"/>
          <w:szCs w:val="24"/>
          <w:lang w:val="en-US" w:eastAsia="zh-CN"/>
        </w:rPr>
        <w:t>_______</w:t>
      </w:r>
      <w:r>
        <w:rPr>
          <w:rFonts w:hint="eastAsia" w:ascii="宋体" w:hAnsi="宋体" w:cs="宋体"/>
          <w:sz w:val="24"/>
          <w:szCs w:val="24"/>
        </w:rPr>
        <w:t>年</w:t>
      </w:r>
      <w:r>
        <w:rPr>
          <w:rFonts w:hint="eastAsia" w:ascii="宋体" w:hAnsi="宋体" w:cs="宋体"/>
          <w:sz w:val="21"/>
          <w:szCs w:val="21"/>
          <w:lang w:val="en-US" w:eastAsia="zh-CN"/>
        </w:rPr>
        <w:t>____</w:t>
      </w:r>
      <w:r>
        <w:rPr>
          <w:rFonts w:hint="eastAsia" w:ascii="宋体" w:hAnsi="宋体" w:cs="宋体"/>
          <w:sz w:val="24"/>
          <w:szCs w:val="24"/>
        </w:rPr>
        <w:t>月</w:t>
      </w:r>
      <w:r>
        <w:rPr>
          <w:rFonts w:hint="eastAsia" w:ascii="宋体" w:hAnsi="宋体" w:cs="宋体"/>
          <w:sz w:val="21"/>
          <w:szCs w:val="21"/>
          <w:lang w:val="en-US" w:eastAsia="zh-CN"/>
        </w:rPr>
        <w:t>____</w:t>
      </w:r>
      <w:r>
        <w:rPr>
          <w:rFonts w:hint="eastAsia" w:ascii="宋体" w:hAnsi="宋体" w:cs="宋体"/>
          <w:sz w:val="24"/>
          <w:szCs w:val="24"/>
        </w:rPr>
        <w:t>日</w:t>
      </w:r>
    </w:p>
    <w:p>
      <w:pPr>
        <w:spacing w:line="240" w:lineRule="atLeast"/>
        <w:rPr>
          <w:rFonts w:ascii="宋体" w:hAnsi="宋体" w:cs="宋体"/>
          <w:sz w:val="24"/>
          <w:szCs w:val="24"/>
        </w:rPr>
      </w:pPr>
    </w:p>
    <w:p>
      <w:pPr>
        <w:widowControl/>
        <w:spacing w:line="460" w:lineRule="exact"/>
        <w:jc w:val="left"/>
        <w:rPr>
          <w:rFonts w:asciiTheme="minorEastAsia" w:hAnsiTheme="minorEastAsia" w:eastAsiaTheme="minorEastAsia" w:cstheme="minorEastAsia"/>
          <w:sz w:val="24"/>
          <w:szCs w:val="24"/>
        </w:rPr>
      </w:pP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br w:type="page"/>
      </w:r>
    </w:p>
    <w:p>
      <w:pPr>
        <w:pStyle w:val="12"/>
        <w:spacing w:after="159" w:afterLines="50" w:line="500" w:lineRule="exact"/>
        <w:ind w:firstLine="562" w:firstLineChars="20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投标产品技术偏差表</w:t>
      </w:r>
    </w:p>
    <w:tbl>
      <w:tblPr>
        <w:tblStyle w:val="24"/>
        <w:tblW w:w="831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028"/>
        <w:gridCol w:w="1980"/>
        <w:gridCol w:w="2105"/>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808" w:type="dxa"/>
            <w:noWrap w:val="0"/>
            <w:vAlign w:val="center"/>
          </w:tcPr>
          <w:p>
            <w:pPr>
              <w:pStyle w:val="12"/>
              <w:spacing w:line="480" w:lineRule="auto"/>
              <w:jc w:val="center"/>
              <w:rPr>
                <w:rFonts w:hAnsi="宋体"/>
                <w:sz w:val="24"/>
                <w:szCs w:val="24"/>
              </w:rPr>
            </w:pPr>
            <w:r>
              <w:rPr>
                <w:rFonts w:hint="eastAsia" w:hAnsi="宋体"/>
                <w:sz w:val="24"/>
                <w:szCs w:val="24"/>
              </w:rPr>
              <w:t>序号</w:t>
            </w:r>
          </w:p>
        </w:tc>
        <w:tc>
          <w:tcPr>
            <w:tcW w:w="2028" w:type="dxa"/>
            <w:noWrap w:val="0"/>
            <w:vAlign w:val="center"/>
          </w:tcPr>
          <w:p>
            <w:pPr>
              <w:pStyle w:val="12"/>
              <w:spacing w:line="480" w:lineRule="auto"/>
              <w:ind w:firstLine="480" w:firstLineChars="200"/>
              <w:jc w:val="left"/>
              <w:rPr>
                <w:rFonts w:hAnsi="宋体"/>
                <w:sz w:val="24"/>
                <w:szCs w:val="24"/>
              </w:rPr>
            </w:pPr>
            <w:r>
              <w:rPr>
                <w:rFonts w:hint="eastAsia" w:hAnsi="宋体"/>
                <w:sz w:val="24"/>
                <w:szCs w:val="24"/>
              </w:rPr>
              <w:t>产品名称</w:t>
            </w:r>
          </w:p>
        </w:tc>
        <w:tc>
          <w:tcPr>
            <w:tcW w:w="1980" w:type="dxa"/>
            <w:noWrap w:val="0"/>
            <w:vAlign w:val="center"/>
          </w:tcPr>
          <w:p>
            <w:pPr>
              <w:pStyle w:val="12"/>
              <w:spacing w:line="480" w:lineRule="auto"/>
              <w:ind w:firstLine="480" w:firstLineChars="200"/>
              <w:jc w:val="left"/>
              <w:rPr>
                <w:rFonts w:hint="eastAsia" w:hAnsi="宋体"/>
                <w:sz w:val="24"/>
                <w:szCs w:val="24"/>
                <w:lang w:eastAsia="zh-CN"/>
              </w:rPr>
            </w:pPr>
            <w:r>
              <w:rPr>
                <w:rFonts w:hint="eastAsia" w:hAnsi="宋体"/>
                <w:sz w:val="24"/>
                <w:szCs w:val="24"/>
                <w:lang w:eastAsia="zh-CN"/>
              </w:rPr>
              <w:t>文件要求</w:t>
            </w:r>
          </w:p>
          <w:p>
            <w:pPr>
              <w:pStyle w:val="12"/>
              <w:spacing w:line="480" w:lineRule="auto"/>
              <w:ind w:firstLine="480" w:firstLineChars="200"/>
              <w:jc w:val="left"/>
              <w:rPr>
                <w:rFonts w:hAnsi="宋体"/>
                <w:sz w:val="24"/>
                <w:szCs w:val="24"/>
              </w:rPr>
            </w:pPr>
            <w:r>
              <w:rPr>
                <w:rFonts w:hint="eastAsia" w:hAnsi="宋体"/>
                <w:sz w:val="24"/>
                <w:szCs w:val="24"/>
              </w:rPr>
              <w:t>技术指标</w:t>
            </w:r>
          </w:p>
        </w:tc>
        <w:tc>
          <w:tcPr>
            <w:tcW w:w="2105" w:type="dxa"/>
            <w:noWrap w:val="0"/>
            <w:vAlign w:val="center"/>
          </w:tcPr>
          <w:p>
            <w:pPr>
              <w:pStyle w:val="12"/>
              <w:spacing w:line="480" w:lineRule="auto"/>
              <w:ind w:firstLine="480" w:firstLineChars="200"/>
              <w:rPr>
                <w:rFonts w:hAnsi="宋体"/>
                <w:sz w:val="24"/>
                <w:szCs w:val="24"/>
              </w:rPr>
            </w:pPr>
            <w:r>
              <w:rPr>
                <w:rFonts w:hint="eastAsia" w:hAnsi="宋体"/>
                <w:sz w:val="24"/>
                <w:szCs w:val="24"/>
                <w:lang w:eastAsia="zh-CN"/>
              </w:rPr>
              <w:t>投标</w:t>
            </w:r>
            <w:r>
              <w:rPr>
                <w:rFonts w:hint="eastAsia" w:hAnsi="宋体"/>
                <w:sz w:val="24"/>
                <w:szCs w:val="24"/>
              </w:rPr>
              <w:t>产品</w:t>
            </w:r>
          </w:p>
          <w:p>
            <w:pPr>
              <w:pStyle w:val="12"/>
              <w:spacing w:line="480" w:lineRule="auto"/>
              <w:ind w:firstLine="480" w:firstLineChars="200"/>
              <w:rPr>
                <w:rFonts w:hAnsi="宋体"/>
                <w:sz w:val="24"/>
                <w:szCs w:val="24"/>
              </w:rPr>
            </w:pPr>
            <w:r>
              <w:rPr>
                <w:rFonts w:hint="eastAsia" w:hAnsi="宋体"/>
                <w:sz w:val="24"/>
                <w:szCs w:val="24"/>
              </w:rPr>
              <w:t>技术指标</w:t>
            </w:r>
          </w:p>
        </w:tc>
        <w:tc>
          <w:tcPr>
            <w:tcW w:w="1396" w:type="dxa"/>
            <w:noWrap w:val="0"/>
            <w:vAlign w:val="center"/>
          </w:tcPr>
          <w:p>
            <w:pPr>
              <w:pStyle w:val="12"/>
              <w:spacing w:line="480" w:lineRule="auto"/>
              <w:jc w:val="center"/>
              <w:rPr>
                <w:rFonts w:hAnsi="宋体"/>
                <w:sz w:val="24"/>
                <w:szCs w:val="24"/>
              </w:rPr>
            </w:pPr>
            <w:r>
              <w:rPr>
                <w:rFonts w:hint="eastAsia" w:hAnsi="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08" w:type="dxa"/>
            <w:noWrap w:val="0"/>
            <w:vAlign w:val="top"/>
          </w:tcPr>
          <w:p>
            <w:pPr>
              <w:pStyle w:val="12"/>
              <w:spacing w:line="480" w:lineRule="auto"/>
              <w:ind w:firstLine="480" w:firstLineChars="200"/>
              <w:jc w:val="left"/>
              <w:rPr>
                <w:rFonts w:hAnsi="宋体"/>
                <w:sz w:val="24"/>
                <w:szCs w:val="24"/>
              </w:rPr>
            </w:pPr>
          </w:p>
        </w:tc>
        <w:tc>
          <w:tcPr>
            <w:tcW w:w="2028" w:type="dxa"/>
            <w:noWrap w:val="0"/>
            <w:vAlign w:val="top"/>
          </w:tcPr>
          <w:p>
            <w:pPr>
              <w:pStyle w:val="12"/>
              <w:spacing w:line="480" w:lineRule="auto"/>
              <w:ind w:firstLine="480" w:firstLineChars="200"/>
              <w:jc w:val="left"/>
              <w:rPr>
                <w:rFonts w:hAnsi="宋体"/>
                <w:sz w:val="24"/>
                <w:szCs w:val="24"/>
              </w:rPr>
            </w:pPr>
          </w:p>
        </w:tc>
        <w:tc>
          <w:tcPr>
            <w:tcW w:w="1980" w:type="dxa"/>
            <w:noWrap w:val="0"/>
            <w:vAlign w:val="center"/>
          </w:tcPr>
          <w:p>
            <w:pPr>
              <w:pStyle w:val="12"/>
              <w:spacing w:line="480" w:lineRule="auto"/>
              <w:ind w:firstLine="480" w:firstLineChars="200"/>
              <w:jc w:val="left"/>
              <w:rPr>
                <w:rFonts w:hAnsi="宋体"/>
                <w:sz w:val="24"/>
                <w:szCs w:val="24"/>
              </w:rPr>
            </w:pPr>
          </w:p>
        </w:tc>
        <w:tc>
          <w:tcPr>
            <w:tcW w:w="2105" w:type="dxa"/>
            <w:noWrap w:val="0"/>
            <w:vAlign w:val="center"/>
          </w:tcPr>
          <w:p>
            <w:pPr>
              <w:pStyle w:val="12"/>
              <w:spacing w:line="480" w:lineRule="auto"/>
              <w:ind w:firstLine="480" w:firstLineChars="200"/>
              <w:jc w:val="left"/>
              <w:rPr>
                <w:rFonts w:hAnsi="宋体"/>
                <w:sz w:val="24"/>
                <w:szCs w:val="24"/>
              </w:rPr>
            </w:pPr>
          </w:p>
        </w:tc>
        <w:tc>
          <w:tcPr>
            <w:tcW w:w="1396" w:type="dxa"/>
            <w:noWrap w:val="0"/>
            <w:vAlign w:val="center"/>
          </w:tcPr>
          <w:p>
            <w:pPr>
              <w:pStyle w:val="12"/>
              <w:spacing w:line="480" w:lineRule="auto"/>
              <w:ind w:firstLine="480" w:firstLineChars="200"/>
              <w:jc w:val="lef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08" w:type="dxa"/>
            <w:noWrap w:val="0"/>
            <w:vAlign w:val="top"/>
          </w:tcPr>
          <w:p>
            <w:pPr>
              <w:pStyle w:val="12"/>
              <w:spacing w:line="480" w:lineRule="auto"/>
              <w:ind w:firstLine="480" w:firstLineChars="200"/>
              <w:jc w:val="left"/>
              <w:rPr>
                <w:rFonts w:hAnsi="宋体"/>
                <w:sz w:val="24"/>
                <w:szCs w:val="24"/>
              </w:rPr>
            </w:pPr>
          </w:p>
        </w:tc>
        <w:tc>
          <w:tcPr>
            <w:tcW w:w="2028" w:type="dxa"/>
            <w:noWrap w:val="0"/>
            <w:vAlign w:val="top"/>
          </w:tcPr>
          <w:p>
            <w:pPr>
              <w:pStyle w:val="12"/>
              <w:spacing w:line="480" w:lineRule="auto"/>
              <w:ind w:firstLine="480" w:firstLineChars="200"/>
              <w:jc w:val="left"/>
              <w:rPr>
                <w:rFonts w:hAnsi="宋体"/>
                <w:sz w:val="24"/>
                <w:szCs w:val="24"/>
              </w:rPr>
            </w:pPr>
          </w:p>
        </w:tc>
        <w:tc>
          <w:tcPr>
            <w:tcW w:w="1980" w:type="dxa"/>
            <w:noWrap w:val="0"/>
            <w:vAlign w:val="top"/>
          </w:tcPr>
          <w:p>
            <w:pPr>
              <w:pStyle w:val="12"/>
              <w:spacing w:line="480" w:lineRule="auto"/>
              <w:ind w:firstLine="480" w:firstLineChars="200"/>
              <w:jc w:val="left"/>
              <w:rPr>
                <w:rFonts w:hAnsi="宋体"/>
                <w:sz w:val="24"/>
                <w:szCs w:val="24"/>
              </w:rPr>
            </w:pPr>
          </w:p>
        </w:tc>
        <w:tc>
          <w:tcPr>
            <w:tcW w:w="2105" w:type="dxa"/>
            <w:noWrap w:val="0"/>
            <w:vAlign w:val="top"/>
          </w:tcPr>
          <w:p>
            <w:pPr>
              <w:pStyle w:val="12"/>
              <w:spacing w:line="480" w:lineRule="auto"/>
              <w:ind w:firstLine="480" w:firstLineChars="200"/>
              <w:jc w:val="left"/>
              <w:rPr>
                <w:rFonts w:hAnsi="宋体"/>
                <w:sz w:val="24"/>
                <w:szCs w:val="24"/>
              </w:rPr>
            </w:pPr>
          </w:p>
        </w:tc>
        <w:tc>
          <w:tcPr>
            <w:tcW w:w="1396" w:type="dxa"/>
            <w:noWrap w:val="0"/>
            <w:vAlign w:val="top"/>
          </w:tcPr>
          <w:p>
            <w:pPr>
              <w:pStyle w:val="12"/>
              <w:spacing w:line="480" w:lineRule="auto"/>
              <w:ind w:firstLine="480" w:firstLineChars="200"/>
              <w:jc w:val="lef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08" w:type="dxa"/>
            <w:noWrap w:val="0"/>
            <w:vAlign w:val="top"/>
          </w:tcPr>
          <w:p>
            <w:pPr>
              <w:pStyle w:val="12"/>
              <w:spacing w:line="480" w:lineRule="auto"/>
              <w:ind w:firstLine="480" w:firstLineChars="200"/>
              <w:jc w:val="left"/>
              <w:rPr>
                <w:rFonts w:hAnsi="宋体"/>
                <w:sz w:val="24"/>
                <w:szCs w:val="24"/>
              </w:rPr>
            </w:pPr>
          </w:p>
        </w:tc>
        <w:tc>
          <w:tcPr>
            <w:tcW w:w="2028" w:type="dxa"/>
            <w:noWrap w:val="0"/>
            <w:vAlign w:val="top"/>
          </w:tcPr>
          <w:p>
            <w:pPr>
              <w:pStyle w:val="12"/>
              <w:spacing w:line="480" w:lineRule="auto"/>
              <w:ind w:firstLine="480" w:firstLineChars="200"/>
              <w:jc w:val="left"/>
              <w:rPr>
                <w:rFonts w:hAnsi="宋体"/>
                <w:sz w:val="24"/>
                <w:szCs w:val="24"/>
              </w:rPr>
            </w:pPr>
          </w:p>
        </w:tc>
        <w:tc>
          <w:tcPr>
            <w:tcW w:w="1980" w:type="dxa"/>
            <w:noWrap w:val="0"/>
            <w:vAlign w:val="top"/>
          </w:tcPr>
          <w:p>
            <w:pPr>
              <w:pStyle w:val="12"/>
              <w:spacing w:line="480" w:lineRule="auto"/>
              <w:ind w:firstLine="480" w:firstLineChars="200"/>
              <w:jc w:val="left"/>
              <w:rPr>
                <w:rFonts w:hAnsi="宋体"/>
                <w:sz w:val="24"/>
                <w:szCs w:val="24"/>
              </w:rPr>
            </w:pPr>
          </w:p>
        </w:tc>
        <w:tc>
          <w:tcPr>
            <w:tcW w:w="2105" w:type="dxa"/>
            <w:noWrap w:val="0"/>
            <w:vAlign w:val="top"/>
          </w:tcPr>
          <w:p>
            <w:pPr>
              <w:pStyle w:val="12"/>
              <w:spacing w:line="480" w:lineRule="auto"/>
              <w:ind w:firstLine="480" w:firstLineChars="200"/>
              <w:jc w:val="left"/>
              <w:rPr>
                <w:rFonts w:hAnsi="宋体"/>
                <w:sz w:val="24"/>
                <w:szCs w:val="24"/>
              </w:rPr>
            </w:pPr>
          </w:p>
        </w:tc>
        <w:tc>
          <w:tcPr>
            <w:tcW w:w="1396" w:type="dxa"/>
            <w:noWrap w:val="0"/>
            <w:vAlign w:val="top"/>
          </w:tcPr>
          <w:p>
            <w:pPr>
              <w:pStyle w:val="12"/>
              <w:spacing w:line="480" w:lineRule="auto"/>
              <w:ind w:firstLine="480" w:firstLineChars="200"/>
              <w:jc w:val="lef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08" w:type="dxa"/>
            <w:noWrap w:val="0"/>
            <w:vAlign w:val="top"/>
          </w:tcPr>
          <w:p>
            <w:pPr>
              <w:pStyle w:val="12"/>
              <w:spacing w:line="480" w:lineRule="auto"/>
              <w:ind w:firstLine="480" w:firstLineChars="200"/>
              <w:jc w:val="left"/>
              <w:rPr>
                <w:rFonts w:hAnsi="宋体"/>
                <w:sz w:val="24"/>
                <w:szCs w:val="24"/>
              </w:rPr>
            </w:pPr>
          </w:p>
        </w:tc>
        <w:tc>
          <w:tcPr>
            <w:tcW w:w="2028" w:type="dxa"/>
            <w:noWrap w:val="0"/>
            <w:vAlign w:val="top"/>
          </w:tcPr>
          <w:p>
            <w:pPr>
              <w:pStyle w:val="12"/>
              <w:spacing w:line="480" w:lineRule="auto"/>
              <w:ind w:firstLine="480" w:firstLineChars="200"/>
              <w:jc w:val="left"/>
              <w:rPr>
                <w:rFonts w:hAnsi="宋体"/>
                <w:sz w:val="24"/>
                <w:szCs w:val="24"/>
              </w:rPr>
            </w:pPr>
          </w:p>
        </w:tc>
        <w:tc>
          <w:tcPr>
            <w:tcW w:w="1980" w:type="dxa"/>
            <w:noWrap w:val="0"/>
            <w:vAlign w:val="top"/>
          </w:tcPr>
          <w:p>
            <w:pPr>
              <w:pStyle w:val="12"/>
              <w:spacing w:line="480" w:lineRule="auto"/>
              <w:ind w:firstLine="480" w:firstLineChars="200"/>
              <w:jc w:val="left"/>
              <w:rPr>
                <w:rFonts w:hAnsi="宋体"/>
                <w:sz w:val="24"/>
                <w:szCs w:val="24"/>
              </w:rPr>
            </w:pPr>
          </w:p>
        </w:tc>
        <w:tc>
          <w:tcPr>
            <w:tcW w:w="2105" w:type="dxa"/>
            <w:noWrap w:val="0"/>
            <w:vAlign w:val="top"/>
          </w:tcPr>
          <w:p>
            <w:pPr>
              <w:pStyle w:val="12"/>
              <w:spacing w:line="480" w:lineRule="auto"/>
              <w:ind w:firstLine="480" w:firstLineChars="200"/>
              <w:jc w:val="left"/>
              <w:rPr>
                <w:rFonts w:hAnsi="宋体"/>
                <w:sz w:val="24"/>
                <w:szCs w:val="24"/>
              </w:rPr>
            </w:pPr>
          </w:p>
        </w:tc>
        <w:tc>
          <w:tcPr>
            <w:tcW w:w="1396" w:type="dxa"/>
            <w:noWrap w:val="0"/>
            <w:vAlign w:val="top"/>
          </w:tcPr>
          <w:p>
            <w:pPr>
              <w:pStyle w:val="12"/>
              <w:spacing w:line="480" w:lineRule="auto"/>
              <w:ind w:firstLine="480" w:firstLineChars="200"/>
              <w:jc w:val="lef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08" w:type="dxa"/>
            <w:noWrap w:val="0"/>
            <w:vAlign w:val="top"/>
          </w:tcPr>
          <w:p>
            <w:pPr>
              <w:pStyle w:val="12"/>
              <w:spacing w:line="480" w:lineRule="auto"/>
              <w:ind w:firstLine="480" w:firstLineChars="200"/>
              <w:jc w:val="left"/>
              <w:rPr>
                <w:rFonts w:hAnsi="宋体"/>
                <w:sz w:val="24"/>
                <w:szCs w:val="24"/>
              </w:rPr>
            </w:pPr>
          </w:p>
        </w:tc>
        <w:tc>
          <w:tcPr>
            <w:tcW w:w="2028" w:type="dxa"/>
            <w:noWrap w:val="0"/>
            <w:vAlign w:val="top"/>
          </w:tcPr>
          <w:p>
            <w:pPr>
              <w:pStyle w:val="12"/>
              <w:spacing w:line="480" w:lineRule="auto"/>
              <w:ind w:firstLine="480" w:firstLineChars="200"/>
              <w:jc w:val="left"/>
              <w:rPr>
                <w:rFonts w:hAnsi="宋体"/>
                <w:sz w:val="24"/>
                <w:szCs w:val="24"/>
              </w:rPr>
            </w:pPr>
          </w:p>
        </w:tc>
        <w:tc>
          <w:tcPr>
            <w:tcW w:w="1980" w:type="dxa"/>
            <w:noWrap w:val="0"/>
            <w:vAlign w:val="top"/>
          </w:tcPr>
          <w:p>
            <w:pPr>
              <w:pStyle w:val="12"/>
              <w:spacing w:line="480" w:lineRule="auto"/>
              <w:ind w:firstLine="480" w:firstLineChars="200"/>
              <w:jc w:val="left"/>
              <w:rPr>
                <w:rFonts w:hAnsi="宋体"/>
                <w:sz w:val="24"/>
                <w:szCs w:val="24"/>
              </w:rPr>
            </w:pPr>
          </w:p>
        </w:tc>
        <w:tc>
          <w:tcPr>
            <w:tcW w:w="2105" w:type="dxa"/>
            <w:noWrap w:val="0"/>
            <w:vAlign w:val="top"/>
          </w:tcPr>
          <w:p>
            <w:pPr>
              <w:pStyle w:val="12"/>
              <w:spacing w:line="480" w:lineRule="auto"/>
              <w:ind w:firstLine="480" w:firstLineChars="200"/>
              <w:jc w:val="left"/>
              <w:rPr>
                <w:rFonts w:hAnsi="宋体"/>
                <w:sz w:val="24"/>
                <w:szCs w:val="24"/>
              </w:rPr>
            </w:pPr>
          </w:p>
        </w:tc>
        <w:tc>
          <w:tcPr>
            <w:tcW w:w="1396" w:type="dxa"/>
            <w:noWrap w:val="0"/>
            <w:vAlign w:val="top"/>
          </w:tcPr>
          <w:p>
            <w:pPr>
              <w:pStyle w:val="12"/>
              <w:spacing w:line="480" w:lineRule="auto"/>
              <w:ind w:firstLine="480" w:firstLineChars="200"/>
              <w:jc w:val="lef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08" w:type="dxa"/>
            <w:noWrap w:val="0"/>
            <w:vAlign w:val="top"/>
          </w:tcPr>
          <w:p>
            <w:pPr>
              <w:pStyle w:val="12"/>
              <w:spacing w:line="480" w:lineRule="auto"/>
              <w:ind w:firstLine="480" w:firstLineChars="200"/>
              <w:jc w:val="left"/>
              <w:rPr>
                <w:rFonts w:hAnsi="宋体"/>
                <w:sz w:val="24"/>
                <w:szCs w:val="24"/>
              </w:rPr>
            </w:pPr>
          </w:p>
        </w:tc>
        <w:tc>
          <w:tcPr>
            <w:tcW w:w="2028" w:type="dxa"/>
            <w:noWrap w:val="0"/>
            <w:vAlign w:val="top"/>
          </w:tcPr>
          <w:p>
            <w:pPr>
              <w:pStyle w:val="12"/>
              <w:spacing w:line="480" w:lineRule="auto"/>
              <w:ind w:firstLine="480" w:firstLineChars="200"/>
              <w:jc w:val="left"/>
              <w:rPr>
                <w:rFonts w:hAnsi="宋体"/>
                <w:sz w:val="24"/>
                <w:szCs w:val="24"/>
              </w:rPr>
            </w:pPr>
          </w:p>
        </w:tc>
        <w:tc>
          <w:tcPr>
            <w:tcW w:w="1980" w:type="dxa"/>
            <w:noWrap w:val="0"/>
            <w:vAlign w:val="top"/>
          </w:tcPr>
          <w:p>
            <w:pPr>
              <w:pStyle w:val="12"/>
              <w:spacing w:line="480" w:lineRule="auto"/>
              <w:ind w:firstLine="480" w:firstLineChars="200"/>
              <w:jc w:val="left"/>
              <w:rPr>
                <w:rFonts w:hAnsi="宋体"/>
                <w:sz w:val="24"/>
                <w:szCs w:val="24"/>
              </w:rPr>
            </w:pPr>
          </w:p>
        </w:tc>
        <w:tc>
          <w:tcPr>
            <w:tcW w:w="2105" w:type="dxa"/>
            <w:noWrap w:val="0"/>
            <w:vAlign w:val="top"/>
          </w:tcPr>
          <w:p>
            <w:pPr>
              <w:pStyle w:val="12"/>
              <w:spacing w:line="480" w:lineRule="auto"/>
              <w:ind w:firstLine="480" w:firstLineChars="200"/>
              <w:jc w:val="left"/>
              <w:rPr>
                <w:rFonts w:hAnsi="宋体"/>
                <w:sz w:val="24"/>
                <w:szCs w:val="24"/>
              </w:rPr>
            </w:pPr>
          </w:p>
        </w:tc>
        <w:tc>
          <w:tcPr>
            <w:tcW w:w="1396" w:type="dxa"/>
            <w:noWrap w:val="0"/>
            <w:vAlign w:val="top"/>
          </w:tcPr>
          <w:p>
            <w:pPr>
              <w:pStyle w:val="12"/>
              <w:spacing w:line="480" w:lineRule="auto"/>
              <w:ind w:firstLine="480" w:firstLineChars="200"/>
              <w:jc w:val="lef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08" w:type="dxa"/>
            <w:noWrap w:val="0"/>
            <w:vAlign w:val="top"/>
          </w:tcPr>
          <w:p>
            <w:pPr>
              <w:pStyle w:val="12"/>
              <w:spacing w:line="480" w:lineRule="auto"/>
              <w:ind w:firstLine="480" w:firstLineChars="200"/>
              <w:jc w:val="left"/>
              <w:rPr>
                <w:rFonts w:hAnsi="宋体"/>
                <w:sz w:val="24"/>
                <w:szCs w:val="24"/>
              </w:rPr>
            </w:pPr>
          </w:p>
        </w:tc>
        <w:tc>
          <w:tcPr>
            <w:tcW w:w="2028" w:type="dxa"/>
            <w:noWrap w:val="0"/>
            <w:vAlign w:val="top"/>
          </w:tcPr>
          <w:p>
            <w:pPr>
              <w:pStyle w:val="12"/>
              <w:spacing w:line="480" w:lineRule="auto"/>
              <w:ind w:firstLine="480" w:firstLineChars="200"/>
              <w:jc w:val="left"/>
              <w:rPr>
                <w:rFonts w:hAnsi="宋体"/>
                <w:sz w:val="24"/>
                <w:szCs w:val="24"/>
              </w:rPr>
            </w:pPr>
          </w:p>
        </w:tc>
        <w:tc>
          <w:tcPr>
            <w:tcW w:w="1980" w:type="dxa"/>
            <w:noWrap w:val="0"/>
            <w:vAlign w:val="top"/>
          </w:tcPr>
          <w:p>
            <w:pPr>
              <w:pStyle w:val="12"/>
              <w:spacing w:line="480" w:lineRule="auto"/>
              <w:ind w:firstLine="480" w:firstLineChars="200"/>
              <w:jc w:val="left"/>
              <w:rPr>
                <w:rFonts w:hAnsi="宋体"/>
                <w:sz w:val="24"/>
                <w:szCs w:val="24"/>
              </w:rPr>
            </w:pPr>
          </w:p>
        </w:tc>
        <w:tc>
          <w:tcPr>
            <w:tcW w:w="2105" w:type="dxa"/>
            <w:noWrap w:val="0"/>
            <w:vAlign w:val="top"/>
          </w:tcPr>
          <w:p>
            <w:pPr>
              <w:pStyle w:val="12"/>
              <w:spacing w:line="480" w:lineRule="auto"/>
              <w:ind w:firstLine="480" w:firstLineChars="200"/>
              <w:jc w:val="left"/>
              <w:rPr>
                <w:rFonts w:hAnsi="宋体"/>
                <w:sz w:val="24"/>
                <w:szCs w:val="24"/>
              </w:rPr>
            </w:pPr>
          </w:p>
        </w:tc>
        <w:tc>
          <w:tcPr>
            <w:tcW w:w="1396" w:type="dxa"/>
            <w:noWrap w:val="0"/>
            <w:vAlign w:val="top"/>
          </w:tcPr>
          <w:p>
            <w:pPr>
              <w:pStyle w:val="12"/>
              <w:spacing w:line="480" w:lineRule="auto"/>
              <w:ind w:firstLine="480" w:firstLineChars="200"/>
              <w:jc w:val="lef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08" w:type="dxa"/>
            <w:noWrap w:val="0"/>
            <w:vAlign w:val="top"/>
          </w:tcPr>
          <w:p>
            <w:pPr>
              <w:pStyle w:val="12"/>
              <w:spacing w:line="480" w:lineRule="auto"/>
              <w:ind w:firstLine="480" w:firstLineChars="200"/>
              <w:jc w:val="left"/>
              <w:rPr>
                <w:rFonts w:hAnsi="宋体"/>
                <w:sz w:val="24"/>
                <w:szCs w:val="24"/>
              </w:rPr>
            </w:pPr>
          </w:p>
        </w:tc>
        <w:tc>
          <w:tcPr>
            <w:tcW w:w="2028" w:type="dxa"/>
            <w:noWrap w:val="0"/>
            <w:vAlign w:val="top"/>
          </w:tcPr>
          <w:p>
            <w:pPr>
              <w:pStyle w:val="12"/>
              <w:spacing w:line="480" w:lineRule="auto"/>
              <w:ind w:firstLine="480" w:firstLineChars="200"/>
              <w:jc w:val="left"/>
              <w:rPr>
                <w:rFonts w:hAnsi="宋体"/>
                <w:sz w:val="24"/>
                <w:szCs w:val="24"/>
              </w:rPr>
            </w:pPr>
          </w:p>
        </w:tc>
        <w:tc>
          <w:tcPr>
            <w:tcW w:w="1980" w:type="dxa"/>
            <w:noWrap w:val="0"/>
            <w:vAlign w:val="top"/>
          </w:tcPr>
          <w:p>
            <w:pPr>
              <w:pStyle w:val="12"/>
              <w:spacing w:line="480" w:lineRule="auto"/>
              <w:ind w:firstLine="480" w:firstLineChars="200"/>
              <w:jc w:val="left"/>
              <w:rPr>
                <w:rFonts w:hAnsi="宋体"/>
                <w:sz w:val="24"/>
                <w:szCs w:val="24"/>
              </w:rPr>
            </w:pPr>
          </w:p>
        </w:tc>
        <w:tc>
          <w:tcPr>
            <w:tcW w:w="2105" w:type="dxa"/>
            <w:noWrap w:val="0"/>
            <w:vAlign w:val="top"/>
          </w:tcPr>
          <w:p>
            <w:pPr>
              <w:pStyle w:val="12"/>
              <w:spacing w:line="480" w:lineRule="auto"/>
              <w:ind w:firstLine="480" w:firstLineChars="200"/>
              <w:jc w:val="left"/>
              <w:rPr>
                <w:rFonts w:hAnsi="宋体"/>
                <w:sz w:val="24"/>
                <w:szCs w:val="24"/>
              </w:rPr>
            </w:pPr>
          </w:p>
        </w:tc>
        <w:tc>
          <w:tcPr>
            <w:tcW w:w="1396" w:type="dxa"/>
            <w:noWrap w:val="0"/>
            <w:vAlign w:val="top"/>
          </w:tcPr>
          <w:p>
            <w:pPr>
              <w:pStyle w:val="12"/>
              <w:spacing w:line="480" w:lineRule="auto"/>
              <w:ind w:firstLine="480" w:firstLineChars="200"/>
              <w:jc w:val="lef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08" w:type="dxa"/>
            <w:noWrap w:val="0"/>
            <w:vAlign w:val="top"/>
          </w:tcPr>
          <w:p>
            <w:pPr>
              <w:pStyle w:val="12"/>
              <w:spacing w:line="480" w:lineRule="auto"/>
              <w:ind w:firstLine="480" w:firstLineChars="200"/>
              <w:jc w:val="left"/>
              <w:rPr>
                <w:rFonts w:hAnsi="宋体"/>
                <w:sz w:val="24"/>
                <w:szCs w:val="24"/>
              </w:rPr>
            </w:pPr>
          </w:p>
        </w:tc>
        <w:tc>
          <w:tcPr>
            <w:tcW w:w="2028" w:type="dxa"/>
            <w:noWrap w:val="0"/>
            <w:vAlign w:val="top"/>
          </w:tcPr>
          <w:p>
            <w:pPr>
              <w:pStyle w:val="12"/>
              <w:spacing w:line="480" w:lineRule="auto"/>
              <w:ind w:firstLine="480" w:firstLineChars="200"/>
              <w:jc w:val="left"/>
              <w:rPr>
                <w:rFonts w:hAnsi="宋体"/>
                <w:sz w:val="24"/>
                <w:szCs w:val="24"/>
              </w:rPr>
            </w:pPr>
          </w:p>
        </w:tc>
        <w:tc>
          <w:tcPr>
            <w:tcW w:w="1980" w:type="dxa"/>
            <w:noWrap w:val="0"/>
            <w:vAlign w:val="top"/>
          </w:tcPr>
          <w:p>
            <w:pPr>
              <w:pStyle w:val="12"/>
              <w:spacing w:line="480" w:lineRule="auto"/>
              <w:ind w:firstLine="480" w:firstLineChars="200"/>
              <w:jc w:val="left"/>
              <w:rPr>
                <w:rFonts w:hAnsi="宋体"/>
                <w:sz w:val="24"/>
                <w:szCs w:val="24"/>
              </w:rPr>
            </w:pPr>
          </w:p>
        </w:tc>
        <w:tc>
          <w:tcPr>
            <w:tcW w:w="2105" w:type="dxa"/>
            <w:noWrap w:val="0"/>
            <w:vAlign w:val="top"/>
          </w:tcPr>
          <w:p>
            <w:pPr>
              <w:pStyle w:val="12"/>
              <w:spacing w:line="480" w:lineRule="auto"/>
              <w:ind w:firstLine="480" w:firstLineChars="200"/>
              <w:jc w:val="left"/>
              <w:rPr>
                <w:rFonts w:hAnsi="宋体"/>
                <w:sz w:val="24"/>
                <w:szCs w:val="24"/>
              </w:rPr>
            </w:pPr>
          </w:p>
        </w:tc>
        <w:tc>
          <w:tcPr>
            <w:tcW w:w="1396" w:type="dxa"/>
            <w:noWrap w:val="0"/>
            <w:vAlign w:val="top"/>
          </w:tcPr>
          <w:p>
            <w:pPr>
              <w:pStyle w:val="12"/>
              <w:spacing w:line="480" w:lineRule="auto"/>
              <w:ind w:firstLine="480" w:firstLineChars="200"/>
              <w:jc w:val="lef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08" w:type="dxa"/>
            <w:noWrap w:val="0"/>
            <w:vAlign w:val="top"/>
          </w:tcPr>
          <w:p>
            <w:pPr>
              <w:pStyle w:val="12"/>
              <w:spacing w:line="480" w:lineRule="auto"/>
              <w:ind w:firstLine="480" w:firstLineChars="200"/>
              <w:jc w:val="left"/>
              <w:rPr>
                <w:rFonts w:hAnsi="宋体"/>
                <w:sz w:val="24"/>
                <w:szCs w:val="24"/>
              </w:rPr>
            </w:pPr>
          </w:p>
        </w:tc>
        <w:tc>
          <w:tcPr>
            <w:tcW w:w="2028" w:type="dxa"/>
            <w:noWrap w:val="0"/>
            <w:vAlign w:val="top"/>
          </w:tcPr>
          <w:p>
            <w:pPr>
              <w:pStyle w:val="12"/>
              <w:spacing w:line="480" w:lineRule="auto"/>
              <w:ind w:firstLine="480" w:firstLineChars="200"/>
              <w:jc w:val="left"/>
              <w:rPr>
                <w:rFonts w:hAnsi="宋体"/>
                <w:sz w:val="24"/>
                <w:szCs w:val="24"/>
              </w:rPr>
            </w:pPr>
          </w:p>
        </w:tc>
        <w:tc>
          <w:tcPr>
            <w:tcW w:w="1980" w:type="dxa"/>
            <w:noWrap w:val="0"/>
            <w:vAlign w:val="top"/>
          </w:tcPr>
          <w:p>
            <w:pPr>
              <w:pStyle w:val="12"/>
              <w:spacing w:line="480" w:lineRule="auto"/>
              <w:ind w:firstLine="480" w:firstLineChars="200"/>
              <w:jc w:val="left"/>
              <w:rPr>
                <w:rFonts w:hAnsi="宋体"/>
                <w:sz w:val="24"/>
                <w:szCs w:val="24"/>
              </w:rPr>
            </w:pPr>
          </w:p>
        </w:tc>
        <w:tc>
          <w:tcPr>
            <w:tcW w:w="2105" w:type="dxa"/>
            <w:noWrap w:val="0"/>
            <w:vAlign w:val="top"/>
          </w:tcPr>
          <w:p>
            <w:pPr>
              <w:pStyle w:val="12"/>
              <w:spacing w:line="480" w:lineRule="auto"/>
              <w:ind w:firstLine="480" w:firstLineChars="200"/>
              <w:jc w:val="left"/>
              <w:rPr>
                <w:rFonts w:hAnsi="宋体"/>
                <w:sz w:val="24"/>
                <w:szCs w:val="24"/>
              </w:rPr>
            </w:pPr>
          </w:p>
        </w:tc>
        <w:tc>
          <w:tcPr>
            <w:tcW w:w="1396" w:type="dxa"/>
            <w:noWrap w:val="0"/>
            <w:vAlign w:val="top"/>
          </w:tcPr>
          <w:p>
            <w:pPr>
              <w:pStyle w:val="12"/>
              <w:spacing w:line="480" w:lineRule="auto"/>
              <w:ind w:firstLine="480" w:firstLineChars="200"/>
              <w:jc w:val="left"/>
              <w:rPr>
                <w:rFonts w:hAnsi="宋体"/>
                <w:sz w:val="24"/>
                <w:szCs w:val="24"/>
              </w:rPr>
            </w:pPr>
          </w:p>
        </w:tc>
      </w:tr>
    </w:tbl>
    <w:p>
      <w:pPr>
        <w:pStyle w:val="12"/>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说明：</w:t>
      </w:r>
      <w:r>
        <w:rPr>
          <w:rFonts w:hint="eastAsia" w:asciiTheme="minorEastAsia" w:hAnsiTheme="minorEastAsia" w:eastAsiaTheme="minorEastAsia" w:cstheme="minorEastAsia"/>
          <w:sz w:val="24"/>
          <w:szCs w:val="24"/>
        </w:rPr>
        <w:t>请按所投产品的实际技术参数，逐条对应招标文件的采购需求中的技术要求认真填写本表。偏差说明填写：正偏离、符合或负偏离。</w:t>
      </w:r>
    </w:p>
    <w:p>
      <w:pPr>
        <w:adjustRightInd w:val="0"/>
        <w:snapToGrid w:val="0"/>
        <w:spacing w:line="480" w:lineRule="auto"/>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供应商（单位名称及公章）：_________________________</w:t>
      </w:r>
    </w:p>
    <w:p>
      <w:pPr>
        <w:adjustRightInd w:val="0"/>
        <w:snapToGrid w:val="0"/>
        <w:spacing w:line="48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法定代表人或被授权人（签字或盖章）：____________________</w:t>
      </w:r>
    </w:p>
    <w:p>
      <w:pPr>
        <w:adjustRightInd w:val="0"/>
        <w:snapToGrid w:val="0"/>
        <w:spacing w:line="48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    期：_____年_____月_____日</w:t>
      </w:r>
    </w:p>
    <w:p>
      <w:pPr>
        <w:pStyle w:val="4"/>
        <w:spacing w:before="319" w:beforeLines="100" w:after="478" w:afterLines="150" w:line="500" w:lineRule="exact"/>
        <w:rPr>
          <w:rFonts w:asciiTheme="minorEastAsia" w:hAnsiTheme="minorEastAsia" w:eastAsiaTheme="minorEastAsia" w:cstheme="minorEastAsia"/>
          <w:sz w:val="36"/>
          <w:szCs w:val="36"/>
        </w:rPr>
        <w:sectPr>
          <w:headerReference r:id="rId15" w:type="default"/>
          <w:footerReference r:id="rId16" w:type="default"/>
          <w:pgSz w:w="11906" w:h="16838"/>
          <w:pgMar w:top="1440" w:right="1803" w:bottom="1440" w:left="1803" w:header="851" w:footer="992" w:gutter="0"/>
          <w:cols w:space="0" w:num="1"/>
          <w:rtlGutter w:val="1"/>
          <w:docGrid w:type="lines" w:linePitch="319" w:charSpace="0"/>
        </w:sectPr>
      </w:pPr>
    </w:p>
    <w:p>
      <w:pPr>
        <w:pStyle w:val="4"/>
        <w:spacing w:before="319" w:beforeLines="100" w:after="478" w:afterLines="150" w:line="500" w:lineRule="exact"/>
        <w:rPr>
          <w:rFonts w:hint="eastAsia" w:asciiTheme="minorEastAsia" w:hAnsiTheme="minorEastAsia" w:eastAsiaTheme="minorEastAsia" w:cstheme="minorEastAsia"/>
          <w:sz w:val="36"/>
          <w:szCs w:val="36"/>
          <w:lang w:eastAsia="zh-CN"/>
        </w:rPr>
      </w:pPr>
      <w:bookmarkStart w:id="161" w:name="_Toc28458"/>
      <w:bookmarkStart w:id="162" w:name="_Toc1783"/>
      <w:bookmarkStart w:id="163" w:name="_Toc20108"/>
      <w:bookmarkStart w:id="164" w:name="_Toc22698"/>
      <w:bookmarkStart w:id="165" w:name="_Toc16024"/>
      <w:bookmarkStart w:id="166" w:name="_Toc11309"/>
      <w:r>
        <w:rPr>
          <w:rFonts w:hint="eastAsia" w:asciiTheme="minorEastAsia" w:hAnsiTheme="minorEastAsia" w:eastAsiaTheme="minorEastAsia" w:cstheme="minorEastAsia"/>
          <w:sz w:val="36"/>
          <w:szCs w:val="36"/>
        </w:rPr>
        <w:t xml:space="preserve">第三部分  </w:t>
      </w:r>
      <w:bookmarkEnd w:id="161"/>
      <w:bookmarkEnd w:id="162"/>
      <w:bookmarkEnd w:id="163"/>
      <w:bookmarkEnd w:id="164"/>
      <w:r>
        <w:rPr>
          <w:rFonts w:hint="eastAsia" w:asciiTheme="minorEastAsia" w:hAnsiTheme="minorEastAsia" w:eastAsiaTheme="minorEastAsia" w:cstheme="minorEastAsia"/>
          <w:sz w:val="36"/>
          <w:szCs w:val="36"/>
          <w:lang w:eastAsia="zh-CN"/>
        </w:rPr>
        <w:t>商务响应说明</w:t>
      </w:r>
      <w:bookmarkEnd w:id="165"/>
    </w:p>
    <w:tbl>
      <w:tblPr>
        <w:tblStyle w:val="24"/>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660"/>
        <w:gridCol w:w="1750"/>
        <w:gridCol w:w="2640"/>
        <w:gridCol w:w="151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67" w:type="dxa"/>
            <w:vAlign w:val="center"/>
          </w:tcPr>
          <w:p>
            <w:pPr>
              <w:pStyle w:val="12"/>
              <w:spacing w:line="480" w:lineRule="auto"/>
              <w:jc w:val="center"/>
              <w:rPr>
                <w:rFonts w:hAnsi="宋体" w:cs="宋体"/>
                <w:sz w:val="24"/>
                <w:szCs w:val="24"/>
              </w:rPr>
            </w:pPr>
            <w:r>
              <w:rPr>
                <w:rFonts w:hint="eastAsia" w:hAnsi="宋体" w:cs="宋体"/>
                <w:sz w:val="24"/>
                <w:szCs w:val="24"/>
              </w:rPr>
              <w:t>序号</w:t>
            </w:r>
          </w:p>
        </w:tc>
        <w:tc>
          <w:tcPr>
            <w:tcW w:w="1660" w:type="dxa"/>
            <w:vAlign w:val="center"/>
          </w:tcPr>
          <w:p>
            <w:pPr>
              <w:pStyle w:val="12"/>
              <w:spacing w:line="480" w:lineRule="auto"/>
              <w:jc w:val="left"/>
              <w:rPr>
                <w:rFonts w:hAnsi="宋体" w:cs="宋体"/>
                <w:sz w:val="24"/>
                <w:szCs w:val="24"/>
              </w:rPr>
            </w:pPr>
            <w:r>
              <w:rPr>
                <w:rFonts w:hint="eastAsia" w:hAnsi="宋体" w:cs="宋体"/>
                <w:sz w:val="24"/>
                <w:szCs w:val="24"/>
              </w:rPr>
              <w:t xml:space="preserve"> 商务条款</w:t>
            </w:r>
          </w:p>
        </w:tc>
        <w:tc>
          <w:tcPr>
            <w:tcW w:w="1750" w:type="dxa"/>
            <w:vAlign w:val="center"/>
          </w:tcPr>
          <w:p>
            <w:pPr>
              <w:pStyle w:val="12"/>
              <w:spacing w:line="480" w:lineRule="auto"/>
              <w:jc w:val="left"/>
              <w:rPr>
                <w:rFonts w:hAnsi="宋体" w:cs="宋体"/>
                <w:sz w:val="24"/>
                <w:szCs w:val="24"/>
              </w:rPr>
            </w:pPr>
            <w:r>
              <w:rPr>
                <w:rFonts w:hint="eastAsia" w:hAnsi="宋体" w:cs="宋体"/>
                <w:sz w:val="24"/>
                <w:szCs w:val="24"/>
              </w:rPr>
              <w:t>商务要求内容</w:t>
            </w:r>
          </w:p>
        </w:tc>
        <w:tc>
          <w:tcPr>
            <w:tcW w:w="2640" w:type="dxa"/>
            <w:vAlign w:val="center"/>
          </w:tcPr>
          <w:p>
            <w:pPr>
              <w:pStyle w:val="12"/>
              <w:spacing w:line="480" w:lineRule="auto"/>
              <w:rPr>
                <w:rFonts w:hAnsi="宋体" w:cs="宋体"/>
                <w:sz w:val="24"/>
                <w:szCs w:val="24"/>
              </w:rPr>
            </w:pPr>
            <w:r>
              <w:rPr>
                <w:rFonts w:hint="eastAsia" w:hAnsi="宋体" w:cs="宋体"/>
                <w:sz w:val="24"/>
                <w:szCs w:val="24"/>
              </w:rPr>
              <w:t>响应文件响应商务内容</w:t>
            </w:r>
          </w:p>
        </w:tc>
        <w:tc>
          <w:tcPr>
            <w:tcW w:w="1510" w:type="dxa"/>
            <w:vAlign w:val="center"/>
          </w:tcPr>
          <w:p>
            <w:pPr>
              <w:pStyle w:val="12"/>
              <w:spacing w:line="480" w:lineRule="auto"/>
              <w:jc w:val="center"/>
              <w:rPr>
                <w:rFonts w:hAnsi="宋体" w:cs="宋体"/>
                <w:sz w:val="24"/>
                <w:szCs w:val="24"/>
              </w:rPr>
            </w:pPr>
            <w:r>
              <w:rPr>
                <w:rFonts w:hint="eastAsia" w:hAnsi="宋体" w:cs="宋体"/>
                <w:sz w:val="24"/>
                <w:szCs w:val="24"/>
              </w:rPr>
              <w:t>偏离情况</w:t>
            </w:r>
          </w:p>
        </w:tc>
        <w:tc>
          <w:tcPr>
            <w:tcW w:w="993" w:type="dxa"/>
            <w:vAlign w:val="center"/>
          </w:tcPr>
          <w:p>
            <w:pPr>
              <w:pStyle w:val="12"/>
              <w:spacing w:line="48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67" w:type="dxa"/>
          </w:tcPr>
          <w:p>
            <w:pPr>
              <w:pStyle w:val="12"/>
              <w:spacing w:line="480" w:lineRule="auto"/>
              <w:ind w:firstLine="480" w:firstLineChars="200"/>
              <w:jc w:val="left"/>
              <w:rPr>
                <w:rFonts w:hAnsi="宋体" w:cs="宋体"/>
                <w:sz w:val="24"/>
                <w:szCs w:val="24"/>
              </w:rPr>
            </w:pPr>
          </w:p>
        </w:tc>
        <w:tc>
          <w:tcPr>
            <w:tcW w:w="1660" w:type="dxa"/>
          </w:tcPr>
          <w:p>
            <w:pPr>
              <w:pStyle w:val="12"/>
              <w:spacing w:line="480" w:lineRule="auto"/>
              <w:ind w:firstLine="480" w:firstLineChars="200"/>
              <w:jc w:val="left"/>
              <w:rPr>
                <w:rFonts w:hAnsi="宋体" w:cs="宋体"/>
                <w:sz w:val="24"/>
                <w:szCs w:val="24"/>
              </w:rPr>
            </w:pPr>
          </w:p>
        </w:tc>
        <w:tc>
          <w:tcPr>
            <w:tcW w:w="1750" w:type="dxa"/>
            <w:vAlign w:val="center"/>
          </w:tcPr>
          <w:p>
            <w:pPr>
              <w:pStyle w:val="12"/>
              <w:spacing w:line="480" w:lineRule="auto"/>
              <w:ind w:firstLine="480" w:firstLineChars="200"/>
              <w:jc w:val="left"/>
              <w:rPr>
                <w:rFonts w:hAnsi="宋体" w:cs="宋体"/>
                <w:sz w:val="24"/>
                <w:szCs w:val="24"/>
              </w:rPr>
            </w:pPr>
          </w:p>
        </w:tc>
        <w:tc>
          <w:tcPr>
            <w:tcW w:w="2640" w:type="dxa"/>
            <w:vAlign w:val="center"/>
          </w:tcPr>
          <w:p>
            <w:pPr>
              <w:pStyle w:val="12"/>
              <w:spacing w:line="480" w:lineRule="auto"/>
              <w:ind w:firstLine="480" w:firstLineChars="200"/>
              <w:jc w:val="left"/>
              <w:rPr>
                <w:rFonts w:hAnsi="宋体" w:cs="宋体"/>
                <w:sz w:val="24"/>
                <w:szCs w:val="24"/>
              </w:rPr>
            </w:pPr>
          </w:p>
        </w:tc>
        <w:tc>
          <w:tcPr>
            <w:tcW w:w="1510" w:type="dxa"/>
            <w:vAlign w:val="center"/>
          </w:tcPr>
          <w:p>
            <w:pPr>
              <w:pStyle w:val="12"/>
              <w:spacing w:line="480" w:lineRule="auto"/>
              <w:ind w:firstLine="480" w:firstLineChars="200"/>
              <w:jc w:val="left"/>
              <w:rPr>
                <w:rFonts w:hAnsi="宋体" w:cs="宋体"/>
                <w:sz w:val="24"/>
                <w:szCs w:val="24"/>
              </w:rPr>
            </w:pPr>
          </w:p>
        </w:tc>
        <w:tc>
          <w:tcPr>
            <w:tcW w:w="993" w:type="dxa"/>
            <w:vAlign w:val="center"/>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67" w:type="dxa"/>
          </w:tcPr>
          <w:p>
            <w:pPr>
              <w:pStyle w:val="12"/>
              <w:spacing w:line="480" w:lineRule="auto"/>
              <w:ind w:firstLine="480" w:firstLineChars="200"/>
              <w:jc w:val="left"/>
              <w:rPr>
                <w:rFonts w:hAnsi="宋体" w:cs="宋体"/>
                <w:sz w:val="24"/>
                <w:szCs w:val="24"/>
              </w:rPr>
            </w:pPr>
          </w:p>
        </w:tc>
        <w:tc>
          <w:tcPr>
            <w:tcW w:w="1660" w:type="dxa"/>
          </w:tcPr>
          <w:p>
            <w:pPr>
              <w:pStyle w:val="12"/>
              <w:spacing w:line="480" w:lineRule="auto"/>
              <w:ind w:firstLine="480" w:firstLineChars="200"/>
              <w:jc w:val="left"/>
              <w:rPr>
                <w:rFonts w:hAnsi="宋体" w:cs="宋体"/>
                <w:sz w:val="24"/>
                <w:szCs w:val="24"/>
              </w:rPr>
            </w:pPr>
          </w:p>
        </w:tc>
        <w:tc>
          <w:tcPr>
            <w:tcW w:w="1750" w:type="dxa"/>
          </w:tcPr>
          <w:p>
            <w:pPr>
              <w:pStyle w:val="12"/>
              <w:spacing w:line="480" w:lineRule="auto"/>
              <w:ind w:firstLine="480" w:firstLineChars="200"/>
              <w:jc w:val="left"/>
              <w:rPr>
                <w:rFonts w:hAnsi="宋体" w:cs="宋体"/>
                <w:sz w:val="24"/>
                <w:szCs w:val="24"/>
              </w:rPr>
            </w:pPr>
          </w:p>
        </w:tc>
        <w:tc>
          <w:tcPr>
            <w:tcW w:w="2640" w:type="dxa"/>
          </w:tcPr>
          <w:p>
            <w:pPr>
              <w:pStyle w:val="12"/>
              <w:spacing w:line="480" w:lineRule="auto"/>
              <w:ind w:firstLine="480" w:firstLineChars="200"/>
              <w:jc w:val="left"/>
              <w:rPr>
                <w:rFonts w:hAnsi="宋体" w:cs="宋体"/>
                <w:sz w:val="24"/>
                <w:szCs w:val="24"/>
              </w:rPr>
            </w:pPr>
          </w:p>
        </w:tc>
        <w:tc>
          <w:tcPr>
            <w:tcW w:w="1510" w:type="dxa"/>
          </w:tcPr>
          <w:p>
            <w:pPr>
              <w:pStyle w:val="12"/>
              <w:spacing w:line="480" w:lineRule="auto"/>
              <w:ind w:firstLine="480" w:firstLineChars="200"/>
              <w:jc w:val="left"/>
              <w:rPr>
                <w:rFonts w:hAnsi="宋体" w:cs="宋体"/>
                <w:sz w:val="24"/>
                <w:szCs w:val="24"/>
              </w:rPr>
            </w:pPr>
          </w:p>
        </w:tc>
        <w:tc>
          <w:tcPr>
            <w:tcW w:w="993"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67" w:type="dxa"/>
          </w:tcPr>
          <w:p>
            <w:pPr>
              <w:pStyle w:val="12"/>
              <w:spacing w:line="480" w:lineRule="auto"/>
              <w:ind w:firstLine="480" w:firstLineChars="200"/>
              <w:jc w:val="left"/>
              <w:rPr>
                <w:rFonts w:hAnsi="宋体" w:cs="宋体"/>
                <w:sz w:val="24"/>
                <w:szCs w:val="24"/>
              </w:rPr>
            </w:pPr>
          </w:p>
        </w:tc>
        <w:tc>
          <w:tcPr>
            <w:tcW w:w="1660" w:type="dxa"/>
          </w:tcPr>
          <w:p>
            <w:pPr>
              <w:pStyle w:val="12"/>
              <w:spacing w:line="480" w:lineRule="auto"/>
              <w:ind w:firstLine="480" w:firstLineChars="200"/>
              <w:jc w:val="left"/>
              <w:rPr>
                <w:rFonts w:hAnsi="宋体" w:cs="宋体"/>
                <w:sz w:val="24"/>
                <w:szCs w:val="24"/>
              </w:rPr>
            </w:pPr>
          </w:p>
        </w:tc>
        <w:tc>
          <w:tcPr>
            <w:tcW w:w="1750" w:type="dxa"/>
          </w:tcPr>
          <w:p>
            <w:pPr>
              <w:pStyle w:val="12"/>
              <w:spacing w:line="480" w:lineRule="auto"/>
              <w:ind w:firstLine="480" w:firstLineChars="200"/>
              <w:jc w:val="left"/>
              <w:rPr>
                <w:rFonts w:hAnsi="宋体" w:cs="宋体"/>
                <w:sz w:val="24"/>
                <w:szCs w:val="24"/>
              </w:rPr>
            </w:pPr>
          </w:p>
        </w:tc>
        <w:tc>
          <w:tcPr>
            <w:tcW w:w="2640" w:type="dxa"/>
          </w:tcPr>
          <w:p>
            <w:pPr>
              <w:pStyle w:val="12"/>
              <w:spacing w:line="480" w:lineRule="auto"/>
              <w:ind w:firstLine="480" w:firstLineChars="200"/>
              <w:jc w:val="left"/>
              <w:rPr>
                <w:rFonts w:hAnsi="宋体" w:cs="宋体"/>
                <w:sz w:val="24"/>
                <w:szCs w:val="24"/>
              </w:rPr>
            </w:pPr>
          </w:p>
        </w:tc>
        <w:tc>
          <w:tcPr>
            <w:tcW w:w="1510" w:type="dxa"/>
          </w:tcPr>
          <w:p>
            <w:pPr>
              <w:pStyle w:val="12"/>
              <w:spacing w:line="480" w:lineRule="auto"/>
              <w:ind w:firstLine="480" w:firstLineChars="200"/>
              <w:jc w:val="left"/>
              <w:rPr>
                <w:rFonts w:hAnsi="宋体" w:cs="宋体"/>
                <w:sz w:val="24"/>
                <w:szCs w:val="24"/>
              </w:rPr>
            </w:pPr>
          </w:p>
        </w:tc>
        <w:tc>
          <w:tcPr>
            <w:tcW w:w="993"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67" w:type="dxa"/>
          </w:tcPr>
          <w:p>
            <w:pPr>
              <w:pStyle w:val="12"/>
              <w:spacing w:line="480" w:lineRule="auto"/>
              <w:ind w:firstLine="480" w:firstLineChars="200"/>
              <w:jc w:val="left"/>
              <w:rPr>
                <w:rFonts w:hAnsi="宋体" w:cs="宋体"/>
                <w:sz w:val="24"/>
                <w:szCs w:val="24"/>
              </w:rPr>
            </w:pPr>
          </w:p>
        </w:tc>
        <w:tc>
          <w:tcPr>
            <w:tcW w:w="1660" w:type="dxa"/>
          </w:tcPr>
          <w:p>
            <w:pPr>
              <w:pStyle w:val="12"/>
              <w:spacing w:line="480" w:lineRule="auto"/>
              <w:ind w:firstLine="480" w:firstLineChars="200"/>
              <w:jc w:val="left"/>
              <w:rPr>
                <w:rFonts w:hAnsi="宋体" w:cs="宋体"/>
                <w:sz w:val="24"/>
                <w:szCs w:val="24"/>
              </w:rPr>
            </w:pPr>
          </w:p>
        </w:tc>
        <w:tc>
          <w:tcPr>
            <w:tcW w:w="1750" w:type="dxa"/>
          </w:tcPr>
          <w:p>
            <w:pPr>
              <w:pStyle w:val="12"/>
              <w:spacing w:line="480" w:lineRule="auto"/>
              <w:ind w:firstLine="480" w:firstLineChars="200"/>
              <w:jc w:val="left"/>
              <w:rPr>
                <w:rFonts w:hAnsi="宋体" w:cs="宋体"/>
                <w:sz w:val="24"/>
                <w:szCs w:val="24"/>
              </w:rPr>
            </w:pPr>
          </w:p>
        </w:tc>
        <w:tc>
          <w:tcPr>
            <w:tcW w:w="2640" w:type="dxa"/>
          </w:tcPr>
          <w:p>
            <w:pPr>
              <w:pStyle w:val="12"/>
              <w:spacing w:line="480" w:lineRule="auto"/>
              <w:ind w:firstLine="480" w:firstLineChars="200"/>
              <w:jc w:val="left"/>
              <w:rPr>
                <w:rFonts w:hAnsi="宋体" w:cs="宋体"/>
                <w:sz w:val="24"/>
                <w:szCs w:val="24"/>
              </w:rPr>
            </w:pPr>
          </w:p>
        </w:tc>
        <w:tc>
          <w:tcPr>
            <w:tcW w:w="1510" w:type="dxa"/>
          </w:tcPr>
          <w:p>
            <w:pPr>
              <w:pStyle w:val="12"/>
              <w:spacing w:line="480" w:lineRule="auto"/>
              <w:ind w:firstLine="480" w:firstLineChars="200"/>
              <w:jc w:val="left"/>
              <w:rPr>
                <w:rFonts w:hAnsi="宋体" w:cs="宋体"/>
                <w:sz w:val="24"/>
                <w:szCs w:val="24"/>
              </w:rPr>
            </w:pPr>
          </w:p>
        </w:tc>
        <w:tc>
          <w:tcPr>
            <w:tcW w:w="993"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67" w:type="dxa"/>
          </w:tcPr>
          <w:p>
            <w:pPr>
              <w:pStyle w:val="12"/>
              <w:spacing w:line="480" w:lineRule="auto"/>
              <w:ind w:firstLine="480" w:firstLineChars="200"/>
              <w:jc w:val="left"/>
              <w:rPr>
                <w:rFonts w:hAnsi="宋体" w:cs="宋体"/>
                <w:sz w:val="24"/>
                <w:szCs w:val="24"/>
              </w:rPr>
            </w:pPr>
          </w:p>
        </w:tc>
        <w:tc>
          <w:tcPr>
            <w:tcW w:w="1660" w:type="dxa"/>
          </w:tcPr>
          <w:p>
            <w:pPr>
              <w:pStyle w:val="12"/>
              <w:spacing w:line="480" w:lineRule="auto"/>
              <w:ind w:firstLine="480" w:firstLineChars="200"/>
              <w:jc w:val="left"/>
              <w:rPr>
                <w:rFonts w:hAnsi="宋体" w:cs="宋体"/>
                <w:sz w:val="24"/>
                <w:szCs w:val="24"/>
              </w:rPr>
            </w:pPr>
          </w:p>
        </w:tc>
        <w:tc>
          <w:tcPr>
            <w:tcW w:w="1750" w:type="dxa"/>
          </w:tcPr>
          <w:p>
            <w:pPr>
              <w:pStyle w:val="12"/>
              <w:spacing w:line="480" w:lineRule="auto"/>
              <w:ind w:firstLine="480" w:firstLineChars="200"/>
              <w:jc w:val="left"/>
              <w:rPr>
                <w:rFonts w:hAnsi="宋体" w:cs="宋体"/>
                <w:sz w:val="24"/>
                <w:szCs w:val="24"/>
              </w:rPr>
            </w:pPr>
          </w:p>
        </w:tc>
        <w:tc>
          <w:tcPr>
            <w:tcW w:w="2640" w:type="dxa"/>
          </w:tcPr>
          <w:p>
            <w:pPr>
              <w:pStyle w:val="12"/>
              <w:spacing w:line="480" w:lineRule="auto"/>
              <w:ind w:firstLine="480" w:firstLineChars="200"/>
              <w:jc w:val="left"/>
              <w:rPr>
                <w:rFonts w:hAnsi="宋体" w:cs="宋体"/>
                <w:sz w:val="24"/>
                <w:szCs w:val="24"/>
              </w:rPr>
            </w:pPr>
          </w:p>
        </w:tc>
        <w:tc>
          <w:tcPr>
            <w:tcW w:w="1510" w:type="dxa"/>
          </w:tcPr>
          <w:p>
            <w:pPr>
              <w:pStyle w:val="12"/>
              <w:spacing w:line="480" w:lineRule="auto"/>
              <w:ind w:firstLine="480" w:firstLineChars="200"/>
              <w:jc w:val="left"/>
              <w:rPr>
                <w:rFonts w:hAnsi="宋体" w:cs="宋体"/>
                <w:sz w:val="24"/>
                <w:szCs w:val="24"/>
              </w:rPr>
            </w:pPr>
          </w:p>
        </w:tc>
        <w:tc>
          <w:tcPr>
            <w:tcW w:w="993"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67" w:type="dxa"/>
          </w:tcPr>
          <w:p>
            <w:pPr>
              <w:pStyle w:val="12"/>
              <w:spacing w:line="480" w:lineRule="auto"/>
              <w:ind w:firstLine="480" w:firstLineChars="200"/>
              <w:jc w:val="left"/>
              <w:rPr>
                <w:rFonts w:hAnsi="宋体" w:cs="宋体"/>
                <w:sz w:val="24"/>
                <w:szCs w:val="24"/>
              </w:rPr>
            </w:pPr>
          </w:p>
        </w:tc>
        <w:tc>
          <w:tcPr>
            <w:tcW w:w="1660" w:type="dxa"/>
          </w:tcPr>
          <w:p>
            <w:pPr>
              <w:pStyle w:val="12"/>
              <w:spacing w:line="480" w:lineRule="auto"/>
              <w:ind w:firstLine="480" w:firstLineChars="200"/>
              <w:jc w:val="left"/>
              <w:rPr>
                <w:rFonts w:hAnsi="宋体" w:cs="宋体"/>
                <w:sz w:val="24"/>
                <w:szCs w:val="24"/>
              </w:rPr>
            </w:pPr>
          </w:p>
        </w:tc>
        <w:tc>
          <w:tcPr>
            <w:tcW w:w="1750" w:type="dxa"/>
          </w:tcPr>
          <w:p>
            <w:pPr>
              <w:pStyle w:val="12"/>
              <w:spacing w:line="480" w:lineRule="auto"/>
              <w:ind w:firstLine="480" w:firstLineChars="200"/>
              <w:jc w:val="left"/>
              <w:rPr>
                <w:rFonts w:hAnsi="宋体" w:cs="宋体"/>
                <w:sz w:val="24"/>
                <w:szCs w:val="24"/>
              </w:rPr>
            </w:pPr>
          </w:p>
        </w:tc>
        <w:tc>
          <w:tcPr>
            <w:tcW w:w="2640" w:type="dxa"/>
          </w:tcPr>
          <w:p>
            <w:pPr>
              <w:pStyle w:val="12"/>
              <w:spacing w:line="480" w:lineRule="auto"/>
              <w:ind w:firstLine="480" w:firstLineChars="200"/>
              <w:jc w:val="left"/>
              <w:rPr>
                <w:rFonts w:hAnsi="宋体" w:cs="宋体"/>
                <w:sz w:val="24"/>
                <w:szCs w:val="24"/>
              </w:rPr>
            </w:pPr>
          </w:p>
        </w:tc>
        <w:tc>
          <w:tcPr>
            <w:tcW w:w="1510" w:type="dxa"/>
          </w:tcPr>
          <w:p>
            <w:pPr>
              <w:pStyle w:val="12"/>
              <w:spacing w:line="480" w:lineRule="auto"/>
              <w:ind w:firstLine="480" w:firstLineChars="200"/>
              <w:jc w:val="left"/>
              <w:rPr>
                <w:rFonts w:hAnsi="宋体" w:cs="宋体"/>
                <w:sz w:val="24"/>
                <w:szCs w:val="24"/>
              </w:rPr>
            </w:pPr>
          </w:p>
        </w:tc>
        <w:tc>
          <w:tcPr>
            <w:tcW w:w="993"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67" w:type="dxa"/>
          </w:tcPr>
          <w:p>
            <w:pPr>
              <w:pStyle w:val="12"/>
              <w:spacing w:line="480" w:lineRule="auto"/>
              <w:ind w:firstLine="480" w:firstLineChars="200"/>
              <w:jc w:val="left"/>
              <w:rPr>
                <w:rFonts w:hAnsi="宋体" w:cs="宋体"/>
                <w:sz w:val="24"/>
                <w:szCs w:val="24"/>
              </w:rPr>
            </w:pPr>
          </w:p>
        </w:tc>
        <w:tc>
          <w:tcPr>
            <w:tcW w:w="1660" w:type="dxa"/>
          </w:tcPr>
          <w:p>
            <w:pPr>
              <w:pStyle w:val="12"/>
              <w:spacing w:line="480" w:lineRule="auto"/>
              <w:ind w:firstLine="480" w:firstLineChars="200"/>
              <w:jc w:val="left"/>
              <w:rPr>
                <w:rFonts w:hAnsi="宋体" w:cs="宋体"/>
                <w:sz w:val="24"/>
                <w:szCs w:val="24"/>
              </w:rPr>
            </w:pPr>
          </w:p>
        </w:tc>
        <w:tc>
          <w:tcPr>
            <w:tcW w:w="1750" w:type="dxa"/>
          </w:tcPr>
          <w:p>
            <w:pPr>
              <w:pStyle w:val="12"/>
              <w:spacing w:line="480" w:lineRule="auto"/>
              <w:ind w:firstLine="480" w:firstLineChars="200"/>
              <w:jc w:val="left"/>
              <w:rPr>
                <w:rFonts w:hAnsi="宋体" w:cs="宋体"/>
                <w:sz w:val="24"/>
                <w:szCs w:val="24"/>
              </w:rPr>
            </w:pPr>
          </w:p>
        </w:tc>
        <w:tc>
          <w:tcPr>
            <w:tcW w:w="2640" w:type="dxa"/>
          </w:tcPr>
          <w:p>
            <w:pPr>
              <w:pStyle w:val="12"/>
              <w:spacing w:line="480" w:lineRule="auto"/>
              <w:ind w:firstLine="480" w:firstLineChars="200"/>
              <w:jc w:val="left"/>
              <w:rPr>
                <w:rFonts w:hAnsi="宋体" w:cs="宋体"/>
                <w:sz w:val="24"/>
                <w:szCs w:val="24"/>
              </w:rPr>
            </w:pPr>
          </w:p>
        </w:tc>
        <w:tc>
          <w:tcPr>
            <w:tcW w:w="1510" w:type="dxa"/>
          </w:tcPr>
          <w:p>
            <w:pPr>
              <w:pStyle w:val="12"/>
              <w:spacing w:line="480" w:lineRule="auto"/>
              <w:ind w:firstLine="480" w:firstLineChars="200"/>
              <w:jc w:val="left"/>
              <w:rPr>
                <w:rFonts w:hAnsi="宋体" w:cs="宋体"/>
                <w:sz w:val="24"/>
                <w:szCs w:val="24"/>
              </w:rPr>
            </w:pPr>
          </w:p>
        </w:tc>
        <w:tc>
          <w:tcPr>
            <w:tcW w:w="993"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67" w:type="dxa"/>
          </w:tcPr>
          <w:p>
            <w:pPr>
              <w:pStyle w:val="12"/>
              <w:spacing w:line="480" w:lineRule="auto"/>
              <w:jc w:val="left"/>
              <w:rPr>
                <w:rFonts w:hAnsi="宋体" w:cs="宋体"/>
                <w:sz w:val="24"/>
                <w:szCs w:val="24"/>
              </w:rPr>
            </w:pPr>
            <w:r>
              <w:rPr>
                <w:rFonts w:hint="eastAsia" w:hAnsi="宋体" w:cs="宋体"/>
                <w:sz w:val="24"/>
                <w:szCs w:val="24"/>
              </w:rPr>
              <w:t>....</w:t>
            </w:r>
          </w:p>
        </w:tc>
        <w:tc>
          <w:tcPr>
            <w:tcW w:w="1660" w:type="dxa"/>
          </w:tcPr>
          <w:p>
            <w:pPr>
              <w:pStyle w:val="12"/>
              <w:spacing w:line="480" w:lineRule="auto"/>
              <w:jc w:val="left"/>
              <w:rPr>
                <w:rFonts w:hAnsi="宋体" w:cs="宋体"/>
                <w:sz w:val="24"/>
                <w:szCs w:val="24"/>
              </w:rPr>
            </w:pPr>
            <w:r>
              <w:rPr>
                <w:rFonts w:hint="eastAsia" w:hAnsi="宋体" w:cs="宋体"/>
                <w:sz w:val="24"/>
                <w:szCs w:val="24"/>
              </w:rPr>
              <w:t>合同其他条款</w:t>
            </w:r>
          </w:p>
        </w:tc>
        <w:tc>
          <w:tcPr>
            <w:tcW w:w="1750" w:type="dxa"/>
          </w:tcPr>
          <w:p>
            <w:pPr>
              <w:pStyle w:val="12"/>
              <w:spacing w:line="480" w:lineRule="auto"/>
              <w:ind w:firstLine="480" w:firstLineChars="200"/>
              <w:jc w:val="left"/>
              <w:rPr>
                <w:rFonts w:hAnsi="宋体" w:cs="宋体"/>
                <w:sz w:val="24"/>
                <w:szCs w:val="24"/>
              </w:rPr>
            </w:pPr>
          </w:p>
        </w:tc>
        <w:tc>
          <w:tcPr>
            <w:tcW w:w="2640" w:type="dxa"/>
          </w:tcPr>
          <w:p>
            <w:pPr>
              <w:pStyle w:val="12"/>
              <w:spacing w:line="480" w:lineRule="auto"/>
              <w:ind w:firstLine="480" w:firstLineChars="200"/>
              <w:jc w:val="left"/>
              <w:rPr>
                <w:rFonts w:hAnsi="宋体" w:cs="宋体"/>
                <w:sz w:val="24"/>
                <w:szCs w:val="24"/>
              </w:rPr>
            </w:pPr>
          </w:p>
        </w:tc>
        <w:tc>
          <w:tcPr>
            <w:tcW w:w="1510" w:type="dxa"/>
          </w:tcPr>
          <w:p>
            <w:pPr>
              <w:pStyle w:val="12"/>
              <w:spacing w:line="480" w:lineRule="auto"/>
              <w:ind w:firstLine="480" w:firstLineChars="200"/>
              <w:jc w:val="left"/>
              <w:rPr>
                <w:rFonts w:hAnsi="宋体" w:cs="宋体"/>
                <w:sz w:val="24"/>
                <w:szCs w:val="24"/>
              </w:rPr>
            </w:pPr>
          </w:p>
        </w:tc>
        <w:tc>
          <w:tcPr>
            <w:tcW w:w="993" w:type="dxa"/>
          </w:tcPr>
          <w:p>
            <w:pPr>
              <w:pStyle w:val="12"/>
              <w:spacing w:line="480" w:lineRule="auto"/>
              <w:ind w:firstLine="480" w:firstLineChars="200"/>
              <w:jc w:val="left"/>
              <w:rPr>
                <w:rFonts w:hAnsi="宋体" w:cs="宋体"/>
                <w:sz w:val="24"/>
                <w:szCs w:val="24"/>
              </w:rPr>
            </w:pPr>
          </w:p>
        </w:tc>
      </w:tr>
    </w:tbl>
    <w:p>
      <w:pPr>
        <w:pStyle w:val="7"/>
        <w:numPr>
          <w:ilvl w:val="0"/>
          <w:numId w:val="27"/>
        </w:numPr>
        <w:rPr>
          <w:rFonts w:ascii="宋体" w:hAnsi="宋体" w:cs="宋体"/>
          <w:b/>
          <w:bCs/>
          <w:sz w:val="28"/>
          <w:szCs w:val="28"/>
        </w:rPr>
      </w:pPr>
      <w:r>
        <w:rPr>
          <w:rFonts w:hint="eastAsia" w:ascii="宋体" w:hAnsi="宋体" w:cs="宋体"/>
          <w:b/>
          <w:bCs/>
          <w:sz w:val="28"/>
          <w:szCs w:val="28"/>
        </w:rPr>
        <w:t>本表须按“第五部分商务条款与采购要求”中所列商务条款进行比较和响应；</w:t>
      </w:r>
    </w:p>
    <w:p>
      <w:pPr>
        <w:pStyle w:val="7"/>
        <w:numPr>
          <w:ilvl w:val="0"/>
          <w:numId w:val="27"/>
        </w:numPr>
        <w:rPr>
          <w:rFonts w:ascii="宋体" w:hAnsi="宋体" w:cs="宋体"/>
          <w:sz w:val="28"/>
          <w:szCs w:val="28"/>
        </w:rPr>
      </w:pPr>
      <w:r>
        <w:rPr>
          <w:rFonts w:hint="eastAsia" w:ascii="宋体" w:hAnsi="宋体" w:cs="宋体"/>
          <w:b/>
          <w:bCs/>
          <w:sz w:val="28"/>
          <w:szCs w:val="28"/>
        </w:rPr>
        <w:t>该表必须按照招标文件要求逐条如实填写，根据情况在“偏离情况”项填写正偏离或负偏离或无偏离，在“说明”项填写正偏离或负偏离原因。</w:t>
      </w:r>
    </w:p>
    <w:p>
      <w:pPr>
        <w:pStyle w:val="7"/>
        <w:ind w:left="140" w:firstLine="0"/>
        <w:rPr>
          <w:rFonts w:ascii="宋体" w:hAnsi="宋体" w:cs="宋体"/>
          <w:sz w:val="28"/>
          <w:szCs w:val="28"/>
        </w:rPr>
      </w:pPr>
      <w:r>
        <w:rPr>
          <w:rFonts w:hint="eastAsia" w:ascii="宋体" w:hAnsi="宋体" w:cs="宋体"/>
          <w:b/>
          <w:bCs/>
          <w:sz w:val="28"/>
          <w:szCs w:val="28"/>
        </w:rPr>
        <w:t>3、该表可扩展。商务条款不允许负偏离；</w:t>
      </w: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Theme="minorEastAsia" w:hAnsiTheme="minorEastAsia" w:eastAsiaTheme="minorEastAsia" w:cstheme="minorEastAsia"/>
          <w:sz w:val="28"/>
          <w:szCs w:val="28"/>
        </w:r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 xml:space="preserve"> 日</w:t>
      </w:r>
    </w:p>
    <w:p>
      <w:pPr>
        <w:widowControl/>
        <w:jc w:val="left"/>
        <w:rPr>
          <w:rFonts w:asciiTheme="minorEastAsia" w:hAnsiTheme="minorEastAsia" w:eastAsiaTheme="minorEastAsia" w:cstheme="minorEastAsia"/>
          <w:sz w:val="24"/>
          <w:szCs w:val="24"/>
        </w:rPr>
      </w:pPr>
    </w:p>
    <w:p>
      <w:pPr>
        <w:widowControl/>
        <w:jc w:val="left"/>
        <w:rPr>
          <w:rFonts w:asciiTheme="minorEastAsia" w:hAnsiTheme="minorEastAsia" w:eastAsiaTheme="minorEastAsia" w:cstheme="minorEastAsia"/>
        </w:rPr>
      </w:pPr>
    </w:p>
    <w:p>
      <w:pPr>
        <w:rPr>
          <w:rFonts w:asciiTheme="minorEastAsia" w:hAnsiTheme="minorEastAsia" w:eastAsiaTheme="minorEastAsia" w:cstheme="minorEastAsia"/>
          <w:sz w:val="36"/>
          <w:szCs w:val="36"/>
        </w:rPr>
      </w:pPr>
      <w:bookmarkStart w:id="167" w:name="OLE_LINK1"/>
      <w:bookmarkStart w:id="168" w:name="_Toc10525"/>
      <w:bookmarkStart w:id="169" w:name="_Toc32514"/>
      <w:bookmarkStart w:id="170" w:name="_Toc15860"/>
      <w:bookmarkStart w:id="171" w:name="_Toc22439"/>
      <w:r>
        <w:rPr>
          <w:rFonts w:hint="eastAsia" w:asciiTheme="minorEastAsia" w:hAnsiTheme="minorEastAsia" w:eastAsiaTheme="minorEastAsia" w:cstheme="minorEastAsia"/>
          <w:sz w:val="36"/>
          <w:szCs w:val="36"/>
        </w:rPr>
        <w:br w:type="page"/>
      </w:r>
    </w:p>
    <w:bookmarkEnd w:id="166"/>
    <w:bookmarkEnd w:id="167"/>
    <w:p>
      <w:pPr>
        <w:pStyle w:val="4"/>
        <w:spacing w:before="319" w:beforeLines="100" w:after="478" w:afterLines="150" w:line="500" w:lineRule="exact"/>
        <w:rPr>
          <w:rFonts w:hint="eastAsia" w:asciiTheme="minorEastAsia" w:hAnsiTheme="minorEastAsia" w:eastAsiaTheme="minorEastAsia" w:cstheme="minorEastAsia"/>
          <w:sz w:val="36"/>
          <w:szCs w:val="36"/>
          <w:lang w:eastAsia="zh-CN"/>
        </w:rPr>
      </w:pPr>
      <w:bookmarkStart w:id="172" w:name="_Toc6838"/>
      <w:r>
        <w:rPr>
          <w:rFonts w:hint="eastAsia" w:asciiTheme="minorEastAsia" w:hAnsiTheme="minorEastAsia" w:eastAsiaTheme="minorEastAsia" w:cstheme="minorEastAsia"/>
          <w:sz w:val="36"/>
          <w:szCs w:val="36"/>
        </w:rPr>
        <w:t xml:space="preserve">第四部分  </w:t>
      </w:r>
      <w:bookmarkEnd w:id="168"/>
      <w:bookmarkEnd w:id="169"/>
      <w:bookmarkEnd w:id="170"/>
      <w:bookmarkEnd w:id="171"/>
      <w:r>
        <w:rPr>
          <w:rFonts w:hint="eastAsia" w:asciiTheme="minorEastAsia" w:hAnsiTheme="minorEastAsia" w:eastAsiaTheme="minorEastAsia" w:cstheme="minorEastAsia"/>
          <w:sz w:val="36"/>
          <w:szCs w:val="36"/>
          <w:lang w:eastAsia="zh-CN"/>
        </w:rPr>
        <w:t>无重大违法记录声明</w:t>
      </w:r>
      <w:bookmarkEnd w:id="172"/>
    </w:p>
    <w:p>
      <w:pPr>
        <w:widowControl/>
        <w:snapToGrid w:val="0"/>
        <w:spacing w:line="480"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我单位参与</w:t>
      </w:r>
      <w:r>
        <w:rPr>
          <w:rFonts w:hint="eastAsia" w:asciiTheme="minorEastAsia" w:hAnsiTheme="minorEastAsia" w:eastAsiaTheme="minorEastAsia" w:cstheme="minorEastAsia"/>
          <w:kern w:val="0"/>
          <w:sz w:val="24"/>
          <w:szCs w:val="24"/>
          <w:u w:val="single"/>
        </w:rPr>
        <w:t>陕西万泽招标有限公司</w:t>
      </w:r>
      <w:r>
        <w:rPr>
          <w:rFonts w:hint="eastAsia" w:asciiTheme="minorEastAsia" w:hAnsiTheme="minorEastAsia" w:eastAsiaTheme="minorEastAsia" w:cstheme="minorEastAsia"/>
          <w:kern w:val="0"/>
          <w:sz w:val="24"/>
          <w:szCs w:val="24"/>
        </w:rPr>
        <w:t>组织的</w:t>
      </w:r>
      <w:r>
        <w:rPr>
          <w:rFonts w:hint="eastAsia" w:asciiTheme="minorEastAsia" w:hAnsiTheme="minorEastAsia" w:eastAsiaTheme="minorEastAsia" w:cstheme="minorEastAsia"/>
          <w:sz w:val="24"/>
          <w:szCs w:val="24"/>
          <w:u w:val="single"/>
        </w:rPr>
        <w:t xml:space="preserve"> （项目名称 ）</w:t>
      </w:r>
      <w:r>
        <w:rPr>
          <w:rFonts w:hint="eastAsia" w:asciiTheme="minorEastAsia" w:hAnsiTheme="minorEastAsia" w:eastAsiaTheme="minorEastAsia" w:cstheme="minorEastAsia"/>
          <w:kern w:val="0"/>
          <w:sz w:val="24"/>
          <w:szCs w:val="24"/>
        </w:rPr>
        <w:t>公开招标，我单位郑重声明：我方参加本项目公开招标工作前三年内无重大违法活动记录，符合《中华人民共和国政府采购法》规定的供应商资格条件，我方对此声明负全部法律责任。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特此声明。</w:t>
      </w:r>
    </w:p>
    <w:p>
      <w:pPr>
        <w:rPr>
          <w:rFonts w:asciiTheme="minorEastAsia" w:hAnsiTheme="minorEastAsia" w:eastAsiaTheme="minorEastAsia" w:cstheme="minorEastAsia"/>
          <w:kern w:val="0"/>
          <w:sz w:val="24"/>
          <w:szCs w:val="24"/>
        </w:rPr>
      </w:pPr>
    </w:p>
    <w:p>
      <w:pPr>
        <w:widowControl/>
        <w:snapToGrid w:val="0"/>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供应商（单位名称及公章）：_____________________________</w:t>
      </w:r>
    </w:p>
    <w:p>
      <w:pPr>
        <w:pStyle w:val="12"/>
        <w:snapToGrid w:val="0"/>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法定代表人或被授权人（签字或盖章）：______________________</w:t>
      </w:r>
    </w:p>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日    期：_____________________________</w:t>
      </w:r>
    </w:p>
    <w:p>
      <w:pPr>
        <w:pStyle w:val="2"/>
        <w:rPr>
          <w:rFonts w:hint="eastAsia"/>
          <w:lang w:eastAsia="zh-CN"/>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4"/>
        <w:spacing w:before="319" w:beforeLines="100" w:after="478" w:afterLines="150" w:line="500" w:lineRule="exact"/>
        <w:rPr>
          <w:rFonts w:hint="eastAsia" w:ascii="宋体" w:hAnsi="宋体" w:eastAsia="宋体" w:cs="宋体"/>
          <w:lang w:eastAsia="zh-CN"/>
        </w:rPr>
      </w:pPr>
      <w:bookmarkStart w:id="173" w:name="_Toc2445"/>
      <w:bookmarkStart w:id="174" w:name="_Toc14575"/>
      <w:bookmarkStart w:id="175" w:name="_Toc29109"/>
      <w:bookmarkStart w:id="176" w:name="_Toc26570"/>
      <w:bookmarkStart w:id="177" w:name="_Toc18738"/>
      <w:r>
        <w:rPr>
          <w:rFonts w:hint="eastAsia" w:ascii="宋体" w:hAnsi="宋体" w:cs="宋体"/>
          <w:sz w:val="36"/>
          <w:szCs w:val="36"/>
        </w:rPr>
        <w:t xml:space="preserve">第五部分  </w:t>
      </w:r>
      <w:r>
        <w:rPr>
          <w:rFonts w:hint="eastAsia" w:ascii="宋体" w:hAnsi="宋体" w:cs="宋体"/>
          <w:sz w:val="36"/>
          <w:szCs w:val="36"/>
          <w:lang w:eastAsia="zh-CN"/>
        </w:rPr>
        <w:t>供应商资质要求</w:t>
      </w:r>
      <w:bookmarkEnd w:id="173"/>
    </w:p>
    <w:p>
      <w:pPr>
        <w:snapToGrid w:val="0"/>
        <w:spacing w:line="360" w:lineRule="auto"/>
        <w:ind w:right="-199" w:rightChars="-95"/>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资质要求资料复印件须加盖供应商公章</w:t>
      </w:r>
    </w:p>
    <w:p>
      <w:pPr>
        <w:jc w:val="center"/>
        <w:rPr>
          <w:b/>
          <w:bCs/>
        </w:rPr>
      </w:pPr>
      <w:r>
        <w:rPr>
          <w:rFonts w:hint="eastAsia"/>
          <w:b/>
          <w:bCs/>
        </w:rPr>
        <w:t>法定代表人证明书（格式）</w:t>
      </w:r>
    </w:p>
    <w:tbl>
      <w:tblPr>
        <w:tblStyle w:val="24"/>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283"/>
        <w:gridCol w:w="1899"/>
        <w:gridCol w:w="178"/>
        <w:gridCol w:w="208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20" w:type="dxa"/>
            <w:gridSpan w:val="6"/>
            <w:vAlign w:val="center"/>
          </w:tcPr>
          <w:p>
            <w:r>
              <w:rPr>
                <w:rFonts w:hint="eastAsia"/>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75" w:type="dxa"/>
            <w:vMerge w:val="restart"/>
            <w:vAlign w:val="center"/>
          </w:tcPr>
          <w:p>
            <w:r>
              <w:rPr>
                <w:rFonts w:hint="eastAsia"/>
              </w:rPr>
              <w:t>企</w:t>
            </w:r>
          </w:p>
          <w:p>
            <w:r>
              <w:rPr>
                <w:rFonts w:hint="eastAsia"/>
              </w:rPr>
              <w:t>业</w:t>
            </w:r>
          </w:p>
          <w:p>
            <w:r>
              <w:rPr>
                <w:rFonts w:hint="eastAsia"/>
              </w:rPr>
              <w:t>法</w:t>
            </w:r>
          </w:p>
          <w:p>
            <w:r>
              <w:rPr>
                <w:rFonts w:hint="eastAsia"/>
              </w:rPr>
              <w:t>人</w:t>
            </w:r>
          </w:p>
        </w:tc>
        <w:tc>
          <w:tcPr>
            <w:tcW w:w="2283" w:type="dxa"/>
            <w:vAlign w:val="center"/>
          </w:tcPr>
          <w:p>
            <w:r>
              <w:rPr>
                <w:rFonts w:hint="eastAsia"/>
              </w:rPr>
              <w:t>企业名称</w:t>
            </w:r>
          </w:p>
        </w:tc>
        <w:tc>
          <w:tcPr>
            <w:tcW w:w="6262"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75" w:type="dxa"/>
            <w:vMerge w:val="continue"/>
            <w:vAlign w:val="center"/>
          </w:tcPr>
          <w:p/>
        </w:tc>
        <w:tc>
          <w:tcPr>
            <w:tcW w:w="2283" w:type="dxa"/>
            <w:vAlign w:val="center"/>
          </w:tcPr>
          <w:p>
            <w:r>
              <w:rPr>
                <w:rFonts w:hint="eastAsia"/>
              </w:rPr>
              <w:t>法定地址</w:t>
            </w:r>
          </w:p>
        </w:tc>
        <w:tc>
          <w:tcPr>
            <w:tcW w:w="6262"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75" w:type="dxa"/>
            <w:vMerge w:val="continue"/>
            <w:vAlign w:val="center"/>
          </w:tcPr>
          <w:p/>
        </w:tc>
        <w:tc>
          <w:tcPr>
            <w:tcW w:w="2283" w:type="dxa"/>
            <w:vAlign w:val="center"/>
          </w:tcPr>
          <w:p>
            <w:r>
              <w:rPr>
                <w:rFonts w:hint="eastAsia"/>
              </w:rPr>
              <w:t>邮政编码</w:t>
            </w:r>
          </w:p>
        </w:tc>
        <w:tc>
          <w:tcPr>
            <w:tcW w:w="6262"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75" w:type="dxa"/>
            <w:vMerge w:val="continue"/>
            <w:vAlign w:val="center"/>
          </w:tcPr>
          <w:p/>
        </w:tc>
        <w:tc>
          <w:tcPr>
            <w:tcW w:w="2283" w:type="dxa"/>
            <w:vAlign w:val="center"/>
          </w:tcPr>
          <w:p>
            <w:r>
              <w:rPr>
                <w:rFonts w:hint="eastAsia"/>
              </w:rPr>
              <w:t>工商登记机关</w:t>
            </w:r>
          </w:p>
        </w:tc>
        <w:tc>
          <w:tcPr>
            <w:tcW w:w="6262"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75" w:type="dxa"/>
            <w:vMerge w:val="continue"/>
            <w:vAlign w:val="center"/>
          </w:tcPr>
          <w:p/>
        </w:tc>
        <w:tc>
          <w:tcPr>
            <w:tcW w:w="2283" w:type="dxa"/>
            <w:vAlign w:val="center"/>
          </w:tcPr>
          <w:p>
            <w:r>
              <w:rPr>
                <w:rFonts w:hint="eastAsia"/>
              </w:rPr>
              <w:t>统一社会信用代码</w:t>
            </w:r>
          </w:p>
        </w:tc>
        <w:tc>
          <w:tcPr>
            <w:tcW w:w="6262"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75" w:type="dxa"/>
            <w:vMerge w:val="restart"/>
            <w:vAlign w:val="center"/>
          </w:tcPr>
          <w:p>
            <w:r>
              <w:rPr>
                <w:rFonts w:hint="eastAsia"/>
              </w:rPr>
              <w:t>法</w:t>
            </w:r>
          </w:p>
          <w:p>
            <w:r>
              <w:rPr>
                <w:rFonts w:hint="eastAsia"/>
              </w:rPr>
              <w:t>定</w:t>
            </w:r>
          </w:p>
          <w:p>
            <w:r>
              <w:rPr>
                <w:rFonts w:hint="eastAsia"/>
              </w:rPr>
              <w:t>代</w:t>
            </w:r>
          </w:p>
          <w:p>
            <w:r>
              <w:rPr>
                <w:rFonts w:hint="eastAsia"/>
              </w:rPr>
              <w:t>表</w:t>
            </w:r>
          </w:p>
          <w:p>
            <w:r>
              <w:rPr>
                <w:rFonts w:hint="eastAsia"/>
              </w:rPr>
              <w:t>人</w:t>
            </w:r>
          </w:p>
        </w:tc>
        <w:tc>
          <w:tcPr>
            <w:tcW w:w="2283" w:type="dxa"/>
            <w:vAlign w:val="center"/>
          </w:tcPr>
          <w:p>
            <w:r>
              <w:rPr>
                <w:rFonts w:hint="eastAsia"/>
              </w:rPr>
              <w:t>姓名</w:t>
            </w:r>
          </w:p>
        </w:tc>
        <w:tc>
          <w:tcPr>
            <w:tcW w:w="2077" w:type="dxa"/>
            <w:gridSpan w:val="2"/>
            <w:vAlign w:val="center"/>
          </w:tcPr>
          <w:p/>
        </w:tc>
        <w:tc>
          <w:tcPr>
            <w:tcW w:w="2089" w:type="dxa"/>
            <w:vAlign w:val="center"/>
          </w:tcPr>
          <w:p>
            <w:r>
              <w:rPr>
                <w:rFonts w:hint="eastAsia"/>
              </w:rPr>
              <w:t>性别</w:t>
            </w:r>
          </w:p>
        </w:tc>
        <w:tc>
          <w:tcPr>
            <w:tcW w:w="209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75" w:type="dxa"/>
            <w:vMerge w:val="continue"/>
            <w:vAlign w:val="center"/>
          </w:tcPr>
          <w:p/>
        </w:tc>
        <w:tc>
          <w:tcPr>
            <w:tcW w:w="2283" w:type="dxa"/>
            <w:vAlign w:val="center"/>
          </w:tcPr>
          <w:p>
            <w:r>
              <w:rPr>
                <w:rFonts w:hint="eastAsia"/>
              </w:rPr>
              <w:t>职务</w:t>
            </w:r>
          </w:p>
        </w:tc>
        <w:tc>
          <w:tcPr>
            <w:tcW w:w="2077" w:type="dxa"/>
            <w:gridSpan w:val="2"/>
            <w:vAlign w:val="center"/>
          </w:tcPr>
          <w:p/>
        </w:tc>
        <w:tc>
          <w:tcPr>
            <w:tcW w:w="2089" w:type="dxa"/>
            <w:vAlign w:val="center"/>
          </w:tcPr>
          <w:p>
            <w:r>
              <w:rPr>
                <w:rFonts w:hint="eastAsia"/>
              </w:rPr>
              <w:t>联系电话</w:t>
            </w:r>
          </w:p>
        </w:tc>
        <w:tc>
          <w:tcPr>
            <w:tcW w:w="209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575" w:type="dxa"/>
            <w:vMerge w:val="continue"/>
            <w:vAlign w:val="center"/>
          </w:tcPr>
          <w:p/>
        </w:tc>
        <w:tc>
          <w:tcPr>
            <w:tcW w:w="2283" w:type="dxa"/>
            <w:vAlign w:val="center"/>
          </w:tcPr>
          <w:p>
            <w:r>
              <w:rPr>
                <w:rFonts w:hint="eastAsia"/>
              </w:rPr>
              <w:t>传真</w:t>
            </w:r>
          </w:p>
        </w:tc>
        <w:tc>
          <w:tcPr>
            <w:tcW w:w="6262"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575" w:type="dxa"/>
            <w:vMerge w:val="restart"/>
            <w:vAlign w:val="center"/>
          </w:tcPr>
          <w:p>
            <w:r>
              <w:rPr>
                <w:rFonts w:hint="eastAsia"/>
              </w:rPr>
              <w:t>法</w:t>
            </w:r>
          </w:p>
          <w:p>
            <w:r>
              <w:rPr>
                <w:rFonts w:hint="eastAsia"/>
              </w:rPr>
              <w:t>定</w:t>
            </w:r>
          </w:p>
          <w:p>
            <w:r>
              <w:rPr>
                <w:rFonts w:hint="eastAsia"/>
              </w:rPr>
              <w:t>代</w:t>
            </w:r>
          </w:p>
          <w:p>
            <w:r>
              <w:rPr>
                <w:rFonts w:hint="eastAsia"/>
              </w:rPr>
              <w:t>表</w:t>
            </w:r>
          </w:p>
          <w:p>
            <w:r>
              <w:rPr>
                <w:rFonts w:hint="eastAsia"/>
              </w:rPr>
              <w:t>人</w:t>
            </w:r>
          </w:p>
          <w:p>
            <w:r>
              <w:rPr>
                <w:rFonts w:hint="eastAsia"/>
              </w:rPr>
              <w:t>身</w:t>
            </w:r>
          </w:p>
          <w:p>
            <w:r>
              <w:rPr>
                <w:rFonts w:hint="eastAsia"/>
              </w:rPr>
              <w:t>份</w:t>
            </w:r>
          </w:p>
          <w:p>
            <w:r>
              <w:rPr>
                <w:rFonts w:hint="eastAsia"/>
              </w:rPr>
              <w:t>证</w:t>
            </w:r>
          </w:p>
          <w:p>
            <w:r>
              <w:rPr>
                <w:rFonts w:hint="eastAsia"/>
              </w:rPr>
              <w:t>复</w:t>
            </w:r>
          </w:p>
          <w:p>
            <w:r>
              <w:rPr>
                <w:rFonts w:hint="eastAsia"/>
              </w:rPr>
              <w:t>印</w:t>
            </w:r>
          </w:p>
          <w:p>
            <w:r>
              <w:rPr>
                <w:rFonts w:hint="eastAsia"/>
              </w:rPr>
              <w:t>件</w:t>
            </w:r>
          </w:p>
        </w:tc>
        <w:tc>
          <w:tcPr>
            <w:tcW w:w="4182" w:type="dxa"/>
            <w:gridSpan w:val="2"/>
            <w:vMerge w:val="restart"/>
            <w:vAlign w:val="center"/>
          </w:tcPr>
          <w:p>
            <w:r>
              <w:rPr>
                <w:rFonts w:hint="eastAsia"/>
              </w:rPr>
              <w:t>（正反面）</w:t>
            </w:r>
          </w:p>
        </w:tc>
        <w:tc>
          <w:tcPr>
            <w:tcW w:w="4363" w:type="dxa"/>
            <w:gridSpan w:val="3"/>
            <w:vAlign w:val="center"/>
          </w:tcPr>
          <w:p>
            <w:r>
              <w:rPr>
                <w:rFonts w:hint="eastAsia"/>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575" w:type="dxa"/>
            <w:vMerge w:val="continue"/>
            <w:vAlign w:val="center"/>
          </w:tcPr>
          <w:p/>
        </w:tc>
        <w:tc>
          <w:tcPr>
            <w:tcW w:w="4182" w:type="dxa"/>
            <w:gridSpan w:val="2"/>
            <w:vMerge w:val="continue"/>
            <w:vAlign w:val="center"/>
          </w:tcPr>
          <w:p/>
        </w:tc>
        <w:tc>
          <w:tcPr>
            <w:tcW w:w="4363" w:type="dxa"/>
            <w:gridSpan w:val="3"/>
            <w:vAlign w:val="bottom"/>
          </w:tcPr>
          <w:p>
            <w:r>
              <w:rPr>
                <w:rFonts w:hint="eastAsia"/>
              </w:rPr>
              <w:t>（公章）</w:t>
            </w:r>
          </w:p>
          <w:p/>
          <w:p/>
          <w:p/>
          <w:p/>
        </w:tc>
      </w:tr>
    </w:tbl>
    <w:p/>
    <w:p>
      <w:pPr>
        <w:pageBreakBefore/>
        <w:tabs>
          <w:tab w:val="left" w:pos="210"/>
        </w:tabs>
        <w:spacing w:line="320" w:lineRule="exact"/>
        <w:ind w:firstLine="482" w:firstLineChars="200"/>
        <w:jc w:val="center"/>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法定代表人授权委托书（格式）</w:t>
      </w:r>
    </w:p>
    <w:p>
      <w:pPr>
        <w:pStyle w:val="12"/>
        <w:spacing w:line="500" w:lineRule="exact"/>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陕西万泽招标有限公司：</w:t>
      </w:r>
    </w:p>
    <w:p>
      <w:pPr>
        <w:pStyle w:val="12"/>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本授权书声明：注册于（</w:t>
      </w:r>
      <w:r>
        <w:rPr>
          <w:rFonts w:hint="eastAsia" w:asciiTheme="minorEastAsia" w:hAnsiTheme="minorEastAsia" w:eastAsiaTheme="minorEastAsia" w:cstheme="minorEastAsia"/>
          <w:sz w:val="24"/>
          <w:szCs w:val="24"/>
          <w:u w:val="single"/>
        </w:rPr>
        <w:t>工商行政管理局名称）之（委托单位全称）</w:t>
      </w:r>
      <w:r>
        <w:rPr>
          <w:rFonts w:hint="eastAsia" w:asciiTheme="minorEastAsia" w:hAnsiTheme="minorEastAsia" w:eastAsiaTheme="minorEastAsia" w:cstheme="minorEastAsia"/>
          <w:sz w:val="24"/>
          <w:szCs w:val="24"/>
        </w:rPr>
        <w:t>的法定代表人</w:t>
      </w:r>
      <w:r>
        <w:rPr>
          <w:rFonts w:hint="eastAsia" w:asciiTheme="minorEastAsia" w:hAnsiTheme="minorEastAsia" w:eastAsiaTheme="minorEastAsia" w:cstheme="minorEastAsia"/>
          <w:sz w:val="24"/>
          <w:szCs w:val="24"/>
          <w:u w:val="single"/>
        </w:rPr>
        <w:t>（姓名、性别）</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（被授权人姓名、性别、职务）</w:t>
      </w:r>
      <w:r>
        <w:rPr>
          <w:rFonts w:hint="eastAsia" w:asciiTheme="minorEastAsia" w:hAnsiTheme="minorEastAsia" w:eastAsiaTheme="minorEastAsia" w:cstheme="minorEastAsia"/>
          <w:sz w:val="24"/>
          <w:szCs w:val="24"/>
        </w:rPr>
        <w:t>为本公司合法代理人，就贵方组织的有关</w:t>
      </w:r>
      <w:r>
        <w:rPr>
          <w:rFonts w:hint="eastAsia" w:asciiTheme="minorEastAsia" w:hAnsiTheme="minorEastAsia" w:eastAsiaTheme="minorEastAsia" w:cstheme="minorEastAsia"/>
          <w:sz w:val="24"/>
          <w:szCs w:val="24"/>
          <w:u w:val="single"/>
        </w:rPr>
        <w:t>（项目名称）</w:t>
      </w:r>
      <w:r>
        <w:rPr>
          <w:rFonts w:hint="eastAsia" w:asciiTheme="minorEastAsia" w:hAnsiTheme="minorEastAsia" w:eastAsiaTheme="minorEastAsia" w:cstheme="minorEastAsia"/>
          <w:sz w:val="24"/>
          <w:szCs w:val="24"/>
        </w:rPr>
        <w:t>（文件编号：____________________）的投标、洽谈、执行等具体事务，签署全部有关文件、文书、协议、合同，本公司对被授权人在本项目中的签名承担全部法律责任。</w:t>
      </w:r>
    </w:p>
    <w:p>
      <w:pPr>
        <w:pStyle w:val="12"/>
        <w:spacing w:line="500" w:lineRule="exact"/>
        <w:ind w:firstLine="480" w:firstLineChars="200"/>
        <w:jc w:val="left"/>
        <w:rPr>
          <w:rFonts w:asciiTheme="minorEastAsia" w:hAnsiTheme="minorEastAsia" w:eastAsiaTheme="minorEastAsia" w:cstheme="minorEastAsia"/>
          <w:sz w:val="10"/>
          <w:szCs w:val="10"/>
        </w:rPr>
      </w:pPr>
      <w:r>
        <w:rPr>
          <w:rFonts w:hint="eastAsia" w:asciiTheme="minorEastAsia" w:hAnsiTheme="minorEastAsia" w:eastAsiaTheme="minorEastAsia" w:cstheme="minorEastAsia"/>
          <w:sz w:val="24"/>
          <w:szCs w:val="24"/>
        </w:rPr>
        <w:t>本授权书自招标大会之日起计算有效期为_____日历日。</w:t>
      </w:r>
    </w:p>
    <w:p>
      <w:pPr>
        <w:pStyle w:val="12"/>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单位名称：______________（公章） 法定代表人（签字或盖章）：____________</w:t>
      </w:r>
    </w:p>
    <w:p>
      <w:pPr>
        <w:pStyle w:val="12"/>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被授权人(签字)：___________性别：_______职务：____________</w:t>
      </w:r>
    </w:p>
    <w:p>
      <w:pPr>
        <w:pStyle w:val="12"/>
        <w:spacing w:line="500" w:lineRule="exact"/>
        <w:ind w:firstLine="480" w:firstLineChars="200"/>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联系地址：____________________</w:t>
      </w:r>
    </w:p>
    <w:p>
      <w:pPr>
        <w:pStyle w:val="12"/>
        <w:spacing w:line="500" w:lineRule="exact"/>
        <w:ind w:firstLine="480" w:firstLineChars="200"/>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联系电话：____________________传真：____________________</w:t>
      </w:r>
    </w:p>
    <w:p>
      <w:pPr>
        <w:pStyle w:val="12"/>
        <w:spacing w:line="5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法定代表人及被授权人身份证复印件</w:t>
      </w:r>
    </w:p>
    <w:tbl>
      <w:tblPr>
        <w:tblStyle w:val="24"/>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3"/>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98" w:hRule="atLeast"/>
        </w:trPr>
        <w:tc>
          <w:tcPr>
            <w:tcW w:w="4443" w:type="dxa"/>
            <w:shd w:val="clear" w:color="auto" w:fill="D9D9D9"/>
            <w:vAlign w:val="center"/>
          </w:tcPr>
          <w:p>
            <w:pPr>
              <w:pStyle w:val="12"/>
              <w:spacing w:line="500" w:lineRule="exact"/>
              <w:jc w:val="left"/>
              <w:rPr>
                <w:rFonts w:asciiTheme="minorEastAsia" w:hAnsiTheme="minorEastAsia" w:eastAsiaTheme="minorEastAsia" w:cstheme="minorEastAsia"/>
                <w:kern w:val="2"/>
                <w:sz w:val="24"/>
                <w:szCs w:val="24"/>
                <w:shd w:val="pct10" w:color="auto" w:fill="FFFFFF"/>
              </w:rPr>
            </w:pPr>
            <w:r>
              <w:rPr>
                <w:rFonts w:hint="eastAsia" w:asciiTheme="minorEastAsia" w:hAnsiTheme="minorEastAsia" w:eastAsiaTheme="minorEastAsia" w:cstheme="minorEastAsia"/>
                <w:kern w:val="2"/>
                <w:sz w:val="24"/>
                <w:szCs w:val="24"/>
                <w:shd w:val="pct10" w:color="auto" w:fill="FFFFFF"/>
              </w:rPr>
              <w:t>法定代表人身份证正反面复印件</w:t>
            </w:r>
          </w:p>
          <w:p>
            <w:pPr>
              <w:pStyle w:val="12"/>
              <w:spacing w:line="500" w:lineRule="exact"/>
              <w:jc w:val="left"/>
              <w:rPr>
                <w:rFonts w:asciiTheme="minorEastAsia" w:hAnsiTheme="minorEastAsia" w:eastAsiaTheme="minorEastAsia" w:cstheme="minorEastAsia"/>
                <w:kern w:val="2"/>
                <w:sz w:val="24"/>
                <w:szCs w:val="24"/>
                <w:shd w:val="pct10" w:color="auto" w:fill="FFFFFF"/>
              </w:rPr>
            </w:pPr>
          </w:p>
        </w:tc>
        <w:tc>
          <w:tcPr>
            <w:tcW w:w="4597" w:type="dxa"/>
            <w:shd w:val="clear" w:color="auto" w:fill="D9D9D9"/>
            <w:vAlign w:val="center"/>
          </w:tcPr>
          <w:p>
            <w:pPr>
              <w:pStyle w:val="12"/>
              <w:spacing w:line="500" w:lineRule="exact"/>
              <w:ind w:firstLine="480" w:firstLineChars="200"/>
              <w:jc w:val="left"/>
              <w:rPr>
                <w:rFonts w:asciiTheme="minorEastAsia" w:hAnsiTheme="minorEastAsia" w:eastAsiaTheme="minorEastAsia" w:cstheme="minorEastAsia"/>
                <w:kern w:val="2"/>
                <w:sz w:val="24"/>
                <w:szCs w:val="24"/>
                <w:shd w:val="pct10" w:color="auto" w:fill="FFFFFF"/>
              </w:rPr>
            </w:pPr>
            <w:r>
              <w:rPr>
                <w:rFonts w:hint="eastAsia" w:asciiTheme="minorEastAsia" w:hAnsiTheme="minorEastAsia" w:eastAsiaTheme="minorEastAsia" w:cstheme="minorEastAsia"/>
                <w:kern w:val="2"/>
                <w:sz w:val="24"/>
                <w:szCs w:val="24"/>
                <w:shd w:val="pct10" w:color="auto" w:fill="FFFFFF"/>
              </w:rPr>
              <w:t>被授权人身份证正反面复印件</w:t>
            </w:r>
          </w:p>
          <w:p>
            <w:pPr>
              <w:pStyle w:val="12"/>
              <w:spacing w:line="500" w:lineRule="exact"/>
              <w:ind w:firstLine="480" w:firstLineChars="200"/>
              <w:jc w:val="left"/>
              <w:rPr>
                <w:rFonts w:asciiTheme="minorEastAsia" w:hAnsiTheme="minorEastAsia" w:eastAsiaTheme="minorEastAsia" w:cstheme="minorEastAsia"/>
                <w:kern w:val="2"/>
                <w:sz w:val="24"/>
                <w:szCs w:val="24"/>
                <w:shd w:val="pct10" w:color="auto" w:fill="FFFFFF"/>
              </w:rPr>
            </w:pPr>
          </w:p>
        </w:tc>
      </w:tr>
    </w:tbl>
    <w:p>
      <w:pP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br w:type="page"/>
      </w:r>
    </w:p>
    <w:p>
      <w:pPr>
        <w:pStyle w:val="4"/>
        <w:tabs>
          <w:tab w:val="left" w:pos="2096"/>
          <w:tab w:val="center" w:pos="5024"/>
        </w:tabs>
        <w:spacing w:before="319" w:beforeLines="100" w:after="478" w:afterLines="150" w:line="500" w:lineRule="exact"/>
        <w:ind w:firstLine="1084" w:firstLineChars="300"/>
        <w:jc w:val="left"/>
        <w:rPr>
          <w:rFonts w:asciiTheme="minorEastAsia" w:hAnsiTheme="minorEastAsia" w:eastAsiaTheme="minorEastAsia" w:cstheme="minorEastAsia"/>
          <w:sz w:val="36"/>
          <w:szCs w:val="36"/>
        </w:rPr>
      </w:pPr>
      <w:bookmarkStart w:id="178" w:name="_Toc9510"/>
      <w:r>
        <w:rPr>
          <w:rFonts w:hint="eastAsia" w:asciiTheme="minorEastAsia" w:hAnsiTheme="minorEastAsia" w:eastAsiaTheme="minorEastAsia" w:cstheme="minorEastAsia"/>
          <w:sz w:val="36"/>
          <w:szCs w:val="36"/>
        </w:rPr>
        <w:t xml:space="preserve">第六部分  </w:t>
      </w:r>
      <w:r>
        <w:rPr>
          <w:rFonts w:hint="eastAsia" w:asciiTheme="minorEastAsia" w:hAnsiTheme="minorEastAsia" w:eastAsiaTheme="minorEastAsia" w:cstheme="minorEastAsia"/>
          <w:sz w:val="36"/>
          <w:szCs w:val="36"/>
          <w:lang w:eastAsia="zh-CN"/>
        </w:rPr>
        <w:t>实施方案</w:t>
      </w:r>
      <w:r>
        <w:rPr>
          <w:rFonts w:hint="eastAsia" w:asciiTheme="minorEastAsia" w:hAnsiTheme="minorEastAsia" w:eastAsiaTheme="minorEastAsia" w:cstheme="minorEastAsia"/>
          <w:sz w:val="36"/>
          <w:szCs w:val="36"/>
        </w:rPr>
        <w:t>与技术组织方案</w:t>
      </w:r>
      <w:bookmarkEnd w:id="174"/>
      <w:bookmarkEnd w:id="175"/>
      <w:bookmarkEnd w:id="176"/>
      <w:bookmarkEnd w:id="177"/>
      <w:bookmarkEnd w:id="178"/>
    </w:p>
    <w:p>
      <w:pP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4"/>
          <w:szCs w:val="24"/>
        </w:rPr>
        <w:t>由供应商自行编写，无具体格式。</w:t>
      </w:r>
    </w:p>
    <w:p>
      <w:pPr>
        <w:spacing w:line="480" w:lineRule="auto"/>
        <w:rPr>
          <w:rFonts w:asciiTheme="minorEastAsia" w:hAnsiTheme="minorEastAsia" w:eastAsiaTheme="minorEastAsia" w:cstheme="minorEastAsia"/>
          <w:sz w:val="24"/>
          <w:szCs w:val="24"/>
          <w:highlight w:val="yellow"/>
        </w:rPr>
      </w:pPr>
    </w:p>
    <w:p>
      <w:pPr>
        <w:pStyle w:val="4"/>
        <w:jc w:val="both"/>
        <w:rPr>
          <w:rFonts w:asciiTheme="minorEastAsia" w:hAnsiTheme="minorEastAsia" w:eastAsiaTheme="minorEastAsia" w:cstheme="minorEastAsia"/>
          <w:sz w:val="24"/>
          <w:szCs w:val="24"/>
          <w:highlight w:val="yellow"/>
        </w:rPr>
        <w:sectPr>
          <w:headerReference r:id="rId17" w:type="default"/>
          <w:pgSz w:w="11906" w:h="16838"/>
          <w:pgMar w:top="1440" w:right="1803" w:bottom="1440" w:left="1803" w:header="851" w:footer="992" w:gutter="0"/>
          <w:cols w:space="0" w:num="1"/>
          <w:rtlGutter w:val="1"/>
          <w:docGrid w:type="lines" w:linePitch="319" w:charSpace="0"/>
        </w:sectPr>
      </w:pPr>
    </w:p>
    <w:p>
      <w:pPr>
        <w:pStyle w:val="4"/>
        <w:spacing w:before="319" w:beforeLines="100" w:after="478" w:afterLines="150" w:line="500" w:lineRule="exact"/>
        <w:rPr>
          <w:rFonts w:asciiTheme="minorEastAsia" w:hAnsiTheme="minorEastAsia" w:eastAsiaTheme="minorEastAsia" w:cstheme="minorEastAsia"/>
          <w:sz w:val="36"/>
          <w:szCs w:val="36"/>
        </w:rPr>
      </w:pPr>
      <w:bookmarkStart w:id="179" w:name="_Toc1093"/>
      <w:bookmarkStart w:id="180" w:name="_Toc8532"/>
      <w:bookmarkStart w:id="181" w:name="_Toc29931"/>
      <w:bookmarkStart w:id="182" w:name="_Toc1803"/>
      <w:bookmarkStart w:id="183" w:name="_Toc27460"/>
      <w:bookmarkStart w:id="184" w:name="_Toc1266"/>
      <w:r>
        <w:rPr>
          <w:rFonts w:hint="eastAsia" w:asciiTheme="minorEastAsia" w:hAnsiTheme="minorEastAsia" w:eastAsiaTheme="minorEastAsia" w:cstheme="minorEastAsia"/>
          <w:sz w:val="36"/>
          <w:szCs w:val="36"/>
        </w:rPr>
        <w:t xml:space="preserve">第七部分  </w:t>
      </w:r>
      <w:bookmarkEnd w:id="179"/>
      <w:bookmarkEnd w:id="180"/>
      <w:bookmarkEnd w:id="181"/>
      <w:bookmarkEnd w:id="182"/>
      <w:bookmarkEnd w:id="183"/>
      <w:r>
        <w:rPr>
          <w:rFonts w:hint="eastAsia" w:asciiTheme="minorEastAsia" w:hAnsiTheme="minorEastAsia" w:eastAsiaTheme="minorEastAsia" w:cstheme="minorEastAsia"/>
          <w:sz w:val="36"/>
          <w:szCs w:val="36"/>
        </w:rPr>
        <w:t>售后服务及培训方案</w:t>
      </w:r>
      <w:bookmarkEnd w:id="184"/>
    </w:p>
    <w:p>
      <w:pPr>
        <w:spacing w:line="360" w:lineRule="auto"/>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由供应商自行编写，无具体格式。</w:t>
      </w:r>
    </w:p>
    <w:p>
      <w:pPr>
        <w:rPr>
          <w:rFonts w:asciiTheme="minorEastAsia" w:hAnsiTheme="minorEastAsia" w:eastAsiaTheme="minorEastAsia" w:cstheme="minorEastAsia"/>
        </w:rPr>
        <w:sectPr>
          <w:pgSz w:w="11906" w:h="16838"/>
          <w:pgMar w:top="1440" w:right="1803" w:bottom="1440" w:left="1803" w:header="851" w:footer="992" w:gutter="0"/>
          <w:cols w:space="0" w:num="1"/>
          <w:rtlGutter w:val="1"/>
          <w:docGrid w:type="lines" w:linePitch="319" w:charSpace="0"/>
        </w:sectPr>
      </w:pPr>
    </w:p>
    <w:p>
      <w:pPr>
        <w:pStyle w:val="4"/>
        <w:adjustRightInd w:val="0"/>
        <w:spacing w:before="319" w:beforeLines="100" w:after="478" w:afterLines="150" w:line="500" w:lineRule="exact"/>
        <w:textAlignment w:val="baseline"/>
        <w:rPr>
          <w:rFonts w:asciiTheme="minorEastAsia" w:hAnsiTheme="minorEastAsia" w:eastAsiaTheme="minorEastAsia" w:cstheme="minorEastAsia"/>
          <w:sz w:val="36"/>
          <w:szCs w:val="36"/>
        </w:rPr>
      </w:pPr>
      <w:bookmarkStart w:id="185" w:name="_Toc19708"/>
      <w:bookmarkStart w:id="186" w:name="_Toc8494"/>
      <w:bookmarkStart w:id="187" w:name="_Toc11410"/>
      <w:bookmarkStart w:id="188" w:name="_Toc12793"/>
      <w:bookmarkStart w:id="189" w:name="_Toc30983"/>
      <w:r>
        <w:rPr>
          <w:rFonts w:hint="eastAsia" w:asciiTheme="minorEastAsia" w:hAnsiTheme="minorEastAsia" w:eastAsiaTheme="minorEastAsia" w:cstheme="minorEastAsia"/>
          <w:sz w:val="36"/>
          <w:szCs w:val="36"/>
        </w:rPr>
        <w:t>第八部分  业绩一览表</w:t>
      </w:r>
      <w:bookmarkEnd w:id="185"/>
    </w:p>
    <w:bookmarkEnd w:id="186"/>
    <w:bookmarkEnd w:id="187"/>
    <w:bookmarkEnd w:id="188"/>
    <w:bookmarkEnd w:id="189"/>
    <w:tbl>
      <w:tblPr>
        <w:tblStyle w:val="24"/>
        <w:tblpPr w:leftFromText="180" w:rightFromText="180" w:vertAnchor="text" w:horzAnchor="page" w:tblpX="2066" w:tblpY="299"/>
        <w:tblOverlap w:val="never"/>
        <w:tblW w:w="878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335"/>
        <w:gridCol w:w="1418"/>
        <w:gridCol w:w="1505"/>
        <w:gridCol w:w="10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tcBorders>
              <w:top w:val="single" w:color="auto" w:sz="4" w:space="0"/>
            </w:tcBorders>
            <w:vAlign w:val="center"/>
          </w:tcPr>
          <w:p>
            <w:pPr>
              <w:spacing w:line="400" w:lineRule="exact"/>
              <w:rPr>
                <w:rFonts w:asciiTheme="minorEastAsia" w:hAnsiTheme="minorEastAsia" w:eastAsiaTheme="minorEastAsia" w:cstheme="minorEastAsia"/>
              </w:rPr>
            </w:pPr>
            <w:r>
              <w:rPr>
                <w:rFonts w:hint="eastAsia" w:asciiTheme="minorEastAsia" w:hAnsiTheme="minorEastAsia" w:eastAsiaTheme="minorEastAsia" w:cstheme="minorEastAsia"/>
              </w:rPr>
              <w:t>年份</w:t>
            </w:r>
          </w:p>
        </w:tc>
        <w:tc>
          <w:tcPr>
            <w:tcW w:w="1440" w:type="dxa"/>
            <w:tcBorders>
              <w:top w:val="single" w:color="auto" w:sz="4" w:space="0"/>
            </w:tcBorders>
            <w:vAlign w:val="center"/>
          </w:tcPr>
          <w:p>
            <w:pPr>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用户名称</w:t>
            </w:r>
          </w:p>
        </w:tc>
        <w:tc>
          <w:tcPr>
            <w:tcW w:w="1320" w:type="dxa"/>
            <w:tcBorders>
              <w:top w:val="single" w:color="auto" w:sz="4" w:space="0"/>
            </w:tcBorders>
            <w:vAlign w:val="center"/>
          </w:tcPr>
          <w:p>
            <w:pPr>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项目名称</w:t>
            </w:r>
          </w:p>
        </w:tc>
        <w:tc>
          <w:tcPr>
            <w:tcW w:w="1335" w:type="dxa"/>
            <w:tcBorders>
              <w:top w:val="single" w:color="auto" w:sz="4" w:space="0"/>
            </w:tcBorders>
            <w:vAlign w:val="center"/>
          </w:tcPr>
          <w:p>
            <w:pPr>
              <w:spacing w:line="4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完成时间</w:t>
            </w:r>
          </w:p>
        </w:tc>
        <w:tc>
          <w:tcPr>
            <w:tcW w:w="1418" w:type="dxa"/>
            <w:tcBorders>
              <w:top w:val="single" w:color="auto" w:sz="4" w:space="0"/>
            </w:tcBorders>
            <w:vAlign w:val="center"/>
          </w:tcPr>
          <w:p>
            <w:pPr>
              <w:spacing w:line="400" w:lineRule="exact"/>
              <w:ind w:firstLine="105" w:firstLineChars="50"/>
              <w:rPr>
                <w:rFonts w:asciiTheme="minorEastAsia" w:hAnsiTheme="minorEastAsia" w:eastAsiaTheme="minorEastAsia" w:cstheme="minorEastAsia"/>
              </w:rPr>
            </w:pPr>
            <w:r>
              <w:rPr>
                <w:rFonts w:hint="eastAsia" w:asciiTheme="minorEastAsia" w:hAnsiTheme="minorEastAsia" w:eastAsiaTheme="minorEastAsia" w:cstheme="minorEastAsia"/>
              </w:rPr>
              <w:t>合同金额</w:t>
            </w:r>
          </w:p>
        </w:tc>
        <w:tc>
          <w:tcPr>
            <w:tcW w:w="1505" w:type="dxa"/>
            <w:tcBorders>
              <w:top w:val="single" w:color="auto" w:sz="4" w:space="0"/>
              <w:right w:val="single" w:color="auto" w:sz="4" w:space="0"/>
            </w:tcBorders>
            <w:vAlign w:val="center"/>
          </w:tcPr>
          <w:p>
            <w:pPr>
              <w:spacing w:line="400" w:lineRule="exact"/>
              <w:ind w:left="204" w:hanging="203" w:hangingChars="97"/>
              <w:rPr>
                <w:rFonts w:asciiTheme="minorEastAsia" w:hAnsiTheme="minorEastAsia" w:eastAsiaTheme="minorEastAsia" w:cstheme="minorEastAsia"/>
              </w:rPr>
            </w:pPr>
            <w:r>
              <w:rPr>
                <w:rFonts w:hint="eastAsia" w:asciiTheme="minorEastAsia" w:hAnsiTheme="minorEastAsia" w:eastAsiaTheme="minorEastAsia" w:cstheme="minorEastAsia"/>
              </w:rPr>
              <w:t>完成项目质量</w:t>
            </w:r>
          </w:p>
        </w:tc>
        <w:tc>
          <w:tcPr>
            <w:tcW w:w="1046" w:type="dxa"/>
            <w:tcBorders>
              <w:top w:val="single" w:color="auto" w:sz="4" w:space="0"/>
              <w:left w:val="single" w:color="auto" w:sz="4" w:space="0"/>
            </w:tcBorders>
            <w:vAlign w:val="center"/>
          </w:tcPr>
          <w:p>
            <w:pPr>
              <w:spacing w:line="400" w:lineRule="exac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Theme="minorEastAsia" w:hAnsiTheme="minorEastAsia" w:eastAsiaTheme="minorEastAsia" w:cstheme="minorEastAsia"/>
              </w:rPr>
            </w:pPr>
          </w:p>
        </w:tc>
        <w:tc>
          <w:tcPr>
            <w:tcW w:w="1440" w:type="dxa"/>
            <w:vAlign w:val="center"/>
          </w:tcPr>
          <w:p>
            <w:pPr>
              <w:spacing w:line="400" w:lineRule="exact"/>
              <w:jc w:val="center"/>
              <w:rPr>
                <w:rFonts w:asciiTheme="minorEastAsia" w:hAnsiTheme="minorEastAsia" w:eastAsiaTheme="minorEastAsia" w:cstheme="minorEastAsia"/>
              </w:rPr>
            </w:pPr>
          </w:p>
        </w:tc>
        <w:tc>
          <w:tcPr>
            <w:tcW w:w="1320" w:type="dxa"/>
            <w:vAlign w:val="center"/>
          </w:tcPr>
          <w:p>
            <w:pPr>
              <w:spacing w:line="400" w:lineRule="exact"/>
              <w:jc w:val="center"/>
              <w:rPr>
                <w:rFonts w:asciiTheme="minorEastAsia" w:hAnsiTheme="minorEastAsia" w:eastAsiaTheme="minorEastAsia" w:cstheme="minorEastAsia"/>
              </w:rPr>
            </w:pPr>
          </w:p>
        </w:tc>
        <w:tc>
          <w:tcPr>
            <w:tcW w:w="1335" w:type="dxa"/>
            <w:vAlign w:val="center"/>
          </w:tcPr>
          <w:p>
            <w:pPr>
              <w:spacing w:line="400" w:lineRule="exact"/>
              <w:jc w:val="center"/>
              <w:rPr>
                <w:rFonts w:asciiTheme="minorEastAsia" w:hAnsiTheme="minorEastAsia" w:eastAsiaTheme="minorEastAsia" w:cstheme="minorEastAsia"/>
              </w:rPr>
            </w:pPr>
          </w:p>
        </w:tc>
        <w:tc>
          <w:tcPr>
            <w:tcW w:w="1418" w:type="dxa"/>
            <w:vAlign w:val="center"/>
          </w:tcPr>
          <w:p>
            <w:pPr>
              <w:spacing w:line="400" w:lineRule="exact"/>
              <w:jc w:val="center"/>
              <w:rPr>
                <w:rFonts w:asciiTheme="minorEastAsia" w:hAnsiTheme="minorEastAsia" w:eastAsiaTheme="minorEastAsia" w:cstheme="minorEastAsia"/>
              </w:rPr>
            </w:pPr>
          </w:p>
        </w:tc>
        <w:tc>
          <w:tcPr>
            <w:tcW w:w="1505" w:type="dxa"/>
            <w:tcBorders>
              <w:right w:val="single" w:color="auto" w:sz="4" w:space="0"/>
            </w:tcBorders>
            <w:vAlign w:val="center"/>
          </w:tcPr>
          <w:p>
            <w:pPr>
              <w:spacing w:line="400" w:lineRule="exact"/>
              <w:jc w:val="center"/>
              <w:rPr>
                <w:rFonts w:asciiTheme="minorEastAsia" w:hAnsiTheme="minorEastAsia" w:eastAsiaTheme="minorEastAsia" w:cstheme="minorEastAsia"/>
              </w:rPr>
            </w:pPr>
          </w:p>
        </w:tc>
        <w:tc>
          <w:tcPr>
            <w:tcW w:w="1046" w:type="dxa"/>
            <w:tcBorders>
              <w:left w:val="single" w:color="auto" w:sz="4" w:space="0"/>
            </w:tcBorders>
            <w:vAlign w:val="center"/>
          </w:tcPr>
          <w:p>
            <w:pPr>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Theme="minorEastAsia" w:hAnsiTheme="minorEastAsia" w:eastAsiaTheme="minorEastAsia" w:cstheme="minorEastAsia"/>
              </w:rPr>
            </w:pPr>
          </w:p>
        </w:tc>
        <w:tc>
          <w:tcPr>
            <w:tcW w:w="1440" w:type="dxa"/>
            <w:vAlign w:val="center"/>
          </w:tcPr>
          <w:p>
            <w:pPr>
              <w:spacing w:line="400" w:lineRule="exact"/>
              <w:jc w:val="center"/>
              <w:rPr>
                <w:rFonts w:asciiTheme="minorEastAsia" w:hAnsiTheme="minorEastAsia" w:eastAsiaTheme="minorEastAsia" w:cstheme="minorEastAsia"/>
              </w:rPr>
            </w:pPr>
          </w:p>
        </w:tc>
        <w:tc>
          <w:tcPr>
            <w:tcW w:w="1320" w:type="dxa"/>
            <w:vAlign w:val="center"/>
          </w:tcPr>
          <w:p>
            <w:pPr>
              <w:spacing w:line="400" w:lineRule="exact"/>
              <w:jc w:val="center"/>
              <w:rPr>
                <w:rFonts w:asciiTheme="minorEastAsia" w:hAnsiTheme="minorEastAsia" w:eastAsiaTheme="minorEastAsia" w:cstheme="minorEastAsia"/>
              </w:rPr>
            </w:pPr>
          </w:p>
        </w:tc>
        <w:tc>
          <w:tcPr>
            <w:tcW w:w="1335" w:type="dxa"/>
            <w:vAlign w:val="center"/>
          </w:tcPr>
          <w:p>
            <w:pPr>
              <w:spacing w:line="400" w:lineRule="exact"/>
              <w:jc w:val="center"/>
              <w:rPr>
                <w:rFonts w:asciiTheme="minorEastAsia" w:hAnsiTheme="minorEastAsia" w:eastAsiaTheme="minorEastAsia" w:cstheme="minorEastAsia"/>
              </w:rPr>
            </w:pPr>
          </w:p>
        </w:tc>
        <w:tc>
          <w:tcPr>
            <w:tcW w:w="1418" w:type="dxa"/>
            <w:vAlign w:val="center"/>
          </w:tcPr>
          <w:p>
            <w:pPr>
              <w:spacing w:line="400" w:lineRule="exact"/>
              <w:jc w:val="center"/>
              <w:rPr>
                <w:rFonts w:asciiTheme="minorEastAsia" w:hAnsiTheme="minorEastAsia" w:eastAsiaTheme="minorEastAsia" w:cstheme="minorEastAsia"/>
              </w:rPr>
            </w:pPr>
          </w:p>
        </w:tc>
        <w:tc>
          <w:tcPr>
            <w:tcW w:w="1505" w:type="dxa"/>
            <w:tcBorders>
              <w:right w:val="single" w:color="auto" w:sz="4" w:space="0"/>
            </w:tcBorders>
            <w:vAlign w:val="center"/>
          </w:tcPr>
          <w:p>
            <w:pPr>
              <w:spacing w:line="400" w:lineRule="exact"/>
              <w:jc w:val="center"/>
              <w:rPr>
                <w:rFonts w:asciiTheme="minorEastAsia" w:hAnsiTheme="minorEastAsia" w:eastAsiaTheme="minorEastAsia" w:cstheme="minorEastAsia"/>
              </w:rPr>
            </w:pPr>
          </w:p>
        </w:tc>
        <w:tc>
          <w:tcPr>
            <w:tcW w:w="1046" w:type="dxa"/>
            <w:tcBorders>
              <w:left w:val="single" w:color="auto" w:sz="4" w:space="0"/>
            </w:tcBorders>
            <w:vAlign w:val="center"/>
          </w:tcPr>
          <w:p>
            <w:pPr>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Theme="minorEastAsia" w:hAnsiTheme="minorEastAsia" w:eastAsiaTheme="minorEastAsia" w:cstheme="minorEastAsia"/>
              </w:rPr>
            </w:pPr>
          </w:p>
        </w:tc>
        <w:tc>
          <w:tcPr>
            <w:tcW w:w="1440" w:type="dxa"/>
            <w:vAlign w:val="center"/>
          </w:tcPr>
          <w:p>
            <w:pPr>
              <w:spacing w:line="400" w:lineRule="exact"/>
              <w:jc w:val="center"/>
              <w:rPr>
                <w:rFonts w:asciiTheme="minorEastAsia" w:hAnsiTheme="minorEastAsia" w:eastAsiaTheme="minorEastAsia" w:cstheme="minorEastAsia"/>
              </w:rPr>
            </w:pPr>
          </w:p>
        </w:tc>
        <w:tc>
          <w:tcPr>
            <w:tcW w:w="1320" w:type="dxa"/>
            <w:vAlign w:val="center"/>
          </w:tcPr>
          <w:p>
            <w:pPr>
              <w:spacing w:line="400" w:lineRule="exact"/>
              <w:jc w:val="center"/>
              <w:rPr>
                <w:rFonts w:asciiTheme="minorEastAsia" w:hAnsiTheme="minorEastAsia" w:eastAsiaTheme="minorEastAsia" w:cstheme="minorEastAsia"/>
              </w:rPr>
            </w:pPr>
          </w:p>
        </w:tc>
        <w:tc>
          <w:tcPr>
            <w:tcW w:w="1335" w:type="dxa"/>
            <w:vAlign w:val="center"/>
          </w:tcPr>
          <w:p>
            <w:pPr>
              <w:spacing w:line="400" w:lineRule="exact"/>
              <w:jc w:val="center"/>
              <w:rPr>
                <w:rFonts w:asciiTheme="minorEastAsia" w:hAnsiTheme="minorEastAsia" w:eastAsiaTheme="minorEastAsia" w:cstheme="minorEastAsia"/>
              </w:rPr>
            </w:pPr>
          </w:p>
        </w:tc>
        <w:tc>
          <w:tcPr>
            <w:tcW w:w="1418" w:type="dxa"/>
            <w:vAlign w:val="center"/>
          </w:tcPr>
          <w:p>
            <w:pPr>
              <w:spacing w:line="400" w:lineRule="exact"/>
              <w:jc w:val="center"/>
              <w:rPr>
                <w:rFonts w:asciiTheme="minorEastAsia" w:hAnsiTheme="minorEastAsia" w:eastAsiaTheme="minorEastAsia" w:cstheme="minorEastAsia"/>
              </w:rPr>
            </w:pPr>
          </w:p>
        </w:tc>
        <w:tc>
          <w:tcPr>
            <w:tcW w:w="1505" w:type="dxa"/>
            <w:tcBorders>
              <w:right w:val="single" w:color="auto" w:sz="4" w:space="0"/>
            </w:tcBorders>
            <w:vAlign w:val="center"/>
          </w:tcPr>
          <w:p>
            <w:pPr>
              <w:spacing w:line="400" w:lineRule="exact"/>
              <w:jc w:val="center"/>
              <w:rPr>
                <w:rFonts w:asciiTheme="minorEastAsia" w:hAnsiTheme="minorEastAsia" w:eastAsiaTheme="minorEastAsia" w:cstheme="minorEastAsia"/>
              </w:rPr>
            </w:pPr>
          </w:p>
        </w:tc>
        <w:tc>
          <w:tcPr>
            <w:tcW w:w="1046" w:type="dxa"/>
            <w:tcBorders>
              <w:left w:val="single" w:color="auto" w:sz="4" w:space="0"/>
            </w:tcBorders>
            <w:vAlign w:val="center"/>
          </w:tcPr>
          <w:p>
            <w:pPr>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Theme="minorEastAsia" w:hAnsiTheme="minorEastAsia" w:eastAsiaTheme="minorEastAsia" w:cstheme="minorEastAsia"/>
              </w:rPr>
            </w:pPr>
          </w:p>
        </w:tc>
        <w:tc>
          <w:tcPr>
            <w:tcW w:w="1440" w:type="dxa"/>
            <w:tcBorders>
              <w:right w:val="single" w:color="auto" w:sz="4" w:space="0"/>
            </w:tcBorders>
            <w:vAlign w:val="center"/>
          </w:tcPr>
          <w:p>
            <w:pPr>
              <w:spacing w:line="400" w:lineRule="exact"/>
              <w:jc w:val="center"/>
              <w:rPr>
                <w:rFonts w:asciiTheme="minorEastAsia" w:hAnsiTheme="minorEastAsia" w:eastAsiaTheme="minorEastAsia" w:cstheme="minorEastAsia"/>
              </w:rPr>
            </w:pPr>
          </w:p>
        </w:tc>
        <w:tc>
          <w:tcPr>
            <w:tcW w:w="1320" w:type="dxa"/>
            <w:tcBorders>
              <w:left w:val="single" w:color="auto" w:sz="4" w:space="0"/>
            </w:tcBorders>
            <w:vAlign w:val="center"/>
          </w:tcPr>
          <w:p>
            <w:pPr>
              <w:spacing w:line="400" w:lineRule="exact"/>
              <w:jc w:val="center"/>
              <w:rPr>
                <w:rFonts w:asciiTheme="minorEastAsia" w:hAnsiTheme="minorEastAsia" w:eastAsiaTheme="minorEastAsia" w:cstheme="minorEastAsia"/>
              </w:rPr>
            </w:pPr>
          </w:p>
        </w:tc>
        <w:tc>
          <w:tcPr>
            <w:tcW w:w="1335" w:type="dxa"/>
            <w:vAlign w:val="center"/>
          </w:tcPr>
          <w:p>
            <w:pPr>
              <w:spacing w:line="400" w:lineRule="exact"/>
              <w:jc w:val="center"/>
              <w:rPr>
                <w:rFonts w:asciiTheme="minorEastAsia" w:hAnsiTheme="minorEastAsia" w:eastAsiaTheme="minorEastAsia" w:cstheme="minorEastAsia"/>
              </w:rPr>
            </w:pPr>
          </w:p>
        </w:tc>
        <w:tc>
          <w:tcPr>
            <w:tcW w:w="1418" w:type="dxa"/>
            <w:vAlign w:val="center"/>
          </w:tcPr>
          <w:p>
            <w:pPr>
              <w:spacing w:line="400" w:lineRule="exact"/>
              <w:jc w:val="center"/>
              <w:rPr>
                <w:rFonts w:asciiTheme="minorEastAsia" w:hAnsiTheme="minorEastAsia" w:eastAsiaTheme="minorEastAsia" w:cstheme="minorEastAsia"/>
              </w:rPr>
            </w:pPr>
          </w:p>
        </w:tc>
        <w:tc>
          <w:tcPr>
            <w:tcW w:w="1505" w:type="dxa"/>
            <w:tcBorders>
              <w:right w:val="single" w:color="auto" w:sz="4" w:space="0"/>
            </w:tcBorders>
            <w:vAlign w:val="center"/>
          </w:tcPr>
          <w:p>
            <w:pPr>
              <w:spacing w:line="400" w:lineRule="exact"/>
              <w:jc w:val="center"/>
              <w:rPr>
                <w:rFonts w:asciiTheme="minorEastAsia" w:hAnsiTheme="minorEastAsia" w:eastAsiaTheme="minorEastAsia" w:cstheme="minorEastAsia"/>
              </w:rPr>
            </w:pPr>
          </w:p>
        </w:tc>
        <w:tc>
          <w:tcPr>
            <w:tcW w:w="1046" w:type="dxa"/>
            <w:tcBorders>
              <w:left w:val="single" w:color="auto" w:sz="4" w:space="0"/>
            </w:tcBorders>
            <w:vAlign w:val="center"/>
          </w:tcPr>
          <w:p>
            <w:pPr>
              <w:spacing w:line="400" w:lineRule="exact"/>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tcBorders>
              <w:right w:val="single" w:color="auto" w:sz="4" w:space="0"/>
            </w:tcBorders>
            <w:vAlign w:val="center"/>
          </w:tcPr>
          <w:p>
            <w:pPr>
              <w:spacing w:line="400" w:lineRule="exact"/>
              <w:rPr>
                <w:rFonts w:asciiTheme="minorEastAsia" w:hAnsiTheme="minorEastAsia" w:eastAsiaTheme="minorEastAsia" w:cstheme="minorEastAsia"/>
              </w:rPr>
            </w:pPr>
          </w:p>
        </w:tc>
        <w:tc>
          <w:tcPr>
            <w:tcW w:w="1440" w:type="dxa"/>
            <w:tcBorders>
              <w:left w:val="single" w:color="auto" w:sz="4" w:space="0"/>
              <w:right w:val="single" w:color="auto" w:sz="4" w:space="0"/>
            </w:tcBorders>
            <w:vAlign w:val="center"/>
          </w:tcPr>
          <w:p>
            <w:pPr>
              <w:spacing w:line="400" w:lineRule="exact"/>
              <w:rPr>
                <w:rFonts w:asciiTheme="minorEastAsia" w:hAnsiTheme="minorEastAsia" w:eastAsiaTheme="minorEastAsia" w:cstheme="minorEastAsia"/>
              </w:rPr>
            </w:pPr>
          </w:p>
        </w:tc>
        <w:tc>
          <w:tcPr>
            <w:tcW w:w="1320" w:type="dxa"/>
            <w:tcBorders>
              <w:left w:val="single" w:color="auto" w:sz="4" w:space="0"/>
              <w:right w:val="single" w:color="auto" w:sz="4" w:space="0"/>
            </w:tcBorders>
            <w:vAlign w:val="center"/>
          </w:tcPr>
          <w:p>
            <w:pPr>
              <w:spacing w:line="400" w:lineRule="exact"/>
              <w:rPr>
                <w:rFonts w:asciiTheme="minorEastAsia" w:hAnsiTheme="minorEastAsia" w:eastAsiaTheme="minorEastAsia" w:cstheme="minorEastAsia"/>
              </w:rPr>
            </w:pPr>
          </w:p>
        </w:tc>
        <w:tc>
          <w:tcPr>
            <w:tcW w:w="1335" w:type="dxa"/>
            <w:tcBorders>
              <w:left w:val="single" w:color="auto" w:sz="4" w:space="0"/>
              <w:right w:val="single" w:color="auto" w:sz="4" w:space="0"/>
            </w:tcBorders>
            <w:vAlign w:val="center"/>
          </w:tcPr>
          <w:p>
            <w:pPr>
              <w:spacing w:line="400" w:lineRule="exact"/>
              <w:rPr>
                <w:rFonts w:asciiTheme="minorEastAsia" w:hAnsiTheme="minorEastAsia" w:eastAsiaTheme="minorEastAsia" w:cstheme="minorEastAsia"/>
              </w:rPr>
            </w:pPr>
          </w:p>
        </w:tc>
        <w:tc>
          <w:tcPr>
            <w:tcW w:w="1418" w:type="dxa"/>
            <w:tcBorders>
              <w:left w:val="single" w:color="auto" w:sz="4" w:space="0"/>
              <w:right w:val="single" w:color="auto" w:sz="4" w:space="0"/>
            </w:tcBorders>
            <w:vAlign w:val="center"/>
          </w:tcPr>
          <w:p>
            <w:pPr>
              <w:spacing w:line="400" w:lineRule="exact"/>
              <w:rPr>
                <w:rFonts w:asciiTheme="minorEastAsia" w:hAnsiTheme="minorEastAsia" w:eastAsiaTheme="minorEastAsia" w:cstheme="minorEastAsia"/>
              </w:rPr>
            </w:pPr>
          </w:p>
        </w:tc>
        <w:tc>
          <w:tcPr>
            <w:tcW w:w="1505" w:type="dxa"/>
            <w:tcBorders>
              <w:left w:val="single" w:color="auto" w:sz="4" w:space="0"/>
              <w:right w:val="single" w:color="auto" w:sz="4" w:space="0"/>
            </w:tcBorders>
            <w:vAlign w:val="center"/>
          </w:tcPr>
          <w:p>
            <w:pPr>
              <w:spacing w:line="400" w:lineRule="exact"/>
              <w:rPr>
                <w:rFonts w:asciiTheme="minorEastAsia" w:hAnsiTheme="minorEastAsia" w:eastAsiaTheme="minorEastAsia" w:cstheme="minorEastAsia"/>
              </w:rPr>
            </w:pPr>
          </w:p>
        </w:tc>
        <w:tc>
          <w:tcPr>
            <w:tcW w:w="1046" w:type="dxa"/>
            <w:tcBorders>
              <w:left w:val="single" w:color="auto" w:sz="4" w:space="0"/>
            </w:tcBorders>
            <w:vAlign w:val="center"/>
          </w:tcPr>
          <w:p>
            <w:pPr>
              <w:spacing w:line="400" w:lineRule="exact"/>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vAlign w:val="center"/>
          </w:tcPr>
          <w:p>
            <w:pPr>
              <w:spacing w:line="400" w:lineRule="exact"/>
              <w:rPr>
                <w:rFonts w:asciiTheme="minorEastAsia" w:hAnsiTheme="minorEastAsia" w:eastAsiaTheme="minorEastAsia" w:cstheme="minorEastAsia"/>
              </w:rPr>
            </w:pPr>
          </w:p>
        </w:tc>
        <w:tc>
          <w:tcPr>
            <w:tcW w:w="1440" w:type="dxa"/>
            <w:vAlign w:val="center"/>
          </w:tcPr>
          <w:p>
            <w:pPr>
              <w:spacing w:line="400" w:lineRule="exact"/>
              <w:rPr>
                <w:rFonts w:asciiTheme="minorEastAsia" w:hAnsiTheme="minorEastAsia" w:eastAsiaTheme="minorEastAsia" w:cstheme="minorEastAsia"/>
              </w:rPr>
            </w:pPr>
          </w:p>
        </w:tc>
        <w:tc>
          <w:tcPr>
            <w:tcW w:w="1320" w:type="dxa"/>
            <w:vAlign w:val="center"/>
          </w:tcPr>
          <w:p>
            <w:pPr>
              <w:spacing w:line="400" w:lineRule="exact"/>
              <w:rPr>
                <w:rFonts w:asciiTheme="minorEastAsia" w:hAnsiTheme="minorEastAsia" w:eastAsiaTheme="minorEastAsia" w:cstheme="minorEastAsia"/>
              </w:rPr>
            </w:pPr>
          </w:p>
        </w:tc>
        <w:tc>
          <w:tcPr>
            <w:tcW w:w="1335" w:type="dxa"/>
            <w:vAlign w:val="center"/>
          </w:tcPr>
          <w:p>
            <w:pPr>
              <w:spacing w:line="400" w:lineRule="exact"/>
              <w:rPr>
                <w:rFonts w:asciiTheme="minorEastAsia" w:hAnsiTheme="minorEastAsia" w:eastAsiaTheme="minorEastAsia" w:cstheme="minorEastAsia"/>
              </w:rPr>
            </w:pPr>
          </w:p>
        </w:tc>
        <w:tc>
          <w:tcPr>
            <w:tcW w:w="1418" w:type="dxa"/>
            <w:tcBorders>
              <w:right w:val="single" w:color="auto" w:sz="4" w:space="0"/>
            </w:tcBorders>
            <w:vAlign w:val="center"/>
          </w:tcPr>
          <w:p>
            <w:pPr>
              <w:spacing w:line="400" w:lineRule="exact"/>
              <w:rPr>
                <w:rFonts w:asciiTheme="minorEastAsia" w:hAnsiTheme="minorEastAsia" w:eastAsiaTheme="minorEastAsia" w:cstheme="minorEastAsia"/>
              </w:rPr>
            </w:pPr>
          </w:p>
        </w:tc>
        <w:tc>
          <w:tcPr>
            <w:tcW w:w="1505" w:type="dxa"/>
            <w:tcBorders>
              <w:left w:val="single" w:color="auto" w:sz="4" w:space="0"/>
              <w:right w:val="single" w:color="auto" w:sz="4" w:space="0"/>
            </w:tcBorders>
            <w:vAlign w:val="center"/>
          </w:tcPr>
          <w:p>
            <w:pPr>
              <w:spacing w:line="400" w:lineRule="exact"/>
              <w:rPr>
                <w:rFonts w:asciiTheme="minorEastAsia" w:hAnsiTheme="minorEastAsia" w:eastAsiaTheme="minorEastAsia" w:cstheme="minorEastAsia"/>
              </w:rPr>
            </w:pPr>
          </w:p>
        </w:tc>
        <w:tc>
          <w:tcPr>
            <w:tcW w:w="1046" w:type="dxa"/>
            <w:tcBorders>
              <w:left w:val="single" w:color="auto" w:sz="4" w:space="0"/>
            </w:tcBorders>
            <w:vAlign w:val="center"/>
          </w:tcPr>
          <w:p>
            <w:pPr>
              <w:spacing w:line="400" w:lineRule="exact"/>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20" w:type="dxa"/>
            <w:tcBorders>
              <w:bottom w:val="single" w:color="auto" w:sz="4" w:space="0"/>
            </w:tcBorders>
            <w:vAlign w:val="center"/>
          </w:tcPr>
          <w:p>
            <w:pPr>
              <w:spacing w:line="400" w:lineRule="exact"/>
              <w:jc w:val="center"/>
              <w:rPr>
                <w:rFonts w:asciiTheme="minorEastAsia" w:hAnsiTheme="minorEastAsia" w:eastAsiaTheme="minorEastAsia" w:cstheme="minorEastAsia"/>
              </w:rPr>
            </w:pPr>
          </w:p>
        </w:tc>
        <w:tc>
          <w:tcPr>
            <w:tcW w:w="1440" w:type="dxa"/>
            <w:tcBorders>
              <w:bottom w:val="single" w:color="auto" w:sz="4" w:space="0"/>
            </w:tcBorders>
            <w:vAlign w:val="center"/>
          </w:tcPr>
          <w:p>
            <w:pPr>
              <w:spacing w:line="400" w:lineRule="exact"/>
              <w:jc w:val="center"/>
              <w:rPr>
                <w:rFonts w:asciiTheme="minorEastAsia" w:hAnsiTheme="minorEastAsia" w:eastAsiaTheme="minorEastAsia" w:cstheme="minorEastAsia"/>
              </w:rPr>
            </w:pPr>
          </w:p>
        </w:tc>
        <w:tc>
          <w:tcPr>
            <w:tcW w:w="1320" w:type="dxa"/>
            <w:tcBorders>
              <w:bottom w:val="single" w:color="auto" w:sz="4" w:space="0"/>
            </w:tcBorders>
            <w:vAlign w:val="center"/>
          </w:tcPr>
          <w:p>
            <w:pPr>
              <w:spacing w:line="400" w:lineRule="exact"/>
              <w:jc w:val="center"/>
              <w:rPr>
                <w:rFonts w:asciiTheme="minorEastAsia" w:hAnsiTheme="minorEastAsia" w:eastAsiaTheme="minorEastAsia" w:cstheme="minorEastAsia"/>
              </w:rPr>
            </w:pPr>
          </w:p>
        </w:tc>
        <w:tc>
          <w:tcPr>
            <w:tcW w:w="1335" w:type="dxa"/>
            <w:tcBorders>
              <w:bottom w:val="single" w:color="auto" w:sz="4" w:space="0"/>
            </w:tcBorders>
            <w:vAlign w:val="center"/>
          </w:tcPr>
          <w:p>
            <w:pPr>
              <w:spacing w:line="400" w:lineRule="exact"/>
              <w:jc w:val="center"/>
              <w:rPr>
                <w:rFonts w:asciiTheme="minorEastAsia" w:hAnsiTheme="minorEastAsia" w:eastAsiaTheme="minorEastAsia" w:cstheme="minorEastAsia"/>
              </w:rPr>
            </w:pPr>
          </w:p>
        </w:tc>
        <w:tc>
          <w:tcPr>
            <w:tcW w:w="1418" w:type="dxa"/>
            <w:tcBorders>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rPr>
            </w:pPr>
          </w:p>
        </w:tc>
        <w:tc>
          <w:tcPr>
            <w:tcW w:w="1505" w:type="dxa"/>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rPr>
            </w:pPr>
          </w:p>
        </w:tc>
        <w:tc>
          <w:tcPr>
            <w:tcW w:w="1046" w:type="dxa"/>
            <w:tcBorders>
              <w:left w:val="single" w:color="auto" w:sz="4" w:space="0"/>
              <w:bottom w:val="single" w:color="auto" w:sz="4" w:space="0"/>
            </w:tcBorders>
            <w:vAlign w:val="center"/>
          </w:tcPr>
          <w:p>
            <w:pPr>
              <w:spacing w:line="400" w:lineRule="exact"/>
              <w:jc w:val="center"/>
              <w:rPr>
                <w:rFonts w:asciiTheme="minorEastAsia" w:hAnsiTheme="minorEastAsia" w:eastAsiaTheme="minorEastAsia" w:cstheme="minorEastAsia"/>
              </w:rPr>
            </w:pPr>
          </w:p>
        </w:tc>
      </w:tr>
    </w:tbl>
    <w:p>
      <w:pPr>
        <w:rPr>
          <w:rFonts w:asciiTheme="minorEastAsia" w:hAnsiTheme="minorEastAsia" w:eastAsiaTheme="minorEastAsia" w:cstheme="minorEastAsia"/>
        </w:rPr>
      </w:pPr>
    </w:p>
    <w:p>
      <w:pPr>
        <w:spacing w:line="360" w:lineRule="auto"/>
        <w:ind w:left="360"/>
        <w:jc w:val="center"/>
        <w:rPr>
          <w:rFonts w:asciiTheme="minorEastAsia" w:hAnsiTheme="minorEastAsia" w:eastAsiaTheme="minorEastAsia" w:cstheme="minorEastAsia"/>
          <w:sz w:val="24"/>
          <w:szCs w:val="24"/>
        </w:rPr>
      </w:pPr>
    </w:p>
    <w:p>
      <w:pPr>
        <w:adjustRightInd w:val="0"/>
        <w:snapToGrid w:val="0"/>
        <w:spacing w:line="480" w:lineRule="auto"/>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供应商（单位名称及公章）：_________________________</w:t>
      </w:r>
    </w:p>
    <w:p>
      <w:pPr>
        <w:adjustRightInd w:val="0"/>
        <w:snapToGrid w:val="0"/>
        <w:spacing w:line="48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法定代表人或被授权人（签字或盖章）：_____________________</w:t>
      </w:r>
    </w:p>
    <w:p>
      <w:pPr>
        <w:adjustRightInd w:val="0"/>
        <w:snapToGrid w:val="0"/>
        <w:spacing w:line="48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    期：_____年_____月_____日</w:t>
      </w:r>
    </w:p>
    <w:p>
      <w:pPr>
        <w:rPr>
          <w:rFonts w:asciiTheme="minorEastAsia" w:hAnsiTheme="minorEastAsia" w:eastAsiaTheme="minorEastAsia" w:cstheme="minorEastAsia"/>
        </w:rPr>
        <w:sectPr>
          <w:pgSz w:w="11906" w:h="16838"/>
          <w:pgMar w:top="1440" w:right="1803" w:bottom="1440" w:left="1803" w:header="851" w:footer="992" w:gutter="0"/>
          <w:cols w:space="0" w:num="1"/>
          <w:rtlGutter w:val="1"/>
          <w:docGrid w:type="lines" w:linePitch="319" w:charSpace="0"/>
        </w:sectPr>
      </w:pPr>
    </w:p>
    <w:p>
      <w:pPr>
        <w:pStyle w:val="4"/>
        <w:spacing w:before="319" w:beforeLines="100" w:after="478" w:afterLines="150" w:line="500" w:lineRule="exact"/>
        <w:rPr>
          <w:rFonts w:asciiTheme="minorEastAsia" w:hAnsiTheme="minorEastAsia" w:eastAsiaTheme="minorEastAsia" w:cstheme="minorEastAsia"/>
          <w:sz w:val="36"/>
          <w:szCs w:val="36"/>
        </w:rPr>
      </w:pPr>
      <w:bookmarkStart w:id="190" w:name="_Toc260"/>
      <w:r>
        <w:rPr>
          <w:rFonts w:hint="eastAsia" w:asciiTheme="minorEastAsia" w:hAnsiTheme="minorEastAsia" w:eastAsiaTheme="minorEastAsia" w:cstheme="minorEastAsia"/>
          <w:sz w:val="36"/>
          <w:szCs w:val="36"/>
        </w:rPr>
        <w:t>第九部分  供应商认为有必要说明的其他问题</w:t>
      </w:r>
      <w:bookmarkEnd w:id="190"/>
    </w:p>
    <w:p>
      <w:r>
        <w:br w:type="page"/>
      </w:r>
    </w:p>
    <w:p>
      <w:pPr>
        <w:pStyle w:val="4"/>
      </w:pPr>
      <w:bookmarkStart w:id="191" w:name="_Toc15189"/>
      <w:bookmarkStart w:id="192" w:name="_Toc5424"/>
      <w:bookmarkStart w:id="193" w:name="_Toc6347"/>
      <w:bookmarkStart w:id="194" w:name="_Toc7869"/>
      <w:bookmarkStart w:id="195" w:name="_Toc14632"/>
      <w:r>
        <w:rPr>
          <w:rFonts w:hint="eastAsia"/>
        </w:rPr>
        <w:t>附件一、封袋正面标识式样</w:t>
      </w:r>
      <w:bookmarkEnd w:id="191"/>
      <w:bookmarkEnd w:id="192"/>
      <w:bookmarkEnd w:id="193"/>
      <w:bookmarkEnd w:id="194"/>
      <w:bookmarkEnd w:id="195"/>
    </w:p>
    <w:p>
      <w:pPr>
        <w:spacing w:line="460" w:lineRule="exact"/>
        <w:ind w:firstLine="562" w:firstLineChars="20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投标文件正本封袋正面标识式样</w:t>
      </w:r>
    </w:p>
    <w:p>
      <w:pPr>
        <w:spacing w:line="460" w:lineRule="exact"/>
        <w:ind w:firstLine="420" w:firstLineChars="200"/>
        <w:jc w:val="center"/>
        <w:rPr>
          <w:rFonts w:asciiTheme="minorEastAsia" w:hAnsiTheme="minorEastAsia" w:eastAsiaTheme="minorEastAsia" w:cstheme="minorEastAsia"/>
          <w:b/>
          <w:bCs/>
          <w:sz w:val="24"/>
          <w:szCs w:val="24"/>
        </w:rPr>
      </w:pPr>
      <w:r>
        <w:rPr>
          <w:rFonts w:asciiTheme="minorEastAsia" w:hAnsiTheme="minorEastAsia" w:eastAsiaTheme="minorEastAsia" w:cstheme="minorEastAsia"/>
        </w:rPr>
        <mc:AlternateContent>
          <mc:Choice Requires="wps">
            <w:drawing>
              <wp:anchor distT="0" distB="0" distL="114300" distR="114300" simplePos="0" relativeHeight="251664384" behindDoc="0" locked="0" layoutInCell="1" allowOverlap="1">
                <wp:simplePos x="0" y="0"/>
                <wp:positionH relativeFrom="column">
                  <wp:posOffset>-537845</wp:posOffset>
                </wp:positionH>
                <wp:positionV relativeFrom="paragraph">
                  <wp:posOffset>113030</wp:posOffset>
                </wp:positionV>
                <wp:extent cx="6255385" cy="3364865"/>
                <wp:effectExtent l="4445" t="4445" r="7620" b="21590"/>
                <wp:wrapNone/>
                <wp:docPr id="15" name="Text Box 3"/>
                <wp:cNvGraphicFramePr/>
                <a:graphic xmlns:a="http://schemas.openxmlformats.org/drawingml/2006/main">
                  <a:graphicData uri="http://schemas.microsoft.com/office/word/2010/wordprocessingShape">
                    <wps:wsp>
                      <wps:cNvSpPr txBox="1"/>
                      <wps:spPr>
                        <a:xfrm>
                          <a:off x="0" y="0"/>
                          <a:ext cx="6255385" cy="33648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SXWZ2022ZB-SKD-135</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陕西科技大学实训楼有线无线网络建设项目</w:t>
                            </w:r>
                          </w:p>
                          <w:p>
                            <w:pPr>
                              <w:jc w:val="center"/>
                              <w:rPr>
                                <w:rFonts w:hint="eastAsia" w:cs="宋体"/>
                                <w:b/>
                                <w:bCs/>
                                <w:sz w:val="44"/>
                                <w:szCs w:val="44"/>
                              </w:rPr>
                            </w:pPr>
                            <w:r>
                              <w:rPr>
                                <w:rFonts w:hint="eastAsia" w:cs="宋体"/>
                                <w:b/>
                                <w:bCs/>
                                <w:sz w:val="44"/>
                                <w:szCs w:val="44"/>
                              </w:rPr>
                              <w:t>投标文件（正本）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Text Box 3" o:spid="_x0000_s1026" o:spt="202" type="#_x0000_t202" style="position:absolute;left:0pt;margin-left:-42.35pt;margin-top:8.9pt;height:264.95pt;width:492.55pt;z-index:251664384;mso-width-relative:page;mso-height-relative:page;" fillcolor="#FFFFFF" filled="t" stroked="t" coordsize="21600,21600" o:gfxdata="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D9blvZAAAACgEAAA8AAAAAAAAAAQAgAAAAIgAAAGRycy9k&#10;b3ducmV2LnhtbFBLAQIUABQAAAAIAIdO4kBgSGc6AQIAAEUEAAAOAAAAAAAAAAEAIAAAACgBAABk&#10;cnMvZTJvRG9jLnhtbFBLBQYAAAAABgAGAFkBAACbBQ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SXWZ2022ZB-SKD-135</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陕西科技大学实训楼有线无线网络建设项目</w:t>
                      </w:r>
                    </w:p>
                    <w:p>
                      <w:pPr>
                        <w:jc w:val="center"/>
                        <w:rPr>
                          <w:rFonts w:hint="eastAsia" w:cs="宋体"/>
                          <w:b/>
                          <w:bCs/>
                          <w:sz w:val="44"/>
                          <w:szCs w:val="44"/>
                        </w:rPr>
                      </w:pPr>
                      <w:r>
                        <w:rPr>
                          <w:rFonts w:hint="eastAsia" w:cs="宋体"/>
                          <w:b/>
                          <w:bCs/>
                          <w:sz w:val="44"/>
                          <w:szCs w:val="44"/>
                        </w:rPr>
                        <w:t>投标文件（正本）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562" w:firstLineChars="20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投标文件副本封袋正面标识式样</w:t>
      </w:r>
    </w:p>
    <w:p>
      <w:pPr>
        <w:spacing w:line="460" w:lineRule="exact"/>
        <w:ind w:firstLine="420" w:firstLineChars="200"/>
        <w:jc w:val="center"/>
        <w:rPr>
          <w:rFonts w:asciiTheme="minorEastAsia" w:hAnsiTheme="minorEastAsia" w:eastAsiaTheme="minorEastAsia" w:cstheme="minorEastAsia"/>
          <w:b/>
          <w:bCs/>
          <w:sz w:val="24"/>
          <w:szCs w:val="24"/>
        </w:rPr>
      </w:pPr>
      <w:r>
        <w:rPr>
          <w:rFonts w:asciiTheme="minorEastAsia" w:hAnsiTheme="minorEastAsia" w:eastAsiaTheme="minorEastAsia" w:cstheme="minorEastAsia"/>
        </w:rPr>
        <mc:AlternateContent>
          <mc:Choice Requires="wps">
            <w:drawing>
              <wp:anchor distT="0" distB="0" distL="114300" distR="114300" simplePos="0" relativeHeight="251665408" behindDoc="0" locked="0" layoutInCell="1" allowOverlap="1">
                <wp:simplePos x="0" y="0"/>
                <wp:positionH relativeFrom="column">
                  <wp:posOffset>-539750</wp:posOffset>
                </wp:positionH>
                <wp:positionV relativeFrom="paragraph">
                  <wp:posOffset>128905</wp:posOffset>
                </wp:positionV>
                <wp:extent cx="6288405" cy="3277235"/>
                <wp:effectExtent l="4445" t="4445" r="12700" b="13970"/>
                <wp:wrapNone/>
                <wp:docPr id="14" name="Text Box 4"/>
                <wp:cNvGraphicFramePr/>
                <a:graphic xmlns:a="http://schemas.openxmlformats.org/drawingml/2006/main">
                  <a:graphicData uri="http://schemas.microsoft.com/office/word/2010/wordprocessingShape">
                    <wps:wsp>
                      <wps:cNvSpPr txBox="1"/>
                      <wps:spPr>
                        <a:xfrm>
                          <a:off x="0" y="0"/>
                          <a:ext cx="6288405" cy="3277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SXWZ2022ZB-SKD-135</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陕西科技大学实训楼有线无线网络建设项目</w:t>
                            </w:r>
                          </w:p>
                          <w:p>
                            <w:pPr>
                              <w:jc w:val="center"/>
                              <w:rPr>
                                <w:rFonts w:hint="eastAsia" w:cs="宋体"/>
                                <w:b/>
                                <w:bCs/>
                                <w:sz w:val="44"/>
                                <w:szCs w:val="44"/>
                              </w:rPr>
                            </w:pPr>
                            <w:r>
                              <w:rPr>
                                <w:rFonts w:hint="eastAsia" w:cs="宋体"/>
                                <w:b/>
                                <w:bCs/>
                                <w:sz w:val="44"/>
                                <w:szCs w:val="44"/>
                              </w:rPr>
                              <w:t>投标文件（副本）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Text Box 4" o:spid="_x0000_s1026" o:spt="202" type="#_x0000_t202" style="position:absolute;left:0pt;margin-left:-42.5pt;margin-top:10.15pt;height:258.05pt;width:495.15pt;z-index:251665408;mso-width-relative:page;mso-height-relative:page;" fillcolor="#FFFFFF" filled="t" stroked="t" coordsize="21600,21600" o:gfxdata="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bMVJNoAAAAKAQAADwAAAAAAAAABACAAAAAiAAAAZHJz&#10;L2Rvd25yZXYueG1sUEsBAhQAFAAAAAgAh07iQAafw68CAgAARQQAAA4AAAAAAAAAAQAgAAAAKQEA&#10;AGRycy9lMm9Eb2MueG1sUEsFBgAAAAAGAAYAWQEAAJ0FA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SXWZ2022ZB-SKD-135</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陕西科技大学实训楼有线无线网络建设项目</w:t>
                      </w:r>
                    </w:p>
                    <w:p>
                      <w:pPr>
                        <w:jc w:val="center"/>
                        <w:rPr>
                          <w:rFonts w:hint="eastAsia" w:cs="宋体"/>
                          <w:b/>
                          <w:bCs/>
                          <w:sz w:val="44"/>
                          <w:szCs w:val="44"/>
                        </w:rPr>
                      </w:pPr>
                      <w:r>
                        <w:rPr>
                          <w:rFonts w:hint="eastAsia" w:cs="宋体"/>
                          <w:b/>
                          <w:bCs/>
                          <w:sz w:val="44"/>
                          <w:szCs w:val="44"/>
                        </w:rPr>
                        <w:t>投标文件（副本）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rPr>
      </w:pPr>
    </w:p>
    <w:p>
      <w:pPr>
        <w:tabs>
          <w:tab w:val="left" w:pos="8280"/>
        </w:tabs>
        <w:spacing w:line="460" w:lineRule="exact"/>
        <w:ind w:firstLine="482" w:firstLineChars="200"/>
        <w:jc w:val="center"/>
        <w:rPr>
          <w:rFonts w:asciiTheme="minorEastAsia" w:hAnsiTheme="minorEastAsia" w:eastAsiaTheme="minorEastAsia" w:cstheme="minorEastAsia"/>
          <w:b/>
          <w:bCs/>
          <w:sz w:val="24"/>
          <w:szCs w:val="24"/>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1004" w:firstLineChars="200"/>
        <w:jc w:val="center"/>
        <w:rPr>
          <w:rFonts w:asciiTheme="minorEastAsia" w:hAnsiTheme="minorEastAsia" w:eastAsiaTheme="minorEastAsia" w:cstheme="minorEastAsia"/>
          <w:b/>
          <w:bCs/>
          <w:sz w:val="50"/>
          <w:szCs w:val="50"/>
        </w:rPr>
      </w:pPr>
    </w:p>
    <w:p>
      <w:pPr>
        <w:widowControl/>
        <w:spacing w:line="460" w:lineRule="exact"/>
        <w:ind w:firstLine="480" w:firstLineChars="200"/>
        <w:jc w:val="center"/>
        <w:rPr>
          <w:rFonts w:asciiTheme="minorEastAsia" w:hAnsiTheme="minorEastAsia" w:eastAsiaTheme="minorEastAsia" w:cstheme="minorEastAsia"/>
          <w:sz w:val="24"/>
          <w:szCs w:val="24"/>
        </w:rPr>
        <w:sectPr>
          <w:footerReference r:id="rId18" w:type="default"/>
          <w:pgSz w:w="11906" w:h="16838"/>
          <w:pgMar w:top="1440" w:right="1803" w:bottom="1440" w:left="1803" w:header="851" w:footer="992" w:gutter="0"/>
          <w:cols w:space="0" w:num="1"/>
          <w:rtlGutter w:val="1"/>
          <w:docGrid w:type="lines" w:linePitch="319" w:charSpace="0"/>
        </w:sectPr>
      </w:pPr>
    </w:p>
    <w:p>
      <w:pPr>
        <w:spacing w:line="460" w:lineRule="exact"/>
        <w:ind w:firstLine="562" w:firstLineChars="20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投标报价一览表封袋正面标识式样</w:t>
      </w:r>
    </w:p>
    <w:p>
      <w:pPr>
        <w:spacing w:line="460" w:lineRule="exact"/>
        <w:rPr>
          <w:rFonts w:asciiTheme="minorEastAsia" w:hAnsiTheme="minorEastAsia" w:eastAsiaTheme="minorEastAsia" w:cstheme="minorEastAsia"/>
          <w:b/>
          <w:bCs/>
          <w:sz w:val="24"/>
          <w:szCs w:val="24"/>
        </w:rPr>
      </w:pPr>
      <w:r>
        <w:rPr>
          <w:rFonts w:asciiTheme="minorEastAsia" w:hAnsiTheme="minorEastAsia" w:eastAsiaTheme="minorEastAsia" w:cstheme="minorEastAsia"/>
        </w:rPr>
        <mc:AlternateContent>
          <mc:Choice Requires="wps">
            <w:drawing>
              <wp:anchor distT="0" distB="0" distL="114300" distR="114300" simplePos="0" relativeHeight="251666432" behindDoc="0" locked="0" layoutInCell="1" allowOverlap="1">
                <wp:simplePos x="0" y="0"/>
                <wp:positionH relativeFrom="column">
                  <wp:posOffset>-532765</wp:posOffset>
                </wp:positionH>
                <wp:positionV relativeFrom="paragraph">
                  <wp:posOffset>231775</wp:posOffset>
                </wp:positionV>
                <wp:extent cx="6189345" cy="3380740"/>
                <wp:effectExtent l="5080" t="4445" r="15875" b="5715"/>
                <wp:wrapNone/>
                <wp:docPr id="13" name="文本框 11"/>
                <wp:cNvGraphicFramePr/>
                <a:graphic xmlns:a="http://schemas.openxmlformats.org/drawingml/2006/main">
                  <a:graphicData uri="http://schemas.microsoft.com/office/word/2010/wordprocessingShape">
                    <wps:wsp>
                      <wps:cNvSpPr txBox="1"/>
                      <wps:spPr>
                        <a:xfrm>
                          <a:off x="0" y="0"/>
                          <a:ext cx="6189345" cy="3380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SXWZ2022ZB-SKD-135</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陕西科技大学实训楼有线无线网络建设项目</w:t>
                            </w:r>
                          </w:p>
                          <w:p>
                            <w:pPr>
                              <w:jc w:val="center"/>
                              <w:rPr>
                                <w:rFonts w:hint="eastAsia" w:cs="宋体"/>
                                <w:b/>
                                <w:bCs/>
                                <w:sz w:val="44"/>
                                <w:szCs w:val="44"/>
                              </w:rPr>
                            </w:pPr>
                            <w:r>
                              <w:rPr>
                                <w:rFonts w:hint="eastAsia" w:cs="宋体"/>
                                <w:b/>
                                <w:bCs/>
                                <w:sz w:val="44"/>
                                <w:szCs w:val="44"/>
                              </w:rPr>
                              <w:t>报价一览表</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文本框 11" o:spid="_x0000_s1026" o:spt="202" type="#_x0000_t202" style="position:absolute;left:0pt;margin-left:-41.95pt;margin-top:18.25pt;height:266.2pt;width:487.35pt;z-index:251666432;mso-width-relative:page;mso-height-relative:page;" fillcolor="#FFFFFF" filled="t" stroked="t" coordsize="21600,21600" o:gfxdata="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SOz2gAAAAoBAAAP&#10;AAAAAAAAAAEAIAAAACIAAABkcnMvZG93bnJldi54bWxQSwECFAAUAAAACACHTuJAm9aadhYCAABH&#10;BAAADgAAAAAAAAABACAAAAApAQAAZHJzL2Uyb0RvYy54bWxQSwUGAAAAAAYABgBZAQAAsQUAAAAA&#10;">
                <v:fill on="t" focussize="0,0"/>
                <v:stroke color="#000000" joinstyle="miter"/>
                <v:imagedata o:title=""/>
                <o:lock v:ext="edit" aspectratio="f"/>
                <v:textbox>
                  <w:txbxContent>
                    <w:p>
                      <w:pPr>
                        <w:rPr>
                          <w:rFonts w:hint="eastAsia" w:eastAsia="宋体" w:cs="Times New Roman"/>
                          <w:sz w:val="28"/>
                          <w:szCs w:val="28"/>
                          <w:highlight w:val="yellow"/>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SXWZ2022ZB-SKD-135</w:t>
                      </w:r>
                    </w:p>
                    <w:p>
                      <w:pPr>
                        <w:rPr>
                          <w:rFonts w:hint="eastAsia" w:cs="Times New Roman" w:eastAsiaTheme="minorEastAsia"/>
                          <w:sz w:val="28"/>
                          <w:szCs w:val="28"/>
                          <w:lang w:eastAsia="zh-CN"/>
                        </w:rPr>
                      </w:pPr>
                      <w:r>
                        <w:rPr>
                          <w:rFonts w:hint="eastAsia" w:cs="宋体"/>
                          <w:sz w:val="28"/>
                          <w:szCs w:val="28"/>
                        </w:rPr>
                        <w:t>项目名称：</w:t>
                      </w:r>
                      <w:r>
                        <w:rPr>
                          <w:rFonts w:hint="eastAsia" w:cs="宋体"/>
                          <w:sz w:val="28"/>
                          <w:szCs w:val="28"/>
                          <w:lang w:eastAsia="zh-CN"/>
                        </w:rPr>
                        <w:t>陕西科技大学实训楼有线无线网络建设项目</w:t>
                      </w:r>
                    </w:p>
                    <w:p>
                      <w:pPr>
                        <w:jc w:val="center"/>
                        <w:rPr>
                          <w:rFonts w:hint="eastAsia" w:cs="宋体"/>
                          <w:b/>
                          <w:bCs/>
                          <w:sz w:val="44"/>
                          <w:szCs w:val="44"/>
                        </w:rPr>
                      </w:pPr>
                      <w:r>
                        <w:rPr>
                          <w:rFonts w:hint="eastAsia" w:cs="宋体"/>
                          <w:b/>
                          <w:bCs/>
                          <w:sz w:val="44"/>
                          <w:szCs w:val="44"/>
                        </w:rPr>
                        <w:t>报价一览表</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ind w:firstLine="482" w:firstLineChars="200"/>
        <w:jc w:val="center"/>
        <w:rPr>
          <w:rFonts w:asciiTheme="minorEastAsia" w:hAnsiTheme="minorEastAsia" w:eastAsiaTheme="minorEastAsia" w:cstheme="minorEastAsia"/>
          <w:b/>
          <w:bCs/>
          <w:sz w:val="24"/>
          <w:szCs w:val="24"/>
        </w:rPr>
      </w:pPr>
    </w:p>
    <w:p>
      <w:pPr>
        <w:spacing w:line="460" w:lineRule="exact"/>
        <w:jc w:val="center"/>
        <w:rPr>
          <w:rFonts w:asciiTheme="minorEastAsia" w:hAnsiTheme="minorEastAsia" w:eastAsiaTheme="minorEastAsia" w:cstheme="minorEastAsia"/>
          <w:b/>
          <w:bCs/>
          <w:sz w:val="24"/>
          <w:szCs w:val="24"/>
        </w:rPr>
      </w:pPr>
    </w:p>
    <w:p>
      <w:pPr>
        <w:spacing w:line="460" w:lineRule="exact"/>
        <w:jc w:val="center"/>
        <w:rPr>
          <w:rFonts w:asciiTheme="minorEastAsia" w:hAnsiTheme="minorEastAsia" w:eastAsiaTheme="minorEastAsia" w:cstheme="minorEastAsia"/>
          <w:b/>
          <w:bCs/>
          <w:sz w:val="24"/>
          <w:szCs w:val="24"/>
        </w:rPr>
      </w:pPr>
    </w:p>
    <w:p>
      <w:pPr>
        <w:spacing w:line="460" w:lineRule="exact"/>
        <w:jc w:val="center"/>
        <w:rPr>
          <w:rFonts w:asciiTheme="minorEastAsia" w:hAnsiTheme="minorEastAsia" w:eastAsiaTheme="minorEastAsia" w:cstheme="minorEastAsia"/>
          <w:b/>
          <w:bCs/>
          <w:sz w:val="24"/>
          <w:szCs w:val="24"/>
        </w:rPr>
      </w:pPr>
    </w:p>
    <w:p>
      <w:pPr>
        <w:spacing w:line="460" w:lineRule="exact"/>
        <w:ind w:firstLine="562" w:firstLineChars="20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电子文档封袋正面标识式样</w:t>
      </w:r>
    </w:p>
    <w:p>
      <w:pPr>
        <w:tabs>
          <w:tab w:val="left" w:pos="8280"/>
        </w:tabs>
        <w:spacing w:line="460" w:lineRule="exact"/>
        <w:ind w:firstLine="420" w:firstLineChars="200"/>
        <w:jc w:val="center"/>
        <w:rPr>
          <w:rFonts w:asciiTheme="minorEastAsia" w:hAnsiTheme="minorEastAsia" w:eastAsiaTheme="minorEastAsia" w:cstheme="minorEastAsia"/>
          <w:b/>
          <w:bCs/>
          <w:sz w:val="24"/>
          <w:szCs w:val="24"/>
        </w:rPr>
      </w:pPr>
      <w:r>
        <w:rPr>
          <w:rFonts w:asciiTheme="minorEastAsia" w:hAnsiTheme="minorEastAsia" w:eastAsiaTheme="minorEastAsia" w:cstheme="minorEastAsia"/>
        </w:rPr>
        <mc:AlternateContent>
          <mc:Choice Requires="wps">
            <w:drawing>
              <wp:anchor distT="0" distB="0" distL="114300" distR="114300" simplePos="0" relativeHeight="251667456" behindDoc="0" locked="0" layoutInCell="1" allowOverlap="1">
                <wp:simplePos x="0" y="0"/>
                <wp:positionH relativeFrom="column">
                  <wp:posOffset>-586105</wp:posOffset>
                </wp:positionH>
                <wp:positionV relativeFrom="paragraph">
                  <wp:posOffset>82550</wp:posOffset>
                </wp:positionV>
                <wp:extent cx="6258560" cy="3485515"/>
                <wp:effectExtent l="4445" t="4445" r="23495" b="15240"/>
                <wp:wrapNone/>
                <wp:docPr id="12" name="文本框 12"/>
                <wp:cNvGraphicFramePr/>
                <a:graphic xmlns:a="http://schemas.openxmlformats.org/drawingml/2006/main">
                  <a:graphicData uri="http://schemas.microsoft.com/office/word/2010/wordprocessingShape">
                    <wps:wsp>
                      <wps:cNvSpPr txBox="1"/>
                      <wps:spPr>
                        <a:xfrm>
                          <a:off x="0" y="0"/>
                          <a:ext cx="6258560" cy="3485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cs="宋体"/>
                                <w:sz w:val="28"/>
                                <w:szCs w:val="28"/>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SXWZ2022ZB-SKD-135</w:t>
                            </w:r>
                          </w:p>
                          <w:p>
                            <w:pPr>
                              <w:rPr>
                                <w:rFonts w:hint="eastAsia" w:cs="宋体"/>
                                <w:sz w:val="28"/>
                                <w:szCs w:val="28"/>
                                <w:lang w:eastAsia="zh-CN"/>
                              </w:rPr>
                            </w:pPr>
                            <w:r>
                              <w:rPr>
                                <w:rFonts w:hint="eastAsia" w:cs="宋体"/>
                                <w:sz w:val="28"/>
                                <w:szCs w:val="28"/>
                                <w:lang w:eastAsia="zh-CN"/>
                              </w:rPr>
                              <w:t>项目名称：陕西科技大学实训楼有线无线网络建设项目</w:t>
                            </w:r>
                          </w:p>
                          <w:p>
                            <w:pPr>
                              <w:jc w:val="center"/>
                              <w:rPr>
                                <w:rFonts w:hint="eastAsia" w:cs="宋体"/>
                                <w:b/>
                                <w:bCs/>
                                <w:sz w:val="44"/>
                                <w:szCs w:val="44"/>
                              </w:rPr>
                            </w:pPr>
                            <w:r>
                              <w:rPr>
                                <w:rFonts w:hint="eastAsia" w:cs="宋体"/>
                                <w:b/>
                                <w:bCs/>
                                <w:sz w:val="44"/>
                                <w:szCs w:val="44"/>
                              </w:rPr>
                              <w:t>电子文档</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_x0000_s1026" o:spid="_x0000_s1026" o:spt="202" type="#_x0000_t202" style="position:absolute;left:0pt;margin-left:-46.15pt;margin-top:6.5pt;height:274.45pt;width:492.8pt;z-index:251667456;mso-width-relative:page;mso-height-relative:page;" fillcolor="#FFFFFF" filled="t" stroked="t" coordsize="21600,21600" o:gfxdata="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RVWTS2QAAAAoBAAAPAAAAAAAA&#10;AAEAIAAAACIAAABkcnMvZG93bnJldi54bWxQSwECFAAUAAAACACHTuJAjJyKqBECAABHBAAADgAA&#10;AAAAAAABACAAAAAoAQAAZHJzL2Uyb0RvYy54bWxQSwUGAAAAAAYABgBZAQAAqwUAAAAA&#10;">
                <v:fill on="t" focussize="0,0"/>
                <v:stroke color="#000000" joinstyle="miter"/>
                <v:imagedata o:title=""/>
                <o:lock v:ext="edit" aspectratio="f"/>
                <v:textbox>
                  <w:txbxContent>
                    <w:p>
                      <w:pPr>
                        <w:rPr>
                          <w:rFonts w:hint="eastAsia" w:cs="宋体"/>
                          <w:sz w:val="28"/>
                          <w:szCs w:val="28"/>
                          <w:lang w:eastAsia="zh-CN"/>
                        </w:rPr>
                      </w:pPr>
                      <w:r>
                        <w:rPr>
                          <w:rFonts w:hint="eastAsia" w:cs="宋体"/>
                          <w:sz w:val="28"/>
                          <w:szCs w:val="28"/>
                        </w:rPr>
                        <w:t>致：陕西万泽招标有限公司</w:t>
                      </w:r>
                      <w:r>
                        <w:rPr>
                          <w:rFonts w:hint="eastAsia" w:cs="宋体"/>
                          <w:sz w:val="28"/>
                          <w:szCs w:val="28"/>
                          <w:lang w:val="en-US" w:eastAsia="zh-CN"/>
                        </w:rPr>
                        <w:t xml:space="preserve">            </w:t>
                      </w:r>
                      <w:r>
                        <w:rPr>
                          <w:rFonts w:hint="eastAsia" w:cs="宋体"/>
                          <w:sz w:val="28"/>
                          <w:szCs w:val="28"/>
                        </w:rPr>
                        <w:t>项目编号：</w:t>
                      </w:r>
                      <w:r>
                        <w:rPr>
                          <w:rFonts w:hint="eastAsia"/>
                          <w:sz w:val="28"/>
                          <w:szCs w:val="28"/>
                          <w:lang w:eastAsia="zh-CN"/>
                        </w:rPr>
                        <w:t>SXWZ2022ZB-SKD-135</w:t>
                      </w:r>
                    </w:p>
                    <w:p>
                      <w:pPr>
                        <w:rPr>
                          <w:rFonts w:hint="eastAsia" w:cs="宋体"/>
                          <w:sz w:val="28"/>
                          <w:szCs w:val="28"/>
                          <w:lang w:eastAsia="zh-CN"/>
                        </w:rPr>
                      </w:pPr>
                      <w:r>
                        <w:rPr>
                          <w:rFonts w:hint="eastAsia" w:cs="宋体"/>
                          <w:sz w:val="28"/>
                          <w:szCs w:val="28"/>
                          <w:lang w:eastAsia="zh-CN"/>
                        </w:rPr>
                        <w:t>项目名称：陕西科技大学实训楼有线无线网络建设项目</w:t>
                      </w:r>
                    </w:p>
                    <w:p>
                      <w:pPr>
                        <w:jc w:val="center"/>
                        <w:rPr>
                          <w:rFonts w:hint="eastAsia" w:cs="宋体"/>
                          <w:b/>
                          <w:bCs/>
                          <w:sz w:val="44"/>
                          <w:szCs w:val="44"/>
                        </w:rPr>
                      </w:pPr>
                      <w:r>
                        <w:rPr>
                          <w:rFonts w:hint="eastAsia" w:cs="宋体"/>
                          <w:b/>
                          <w:bCs/>
                          <w:sz w:val="44"/>
                          <w:szCs w:val="44"/>
                        </w:rPr>
                        <w:t>电子文档</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420" w:firstLineChars="200"/>
        <w:jc w:val="center"/>
        <w:rPr>
          <w:rFonts w:asciiTheme="minorEastAsia" w:hAnsiTheme="minorEastAsia" w:eastAsiaTheme="minorEastAsia" w:cstheme="minorEastAsia"/>
        </w:rPr>
      </w:pPr>
    </w:p>
    <w:p>
      <w:pPr>
        <w:ind w:firstLine="1004" w:firstLineChars="200"/>
        <w:jc w:val="center"/>
        <w:rPr>
          <w:rFonts w:asciiTheme="minorEastAsia" w:hAnsiTheme="minorEastAsia" w:eastAsiaTheme="minorEastAsia" w:cstheme="minorEastAsia"/>
          <w:b/>
          <w:bCs/>
          <w:sz w:val="50"/>
          <w:szCs w:val="50"/>
        </w:rPr>
      </w:pPr>
    </w:p>
    <w:p>
      <w:pPr>
        <w:jc w:val="left"/>
        <w:rPr>
          <w:rFonts w:asciiTheme="minorEastAsia" w:hAnsiTheme="minorEastAsia" w:eastAsiaTheme="minorEastAsia" w:cstheme="minorEastAsia"/>
          <w:b/>
          <w:bCs/>
          <w:sz w:val="36"/>
          <w:szCs w:val="36"/>
        </w:rPr>
        <w:sectPr>
          <w:pgSz w:w="11906" w:h="16838"/>
          <w:pgMar w:top="1440" w:right="1803" w:bottom="1440" w:left="1803" w:header="851" w:footer="992" w:gutter="0"/>
          <w:cols w:space="0" w:num="1"/>
          <w:rtlGutter w:val="1"/>
          <w:docGrid w:type="lines" w:linePitch="319" w:charSpace="0"/>
        </w:sectPr>
      </w:pPr>
    </w:p>
    <w:p>
      <w:pPr>
        <w:pStyle w:val="4"/>
        <w:adjustRightInd w:val="0"/>
        <w:spacing w:line="416" w:lineRule="atLeast"/>
        <w:textAlignment w:val="baseline"/>
        <w:rPr>
          <w:rFonts w:asciiTheme="minorEastAsia" w:hAnsiTheme="minorEastAsia" w:eastAsiaTheme="minorEastAsia" w:cstheme="minorEastAsia"/>
        </w:rPr>
      </w:pPr>
      <w:bookmarkStart w:id="196" w:name="_Toc26371"/>
      <w:bookmarkStart w:id="197" w:name="_Toc20129"/>
      <w:bookmarkStart w:id="198" w:name="_Toc7273"/>
      <w:bookmarkStart w:id="199" w:name="_Toc27124"/>
      <w:bookmarkStart w:id="200" w:name="_Toc8177"/>
      <w:bookmarkStart w:id="201" w:name="_Toc9607"/>
      <w:bookmarkStart w:id="202" w:name="_Toc22866"/>
      <w:r>
        <w:rPr>
          <w:rFonts w:hint="eastAsia" w:asciiTheme="minorEastAsia" w:hAnsiTheme="minorEastAsia" w:eastAsiaTheme="minorEastAsia" w:cstheme="minorEastAsia"/>
        </w:rPr>
        <w:t>附件二、中小企业申明</w:t>
      </w:r>
      <w:bookmarkEnd w:id="196"/>
      <w:bookmarkEnd w:id="197"/>
      <w:bookmarkEnd w:id="198"/>
      <w:bookmarkEnd w:id="199"/>
      <w:bookmarkEnd w:id="200"/>
      <w:bookmarkEnd w:id="201"/>
      <w:bookmarkEnd w:id="202"/>
    </w:p>
    <w:p>
      <w:pPr>
        <w:spacing w:line="588" w:lineRule="exact"/>
        <w:ind w:firstLine="520" w:firstLineChars="200"/>
        <w:rPr>
          <w:rFonts w:ascii="宋体" w:hAnsi="宋体"/>
          <w:color w:val="000000"/>
          <w:spacing w:val="6"/>
          <w:sz w:val="24"/>
        </w:rPr>
      </w:pPr>
      <w:bookmarkStart w:id="203" w:name="_Toc3198"/>
      <w:bookmarkStart w:id="204" w:name="_Toc11130"/>
      <w:bookmarkStart w:id="205" w:name="_Toc30503"/>
      <w:bookmarkStart w:id="206" w:name="_Toc11556"/>
      <w:bookmarkStart w:id="207" w:name="_Toc15467"/>
      <w:r>
        <w:rPr>
          <w:rFonts w:hint="eastAsia" w:ascii="宋体" w:hAnsi="宋体"/>
          <w:color w:val="000000"/>
          <w:spacing w:val="6"/>
          <w:sz w:val="24"/>
        </w:rPr>
        <w:t>根据《政府采购促进中小企业发展管理办法》（财库[2020]46号）的规定，由供应商自行声明并对真实性负责。如有虚假，将依法承担相应责任。</w:t>
      </w:r>
    </w:p>
    <w:p>
      <w:pPr>
        <w:spacing w:line="588" w:lineRule="exact"/>
        <w:jc w:val="center"/>
        <w:rPr>
          <w:rFonts w:ascii="仿宋_GB2312" w:eastAsia="仿宋_GB2312"/>
          <w:b/>
          <w:color w:val="000000"/>
          <w:spacing w:val="6"/>
          <w:sz w:val="24"/>
          <w:szCs w:val="24"/>
        </w:rPr>
      </w:pPr>
      <w:r>
        <w:rPr>
          <w:rFonts w:hint="eastAsia" w:ascii="宋体" w:hAnsi="宋体"/>
          <w:b/>
          <w:color w:val="000000"/>
          <w:spacing w:val="6"/>
          <w:sz w:val="24"/>
          <w:szCs w:val="24"/>
        </w:rPr>
        <w:t>中小企业声明函</w:t>
      </w:r>
    </w:p>
    <w:p>
      <w:pPr>
        <w:pStyle w:val="2"/>
        <w:spacing w:before="55" w:line="360" w:lineRule="auto"/>
        <w:ind w:right="415" w:firstLine="640"/>
        <w:rPr>
          <w:rFonts w:ascii="宋体" w:hAnsi="宋体"/>
          <w:color w:val="000000"/>
          <w:spacing w:val="6"/>
          <w:sz w:val="24"/>
        </w:rPr>
      </w:pPr>
      <w:r>
        <w:rPr>
          <w:rFonts w:hint="eastAsia" w:ascii="宋体" w:hAnsi="宋体"/>
          <w:color w:val="000000"/>
          <w:spacing w:val="6"/>
          <w:sz w:val="24"/>
        </w:rPr>
        <w:t>本公司郑重声明，根据《政府采购促进中小企业发展管理办法》（财库﹝2020﹞46 号）的规定，本公司参加</w:t>
      </w:r>
      <w:r>
        <w:rPr>
          <w:rFonts w:hint="eastAsia" w:ascii="宋体" w:hAnsi="宋体"/>
          <w:color w:val="000000"/>
          <w:spacing w:val="6"/>
          <w:sz w:val="24"/>
          <w:u w:val="single"/>
        </w:rPr>
        <w:t>（单位名称）</w:t>
      </w:r>
      <w:r>
        <w:rPr>
          <w:rFonts w:hint="eastAsia" w:ascii="宋体" w:hAnsi="宋体"/>
          <w:color w:val="000000"/>
          <w:spacing w:val="6"/>
          <w:sz w:val="24"/>
        </w:rPr>
        <w:t>的</w:t>
      </w:r>
      <w:r>
        <w:rPr>
          <w:rFonts w:hint="eastAsia" w:ascii="宋体" w:hAnsi="宋体"/>
          <w:color w:val="000000"/>
          <w:spacing w:val="6"/>
          <w:sz w:val="24"/>
          <w:u w:val="single"/>
        </w:rPr>
        <w:t xml:space="preserve">                       （项目名称）</w:t>
      </w:r>
      <w:r>
        <w:rPr>
          <w:rFonts w:hint="eastAsia" w:ascii="宋体" w:hAnsi="宋体"/>
          <w:color w:val="000000"/>
          <w:spacing w:val="6"/>
          <w:sz w:val="24"/>
        </w:rPr>
        <w:t>采购活动，提供的货物全部由符合政策要求的中小企业制造。相关企业的具体情况如下：</w:t>
      </w:r>
    </w:p>
    <w:p>
      <w:pPr>
        <w:pStyle w:val="89"/>
        <w:numPr>
          <w:ilvl w:val="0"/>
          <w:numId w:val="28"/>
        </w:numPr>
        <w:tabs>
          <w:tab w:val="left" w:pos="1183"/>
          <w:tab w:val="left" w:pos="1484"/>
          <w:tab w:val="left" w:pos="4662"/>
          <w:tab w:val="left" w:pos="6903"/>
        </w:tabs>
        <w:spacing w:line="360" w:lineRule="auto"/>
        <w:ind w:right="169" w:firstLine="521"/>
        <w:jc w:val="left"/>
        <w:rPr>
          <w:rFonts w:ascii="宋体" w:hAnsi="宋体"/>
          <w:color w:val="000000"/>
          <w:spacing w:val="6"/>
          <w:sz w:val="24"/>
        </w:rPr>
      </w:pP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w:t>
      </w:r>
      <w:r>
        <w:rPr>
          <w:rFonts w:hint="eastAsia" w:ascii="宋体" w:hAnsi="宋体"/>
          <w:color w:val="000000"/>
          <w:spacing w:val="6"/>
          <w:sz w:val="24"/>
          <w:u w:val="single"/>
        </w:rPr>
        <w:tab/>
      </w:r>
      <w:r>
        <w:rPr>
          <w:rFonts w:hint="eastAsia" w:ascii="宋体" w:hAnsi="宋体"/>
          <w:color w:val="000000"/>
          <w:spacing w:val="6"/>
          <w:sz w:val="24"/>
        </w:rPr>
        <w:t>人，营业收入为</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89"/>
        <w:numPr>
          <w:ilvl w:val="0"/>
          <w:numId w:val="28"/>
        </w:numPr>
        <w:tabs>
          <w:tab w:val="left" w:pos="1165"/>
          <w:tab w:val="left" w:pos="1183"/>
          <w:tab w:val="left" w:pos="4362"/>
          <w:tab w:val="left" w:pos="6577"/>
        </w:tabs>
        <w:spacing w:line="360" w:lineRule="auto"/>
        <w:ind w:right="169" w:firstLine="521"/>
        <w:jc w:val="left"/>
        <w:rPr>
          <w:rFonts w:ascii="宋体" w:hAnsi="宋体"/>
          <w:color w:val="000000"/>
          <w:spacing w:val="6"/>
          <w:sz w:val="24"/>
        </w:rPr>
      </w:pP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，从业人员人，营业收入为</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2"/>
        <w:spacing w:line="360" w:lineRule="auto"/>
        <w:ind w:left="860"/>
        <w:rPr>
          <w:rFonts w:ascii="宋体" w:hAnsi="宋体"/>
          <w:color w:val="000000"/>
          <w:spacing w:val="6"/>
          <w:sz w:val="24"/>
        </w:rPr>
      </w:pPr>
      <w:r>
        <w:rPr>
          <w:rFonts w:hint="eastAsia" w:ascii="宋体" w:hAnsi="宋体"/>
          <w:color w:val="000000"/>
          <w:spacing w:val="6"/>
          <w:sz w:val="24"/>
        </w:rPr>
        <w:t>……</w:t>
      </w:r>
    </w:p>
    <w:p>
      <w:pPr>
        <w:pStyle w:val="2"/>
        <w:spacing w:before="105" w:line="360" w:lineRule="auto"/>
        <w:ind w:right="417" w:firstLine="645"/>
        <w:rPr>
          <w:rFonts w:ascii="宋体" w:hAnsi="宋体"/>
          <w:color w:val="000000"/>
          <w:spacing w:val="6"/>
          <w:sz w:val="24"/>
        </w:rPr>
      </w:pPr>
      <w:r>
        <w:rPr>
          <w:rFonts w:hint="eastAsia" w:ascii="宋体" w:hAnsi="宋体"/>
          <w:color w:val="000000"/>
          <w:spacing w:val="6"/>
          <w:sz w:val="24"/>
        </w:rPr>
        <w:t>以上企业，不属于大企业的分支机构，不存在控股股东为大企业的情形，也不存在与大企业的负责人为同一人的情形。</w:t>
      </w:r>
    </w:p>
    <w:p>
      <w:pPr>
        <w:pStyle w:val="2"/>
        <w:spacing w:line="360" w:lineRule="auto"/>
        <w:ind w:right="372" w:firstLine="645"/>
        <w:rPr>
          <w:rFonts w:ascii="宋体" w:hAnsi="宋体"/>
          <w:color w:val="000000"/>
          <w:spacing w:val="6"/>
          <w:sz w:val="24"/>
        </w:rPr>
      </w:pPr>
      <w:r>
        <w:rPr>
          <w:rFonts w:hint="eastAsia" w:ascii="宋体" w:hAnsi="宋体"/>
          <w:color w:val="000000"/>
          <w:spacing w:val="6"/>
          <w:sz w:val="24"/>
        </w:rPr>
        <w:t>本企业对上述声明内容的真实性负责。如有虚假，将依法承担相应责任。</w:t>
      </w:r>
    </w:p>
    <w:p>
      <w:pPr>
        <w:spacing w:line="360" w:lineRule="auto"/>
        <w:jc w:val="left"/>
        <w:rPr>
          <w:rFonts w:ascii="宋体" w:hAnsi="宋体"/>
          <w:color w:val="000000"/>
          <w:spacing w:val="6"/>
          <w:sz w:val="24"/>
        </w:rPr>
      </w:pPr>
      <w:r>
        <w:rPr>
          <w:rFonts w:hint="eastAsia" w:ascii="宋体" w:hAnsi="宋体"/>
          <w:color w:val="000000"/>
          <w:spacing w:val="6"/>
          <w:sz w:val="24"/>
        </w:rPr>
        <w:t>企业名称（盖章）：</w:t>
      </w:r>
    </w:p>
    <w:p>
      <w:pPr>
        <w:spacing w:line="360" w:lineRule="auto"/>
        <w:rPr>
          <w:rFonts w:ascii="宋体" w:hAnsi="宋体"/>
          <w:spacing w:val="6"/>
          <w:sz w:val="24"/>
          <w:szCs w:val="24"/>
        </w:rPr>
      </w:pPr>
      <w:r>
        <w:rPr>
          <w:rFonts w:hint="eastAsia" w:ascii="宋体" w:hAnsi="宋体"/>
          <w:color w:val="000000"/>
          <w:spacing w:val="6"/>
          <w:sz w:val="24"/>
        </w:rPr>
        <w:t>日期：</w:t>
      </w:r>
    </w:p>
    <w:p>
      <w:pPr>
        <w:spacing w:line="588" w:lineRule="exact"/>
        <w:ind w:firstLine="520" w:firstLineChars="200"/>
        <w:rPr>
          <w:rFonts w:ascii="宋体" w:hAnsi="宋体" w:cs="宋体"/>
          <w:spacing w:val="6"/>
          <w:sz w:val="24"/>
          <w:szCs w:val="24"/>
        </w:rPr>
        <w:sectPr>
          <w:footerReference r:id="rId19" w:type="default"/>
          <w:pgSz w:w="11906" w:h="16838"/>
          <w:pgMar w:top="1440" w:right="1803" w:bottom="1440" w:left="1803" w:header="850" w:footer="992" w:gutter="0"/>
          <w:cols w:space="0" w:num="1"/>
          <w:titlePg/>
          <w:docGrid w:type="linesAndChars" w:linePitch="395" w:charSpace="1724"/>
        </w:sectPr>
      </w:pPr>
    </w:p>
    <w:p>
      <w:pPr>
        <w:pStyle w:val="4"/>
        <w:adjustRightInd w:val="0"/>
        <w:spacing w:line="416" w:lineRule="atLeast"/>
        <w:textAlignment w:val="baseline"/>
        <w:rPr>
          <w:rFonts w:asciiTheme="minorEastAsia" w:hAnsiTheme="minorEastAsia" w:eastAsiaTheme="minorEastAsia" w:cstheme="minorEastAsia"/>
        </w:rPr>
      </w:pPr>
      <w:bookmarkStart w:id="208" w:name="_Toc25939"/>
      <w:bookmarkStart w:id="209" w:name="_Toc2579"/>
      <w:r>
        <w:rPr>
          <w:rFonts w:hint="eastAsia" w:asciiTheme="minorEastAsia" w:hAnsiTheme="minorEastAsia" w:eastAsiaTheme="minorEastAsia" w:cstheme="minorEastAsia"/>
        </w:rPr>
        <w:t>附件三、残疾人福利性单位声明</w:t>
      </w:r>
      <w:bookmarkEnd w:id="203"/>
      <w:bookmarkEnd w:id="204"/>
      <w:bookmarkEnd w:id="205"/>
      <w:bookmarkEnd w:id="206"/>
      <w:bookmarkEnd w:id="208"/>
      <w:bookmarkEnd w:id="209"/>
    </w:p>
    <w:p>
      <w:pPr>
        <w:spacing w:line="588" w:lineRule="exact"/>
        <w:ind w:firstLine="504" w:firstLineChars="200"/>
        <w:rPr>
          <w:rFonts w:asciiTheme="minorEastAsia" w:hAnsiTheme="minorEastAsia" w:eastAsiaTheme="minorEastAsia" w:cstheme="minorEastAsia"/>
        </w:rPr>
      </w:pPr>
      <w:r>
        <w:rPr>
          <w:rFonts w:hint="eastAsia" w:asciiTheme="minorEastAsia" w:hAnsiTheme="minorEastAsia" w:eastAsiaTheme="minorEastAsia" w:cstheme="minorEastAsia"/>
          <w:spacing w:val="6"/>
          <w:sz w:val="24"/>
        </w:rPr>
        <w:t>根据《关于促进残疾人就业政府采购政策的通知》财库〔2017〕141号的规定由供应商自行申明，并对声明的真实性负责，如有虚假，将依法承担相应责任。</w:t>
      </w:r>
      <w:bookmarkStart w:id="210" w:name="sendNo"/>
      <w:bookmarkEnd w:id="210"/>
    </w:p>
    <w:bookmarkEnd w:id="207"/>
    <w:p>
      <w:pPr>
        <w:spacing w:line="588" w:lineRule="exact"/>
        <w:jc w:val="center"/>
        <w:rPr>
          <w:rFonts w:ascii="宋体" w:hAnsi="宋体" w:cs="宋体"/>
          <w:b/>
          <w:color w:val="000000"/>
          <w:spacing w:val="6"/>
          <w:sz w:val="24"/>
          <w:szCs w:val="24"/>
        </w:rPr>
      </w:pPr>
      <w:bookmarkStart w:id="211" w:name="OLE_LINK14"/>
      <w:r>
        <w:rPr>
          <w:rFonts w:hint="eastAsia" w:ascii="宋体" w:hAnsi="宋体" w:cs="宋体"/>
          <w:b/>
          <w:color w:val="000000"/>
          <w:spacing w:val="6"/>
          <w:sz w:val="24"/>
          <w:szCs w:val="24"/>
        </w:rPr>
        <w:t>残疾人福利性单位声明函</w:t>
      </w:r>
      <w:bookmarkEnd w:id="211"/>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4860"/>
        </w:tabs>
        <w:spacing w:line="588" w:lineRule="exact"/>
        <w:ind w:right="1560" w:firstLine="504" w:firstLineChars="200"/>
        <w:rPr>
          <w:rFonts w:ascii="宋体" w:hAnsi="宋体" w:cs="宋体"/>
          <w:color w:val="000000"/>
          <w:spacing w:val="6"/>
          <w:sz w:val="24"/>
          <w:szCs w:val="24"/>
        </w:rPr>
      </w:pPr>
      <w:r>
        <w:rPr>
          <w:rFonts w:hint="eastAsia" w:ascii="宋体" w:hAnsi="宋体" w:cs="宋体"/>
          <w:color w:val="000000"/>
          <w:spacing w:val="6"/>
          <w:sz w:val="24"/>
          <w:szCs w:val="24"/>
        </w:rPr>
        <w:t>单位名称（盖章）：</w:t>
      </w:r>
    </w:p>
    <w:p>
      <w:pPr>
        <w:tabs>
          <w:tab w:val="left" w:pos="4860"/>
        </w:tabs>
        <w:spacing w:line="588" w:lineRule="exact"/>
        <w:ind w:right="1560" w:firstLine="504" w:firstLineChars="200"/>
        <w:jc w:val="left"/>
        <w:rPr>
          <w:rFonts w:ascii="宋体" w:hAnsi="宋体" w:cs="宋体"/>
          <w:color w:val="000000"/>
          <w:spacing w:val="6"/>
          <w:sz w:val="24"/>
          <w:szCs w:val="24"/>
        </w:rPr>
      </w:pPr>
      <w:r>
        <w:rPr>
          <w:rFonts w:hint="eastAsia" w:ascii="宋体" w:hAnsi="宋体" w:cs="宋体"/>
          <w:color w:val="000000"/>
          <w:spacing w:val="6"/>
          <w:sz w:val="24"/>
          <w:szCs w:val="24"/>
        </w:rPr>
        <w:t>日  期：</w:t>
      </w:r>
    </w:p>
    <w:p>
      <w:pPr>
        <w:pStyle w:val="4"/>
        <w:rPr>
          <w:rFonts w:ascii="宋体" w:hAnsi="宋体" w:cs="宋体"/>
          <w:color w:val="000000"/>
        </w:rPr>
      </w:pPr>
      <w:bookmarkStart w:id="212" w:name="_Toc3053"/>
      <w:bookmarkStart w:id="213" w:name="_Toc30368"/>
      <w:bookmarkStart w:id="214" w:name="_Toc5351"/>
      <w:bookmarkStart w:id="215" w:name="_Toc6048"/>
      <w:r>
        <w:rPr>
          <w:rFonts w:hint="eastAsia"/>
          <w:color w:val="000000"/>
        </w:rPr>
        <w:t>附件四、监狱企业证明文件</w:t>
      </w:r>
      <w:bookmarkEnd w:id="212"/>
      <w:bookmarkEnd w:id="213"/>
      <w:bookmarkEnd w:id="214"/>
      <w:bookmarkEnd w:id="215"/>
    </w:p>
    <w:p>
      <w:pPr>
        <w:rPr>
          <w:rFonts w:ascii="宋体" w:hAnsi="宋体" w:cs="宋体"/>
          <w:color w:val="000000"/>
        </w:rPr>
      </w:pP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说明：根据《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color w:val="000000"/>
        </w:rPr>
      </w:pPr>
      <w:bookmarkStart w:id="216" w:name="_Toc10783"/>
      <w:bookmarkStart w:id="217" w:name="_Toc21743"/>
      <w:bookmarkStart w:id="218" w:name="_Toc13122"/>
      <w:bookmarkStart w:id="219" w:name="_Toc563"/>
      <w:bookmarkStart w:id="220" w:name="_Toc2126"/>
      <w:bookmarkStart w:id="221" w:name="_Toc13303"/>
      <w:bookmarkStart w:id="222" w:name="_Toc23827"/>
      <w:bookmarkStart w:id="223" w:name="_Toc11969"/>
      <w:r>
        <w:rPr>
          <w:rFonts w:hint="eastAsia" w:ascii="宋体" w:hAnsi="宋体" w:cs="宋体"/>
          <w:color w:val="000000"/>
        </w:rPr>
        <w:t>附件五、“节能产品”，“环境标志产品”证明材料</w:t>
      </w:r>
      <w:bookmarkEnd w:id="216"/>
      <w:bookmarkEnd w:id="217"/>
      <w:bookmarkEnd w:id="218"/>
      <w:bookmarkEnd w:id="219"/>
      <w:bookmarkEnd w:id="220"/>
      <w:bookmarkEnd w:id="221"/>
      <w:bookmarkEnd w:id="222"/>
      <w:bookmarkEnd w:id="223"/>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提供的产品属于下列情形，应按照招标文件第三部分供应商须知总则第六款规定提供产品列入“节能产品品目清单”，“环境标志产品品目清单”相应产品的国家确定的认证机构出具的、处于有效期内的节能产品、环境标志产品认证证书。</w:t>
      </w:r>
    </w:p>
    <w:p>
      <w:pPr>
        <w:widowControl/>
        <w:spacing w:line="360" w:lineRule="auto"/>
        <w:ind w:left="420" w:leftChars="200"/>
        <w:rPr>
          <w:rFonts w:asciiTheme="minorEastAsia" w:hAnsiTheme="minorEastAsia" w:eastAsiaTheme="minorEastAsia" w:cstheme="minorEastAsia"/>
          <w:sz w:val="24"/>
          <w:szCs w:val="24"/>
        </w:rPr>
      </w:pPr>
      <w:r>
        <w:rPr>
          <w:rFonts w:hint="eastAsia" w:ascii="宋体" w:hAnsi="宋体" w:cs="宋体"/>
          <w:sz w:val="24"/>
          <w:szCs w:val="24"/>
        </w:rPr>
        <w:t>2、未按照上述要求提供的，评审时不予以考虑。</w:t>
      </w:r>
    </w:p>
    <w:p>
      <w:pPr>
        <w:pStyle w:val="4"/>
        <w:adjustRightInd w:val="0"/>
        <w:spacing w:line="416" w:lineRule="atLeast"/>
        <w:textAlignment w:val="baseline"/>
        <w:rPr>
          <w:rFonts w:asciiTheme="minorEastAsia" w:hAnsiTheme="minorEastAsia" w:eastAsiaTheme="minorEastAsia" w:cstheme="minorEastAsia"/>
        </w:rPr>
      </w:pPr>
      <w:bookmarkStart w:id="224" w:name="_Toc7181"/>
      <w:bookmarkStart w:id="225" w:name="_Toc654"/>
      <w:bookmarkStart w:id="226" w:name="_Toc11924"/>
      <w:bookmarkStart w:id="227" w:name="_Toc3159"/>
      <w:bookmarkStart w:id="228" w:name="_Toc4757"/>
      <w:bookmarkStart w:id="229" w:name="_Toc5338"/>
      <w:r>
        <w:rPr>
          <w:rFonts w:hint="eastAsia" w:asciiTheme="minorEastAsia" w:hAnsiTheme="minorEastAsia" w:eastAsiaTheme="minorEastAsia" w:cstheme="minorEastAsia"/>
        </w:rPr>
        <w:t>附件六、质疑函样本</w:t>
      </w:r>
      <w:bookmarkEnd w:id="224"/>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一、质疑供应商基本信息</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质疑供应商：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地址：                          邮编：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联系人：                      联系电话：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授权代表：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联系电话：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地址：                         邮编：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二、质疑项目基本情况</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质疑项目的名称：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质疑项目的编号：               ：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采购人名称：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采购文件获取日期：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三、质疑事项具体内容</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质疑事项1：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事实依据：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法律依据：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质疑事项2</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四、与质疑事项相关的质疑请求</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请求：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签字(签章)：                   公章：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日期：    </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质疑函制作说明：</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1.供应商提出质疑时，应提交质疑函和必要的证明材料。</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3.质疑供应商若对项目的某一分包进行质疑，质疑函中应列明具体分。</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4.质疑函的质疑事项应具体、明确，并有必要的事实依据和法律依据。</w:t>
      </w:r>
    </w:p>
    <w:p>
      <w:pPr>
        <w:keepNext/>
        <w:keepLines/>
        <w:adjustRightInd w:val="0"/>
        <w:spacing w:line="416" w:lineRule="atLeast"/>
        <w:textAlignment w:val="baseline"/>
        <w:rPr>
          <w:rFonts w:asciiTheme="minorEastAsia" w:hAnsiTheme="minorEastAsia" w:eastAsiaTheme="minorEastAsia" w:cstheme="minorEastAsia"/>
          <w:bCs/>
        </w:rPr>
      </w:pPr>
      <w:r>
        <w:rPr>
          <w:rFonts w:hint="eastAsia" w:asciiTheme="minorEastAsia" w:hAnsiTheme="minorEastAsia" w:eastAsiaTheme="minorEastAsia" w:cstheme="minorEastAsia"/>
          <w:bCs/>
        </w:rPr>
        <w:t>5.质疑函的质疑请求应与质疑事项相关。</w:t>
      </w:r>
    </w:p>
    <w:p>
      <w:pPr>
        <w:rPr>
          <w:rFonts w:asciiTheme="minorEastAsia" w:hAnsiTheme="minorEastAsia" w:eastAsiaTheme="minorEastAsia" w:cstheme="minorEastAsia"/>
        </w:rPr>
      </w:pPr>
      <w:r>
        <w:rPr>
          <w:rFonts w:hint="eastAsia" w:asciiTheme="minorEastAsia" w:hAnsiTheme="minorEastAsia" w:eastAsiaTheme="minorEastAsia" w:cstheme="minorEastAsia"/>
          <w:bCs/>
        </w:rPr>
        <w:t>6.质疑供应商为自然人的，质疑函应由本人签字；质疑供应商为法人或者其他组织的，质疑函应由法定代表人、主要负责人，或者其授权代表签字或者盖章，并加盖公章。</w:t>
      </w:r>
    </w:p>
    <w:p>
      <w:pPr>
        <w:rPr>
          <w:rFonts w:asciiTheme="minorEastAsia" w:hAnsiTheme="minorEastAsia" w:eastAsiaTheme="minorEastAsia" w:cstheme="minorEastAsia"/>
        </w:rPr>
      </w:pPr>
    </w:p>
    <w:p>
      <w:pPr>
        <w:pStyle w:val="4"/>
        <w:adjustRightInd w:val="0"/>
        <w:spacing w:line="416" w:lineRule="atLeast"/>
        <w:textAlignment w:val="baseline"/>
        <w:rPr>
          <w:rFonts w:asciiTheme="minorEastAsia" w:hAnsiTheme="minorEastAsia" w:eastAsiaTheme="minorEastAsia" w:cstheme="minorEastAsia"/>
        </w:rPr>
      </w:pPr>
      <w:bookmarkStart w:id="230" w:name="_Toc30404"/>
      <w:r>
        <w:rPr>
          <w:rFonts w:hint="eastAsia" w:asciiTheme="minorEastAsia" w:hAnsiTheme="minorEastAsia" w:eastAsiaTheme="minorEastAsia" w:cstheme="minorEastAsia"/>
        </w:rPr>
        <w:t>附件七、保证金退还账户信息确认表</w:t>
      </w:r>
      <w:bookmarkEnd w:id="225"/>
      <w:bookmarkEnd w:id="226"/>
      <w:bookmarkEnd w:id="227"/>
      <w:bookmarkEnd w:id="228"/>
      <w:bookmarkEnd w:id="229"/>
      <w:bookmarkEnd w:id="230"/>
      <w:bookmarkStart w:id="231" w:name="_Toc378248335"/>
    </w:p>
    <w:p>
      <w:pPr>
        <w:rPr>
          <w:rFonts w:asciiTheme="minorEastAsia" w:hAnsiTheme="minorEastAsia" w:eastAsiaTheme="minorEastAsia" w:cstheme="minorEastAsia"/>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kern w:val="0"/>
          <w:sz w:val="24"/>
          <w:szCs w:val="24"/>
        </w:rPr>
        <w:t>_____________________________</w:t>
      </w:r>
    </w:p>
    <w:p>
      <w:pPr>
        <w:tabs>
          <w:tab w:val="center" w:pos="4150"/>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项目编号：</w:t>
      </w:r>
      <w:bookmarkEnd w:id="231"/>
      <w:r>
        <w:rPr>
          <w:rFonts w:hint="eastAsia" w:asciiTheme="minorEastAsia" w:hAnsiTheme="minorEastAsia" w:eastAsiaTheme="minorEastAsia" w:cstheme="minorEastAsia"/>
          <w:kern w:val="0"/>
          <w:sz w:val="24"/>
          <w:szCs w:val="24"/>
        </w:rPr>
        <w:t>_____________________________</w:t>
      </w:r>
      <w:r>
        <w:rPr>
          <w:rFonts w:hint="eastAsia" w:asciiTheme="minorEastAsia" w:hAnsiTheme="minorEastAsia" w:eastAsiaTheme="minorEastAsia" w:cstheme="minorEastAsia"/>
          <w:sz w:val="28"/>
          <w:szCs w:val="28"/>
        </w:rPr>
        <w:tab/>
      </w:r>
    </w:p>
    <w:p>
      <w:pPr>
        <w:rPr>
          <w:rFonts w:asciiTheme="minorEastAsia" w:hAnsiTheme="minorEastAsia" w:eastAsiaTheme="minorEastAsia" w:cstheme="minorEastAsia"/>
        </w:rPr>
      </w:pPr>
    </w:p>
    <w:tbl>
      <w:tblPr>
        <w:tblStyle w:val="24"/>
        <w:tblW w:w="8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应退投标保证金</w:t>
            </w:r>
          </w:p>
        </w:tc>
        <w:tc>
          <w:tcPr>
            <w:tcW w:w="6372" w:type="dxa"/>
            <w:gridSpan w:val="2"/>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rPr>
                <w:rFonts w:asciiTheme="minorEastAsia" w:hAnsiTheme="minorEastAsia" w:eastAsiaTheme="minorEastAsia" w:cstheme="minorEastAsia"/>
                <w:sz w:val="24"/>
                <w:szCs w:val="24"/>
              </w:rPr>
            </w:pPr>
          </w:p>
        </w:tc>
        <w:tc>
          <w:tcPr>
            <w:tcW w:w="6372" w:type="dxa"/>
            <w:gridSpan w:val="2"/>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收款单位（盖章）</w:t>
            </w:r>
          </w:p>
        </w:tc>
        <w:tc>
          <w:tcPr>
            <w:tcW w:w="237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  位 名 称</w:t>
            </w:r>
          </w:p>
        </w:tc>
        <w:tc>
          <w:tcPr>
            <w:tcW w:w="4002" w:type="dxa"/>
          </w:tcPr>
          <w:p>
            <w:pPr>
              <w:rPr>
                <w:rFonts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Theme="minorEastAsia" w:hAnsiTheme="minorEastAsia" w:eastAsiaTheme="minorEastAsia" w:cstheme="minorEastAsia"/>
                <w:sz w:val="24"/>
                <w:szCs w:val="24"/>
              </w:rPr>
            </w:pPr>
          </w:p>
        </w:tc>
        <w:tc>
          <w:tcPr>
            <w:tcW w:w="237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   户   行</w:t>
            </w:r>
          </w:p>
        </w:tc>
        <w:tc>
          <w:tcPr>
            <w:tcW w:w="4002" w:type="dxa"/>
          </w:tcPr>
          <w:p>
            <w:pPr>
              <w:rPr>
                <w:rFonts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Theme="minorEastAsia" w:hAnsiTheme="minorEastAsia" w:eastAsiaTheme="minorEastAsia" w:cstheme="minorEastAsia"/>
                <w:sz w:val="24"/>
                <w:szCs w:val="24"/>
              </w:rPr>
            </w:pPr>
          </w:p>
        </w:tc>
        <w:tc>
          <w:tcPr>
            <w:tcW w:w="237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        号</w:t>
            </w:r>
          </w:p>
        </w:tc>
        <w:tc>
          <w:tcPr>
            <w:tcW w:w="4002" w:type="dxa"/>
          </w:tcPr>
          <w:p>
            <w:pPr>
              <w:rPr>
                <w:rFonts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Theme="minorEastAsia" w:hAnsiTheme="minorEastAsia" w:eastAsiaTheme="minorEastAsia" w:cstheme="minorEastAsia"/>
                <w:sz w:val="24"/>
                <w:szCs w:val="24"/>
              </w:rPr>
            </w:pPr>
          </w:p>
        </w:tc>
        <w:tc>
          <w:tcPr>
            <w:tcW w:w="237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联系人及电话</w:t>
            </w:r>
          </w:p>
        </w:tc>
        <w:tc>
          <w:tcPr>
            <w:tcW w:w="4002" w:type="dxa"/>
          </w:tcPr>
          <w:p>
            <w:pPr>
              <w:rPr>
                <w:rFonts w:asciiTheme="minorEastAsia" w:hAnsiTheme="minorEastAsia" w:eastAsiaTheme="minorEastAsia" w:cstheme="minorEastAsia"/>
                <w:sz w:val="24"/>
                <w:szCs w:val="24"/>
              </w:rPr>
            </w:pPr>
          </w:p>
        </w:tc>
      </w:tr>
    </w:tbl>
    <w:p>
      <w:pPr>
        <w:keepNext/>
        <w:keepLines/>
        <w:adjustRightInd w:val="0"/>
        <w:spacing w:line="416" w:lineRule="atLeast"/>
        <w:textAlignment w:val="baseline"/>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注：单位公章需清晰完整。（仅作为退还保证金时使用，需单独提供）</w:t>
      </w:r>
    </w:p>
    <w:p>
      <w:pPr>
        <w:jc w:val="center"/>
        <w:rPr>
          <w:rFonts w:asciiTheme="minorEastAsia" w:hAnsiTheme="minorEastAsia" w:eastAsiaTheme="minorEastAsia" w:cstheme="minorEastAsia"/>
          <w:sz w:val="24"/>
          <w:szCs w:val="24"/>
        </w:rPr>
      </w:pPr>
    </w:p>
    <w:p>
      <w:pPr>
        <w:adjustRightInd w:val="0"/>
        <w:snapToGrid w:val="0"/>
        <w:jc w:val="left"/>
        <w:rPr>
          <w:rFonts w:asciiTheme="minorEastAsia" w:hAnsiTheme="minorEastAsia" w:eastAsiaTheme="minorEastAsia" w:cstheme="minorEastAsia"/>
          <w:b/>
          <w:bCs/>
          <w:sz w:val="24"/>
          <w:szCs w:val="24"/>
        </w:rPr>
      </w:pPr>
    </w:p>
    <w:p>
      <w:pPr>
        <w:adjustRightInd w:val="0"/>
        <w:snapToGrid w:val="0"/>
        <w:jc w:val="left"/>
        <w:rPr>
          <w:rFonts w:asciiTheme="minorEastAsia" w:hAnsiTheme="minorEastAsia" w:eastAsiaTheme="minorEastAsia" w:cstheme="minorEastAsia"/>
          <w:b/>
          <w:bCs/>
          <w:sz w:val="24"/>
          <w:szCs w:val="24"/>
        </w:rPr>
      </w:pPr>
    </w:p>
    <w:p>
      <w:pPr>
        <w:adjustRightInd w:val="0"/>
        <w:snapToGrid w:val="0"/>
        <w:jc w:val="left"/>
        <w:rPr>
          <w:rFonts w:asciiTheme="minorEastAsia" w:hAnsiTheme="minorEastAsia" w:eastAsiaTheme="minorEastAsia" w:cstheme="minorEastAsia"/>
          <w:b/>
          <w:bCs/>
          <w:sz w:val="24"/>
          <w:szCs w:val="24"/>
        </w:rPr>
      </w:pPr>
    </w:p>
    <w:p>
      <w:pPr>
        <w:adjustRightInd w:val="0"/>
        <w:snapToGrid w:val="0"/>
        <w:jc w:val="left"/>
        <w:rPr>
          <w:rFonts w:asciiTheme="minorEastAsia" w:hAnsiTheme="minorEastAsia" w:eastAsiaTheme="minorEastAsia" w:cstheme="minorEastAsia"/>
          <w:b/>
          <w:bCs/>
          <w:sz w:val="24"/>
          <w:szCs w:val="24"/>
        </w:rPr>
      </w:pPr>
    </w:p>
    <w:p>
      <w:pPr>
        <w:adjustRightInd w:val="0"/>
        <w:snapToGrid w:val="0"/>
        <w:jc w:val="left"/>
        <w:rPr>
          <w:rFonts w:asciiTheme="minorEastAsia" w:hAnsiTheme="minorEastAsia" w:eastAsiaTheme="minorEastAsia" w:cstheme="minorEastAsia"/>
          <w:b/>
          <w:bCs/>
          <w:sz w:val="24"/>
          <w:szCs w:val="24"/>
        </w:rPr>
      </w:pPr>
    </w:p>
    <w:p>
      <w:pPr>
        <w:adjustRightInd w:val="0"/>
        <w:snapToGrid w:val="0"/>
        <w:jc w:val="left"/>
        <w:rPr>
          <w:rFonts w:asciiTheme="minorEastAsia" w:hAnsiTheme="minorEastAsia" w:eastAsiaTheme="minorEastAsia" w:cstheme="minorEastAsia"/>
          <w:b/>
          <w:bCs/>
          <w:spacing w:val="48"/>
          <w:sz w:val="72"/>
          <w:szCs w:val="72"/>
        </w:rPr>
        <w:sectPr>
          <w:pgSz w:w="11906" w:h="16838"/>
          <w:pgMar w:top="1440" w:right="1803" w:bottom="1440" w:left="1803" w:header="851" w:footer="992" w:gutter="0"/>
          <w:cols w:space="0" w:num="1"/>
          <w:rtlGutter w:val="1"/>
          <w:docGrid w:type="lines" w:linePitch="319" w:charSpace="0"/>
        </w:sectPr>
      </w:pPr>
      <w:r>
        <w:rPr>
          <w:rFonts w:hint="eastAsia" w:asciiTheme="minorEastAsia" w:hAnsiTheme="minorEastAsia" w:eastAsiaTheme="minorEastAsia" w:cstheme="minorEastAsia"/>
          <w:b/>
          <w:bCs/>
          <w:sz w:val="24"/>
          <w:szCs w:val="24"/>
        </w:rPr>
        <w:t>附：投标保证金汇款凭证</w:t>
      </w:r>
    </w:p>
    <w:p>
      <w:pPr>
        <w:jc w:val="left"/>
        <w:rPr>
          <w:rFonts w:asciiTheme="minorEastAsia" w:hAnsiTheme="minorEastAsia" w:eastAsiaTheme="minorEastAsia" w:cstheme="minorEastAsia"/>
          <w:sz w:val="72"/>
          <w:szCs w:val="72"/>
        </w:rPr>
      </w:pPr>
      <w:r>
        <w:rPr>
          <w:rFonts w:hint="eastAsia" w:asciiTheme="minorEastAsia" w:hAnsiTheme="minorEastAsia" w:eastAsiaTheme="minorEastAsia" w:cstheme="minorEastAsia"/>
          <w:b/>
          <w:bCs/>
          <w:spacing w:val="48"/>
          <w:sz w:val="72"/>
          <w:szCs w:val="72"/>
        </w:rPr>
        <w:t>公平</w:t>
      </w:r>
    </w:p>
    <w:p>
      <w:pPr>
        <w:jc w:val="left"/>
        <w:rPr>
          <w:rFonts w:asciiTheme="minorEastAsia" w:hAnsiTheme="minorEastAsia" w:eastAsiaTheme="minorEastAsia" w:cstheme="minorEastAsia"/>
          <w:sz w:val="72"/>
          <w:szCs w:val="72"/>
        </w:rPr>
      </w:pPr>
    </w:p>
    <w:p>
      <w:pPr>
        <w:jc w:val="left"/>
        <w:rPr>
          <w:rFonts w:asciiTheme="minorEastAsia" w:hAnsiTheme="minorEastAsia" w:eastAsiaTheme="minorEastAsia" w:cstheme="minorEastAsia"/>
          <w:sz w:val="72"/>
          <w:szCs w:val="72"/>
        </w:rPr>
      </w:pPr>
    </w:p>
    <w:p>
      <w:pPr>
        <w:jc w:val="center"/>
        <w:rPr>
          <w:rFonts w:asciiTheme="minorEastAsia" w:hAnsiTheme="minorEastAsia" w:eastAsiaTheme="minorEastAsia" w:cstheme="minorEastAsia"/>
          <w:b/>
          <w:bCs/>
          <w:spacing w:val="48"/>
          <w:sz w:val="72"/>
          <w:szCs w:val="72"/>
        </w:rPr>
      </w:pPr>
    </w:p>
    <w:p>
      <w:pPr>
        <w:jc w:val="center"/>
        <w:rPr>
          <w:rFonts w:asciiTheme="minorEastAsia" w:hAnsiTheme="minorEastAsia" w:eastAsiaTheme="minorEastAsia" w:cstheme="minorEastAsia"/>
          <w:b/>
          <w:bCs/>
          <w:spacing w:val="48"/>
          <w:sz w:val="72"/>
          <w:szCs w:val="72"/>
        </w:rPr>
      </w:pPr>
      <w:r>
        <w:rPr>
          <w:rFonts w:hint="eastAsia" w:asciiTheme="minorEastAsia" w:hAnsiTheme="minorEastAsia" w:eastAsiaTheme="minorEastAsia" w:cstheme="minorEastAsia"/>
          <w:b/>
          <w:bCs/>
          <w:spacing w:val="48"/>
          <w:sz w:val="72"/>
          <w:szCs w:val="72"/>
        </w:rPr>
        <w:t>公正</w:t>
      </w:r>
    </w:p>
    <w:p>
      <w:pPr>
        <w:jc w:val="left"/>
        <w:rPr>
          <w:rFonts w:asciiTheme="minorEastAsia" w:hAnsiTheme="minorEastAsia" w:eastAsiaTheme="minorEastAsia" w:cstheme="minorEastAsia"/>
          <w:b/>
          <w:bCs/>
          <w:spacing w:val="48"/>
          <w:sz w:val="72"/>
          <w:szCs w:val="72"/>
        </w:rPr>
      </w:pPr>
    </w:p>
    <w:p>
      <w:pPr>
        <w:jc w:val="left"/>
        <w:rPr>
          <w:rFonts w:asciiTheme="minorEastAsia" w:hAnsiTheme="minorEastAsia" w:eastAsiaTheme="minorEastAsia" w:cstheme="minorEastAsia"/>
          <w:b/>
          <w:bCs/>
          <w:spacing w:val="48"/>
          <w:sz w:val="72"/>
          <w:szCs w:val="72"/>
        </w:rPr>
      </w:pPr>
    </w:p>
    <w:p>
      <w:pPr>
        <w:jc w:val="left"/>
        <w:rPr>
          <w:rFonts w:asciiTheme="minorEastAsia" w:hAnsiTheme="minorEastAsia" w:eastAsiaTheme="minorEastAsia" w:cstheme="minorEastAsia"/>
          <w:b/>
          <w:bCs/>
          <w:spacing w:val="48"/>
          <w:sz w:val="72"/>
          <w:szCs w:val="72"/>
        </w:rPr>
      </w:pPr>
    </w:p>
    <w:p>
      <w:pPr>
        <w:jc w:val="right"/>
        <w:rPr>
          <w:rFonts w:asciiTheme="minorEastAsia" w:hAnsiTheme="minorEastAsia" w:eastAsiaTheme="minorEastAsia" w:cstheme="minorEastAsia"/>
          <w:b/>
          <w:bCs/>
          <w:spacing w:val="48"/>
          <w:sz w:val="72"/>
          <w:szCs w:val="72"/>
        </w:rPr>
      </w:pPr>
      <w:r>
        <w:rPr>
          <w:rFonts w:hint="eastAsia" w:asciiTheme="minorEastAsia" w:hAnsiTheme="minorEastAsia" w:eastAsiaTheme="minorEastAsia" w:cstheme="minorEastAsia"/>
          <w:b/>
          <w:bCs/>
          <w:spacing w:val="48"/>
          <w:sz w:val="72"/>
          <w:szCs w:val="72"/>
        </w:rPr>
        <w:t>公开</w:t>
      </w:r>
    </w:p>
    <w:p>
      <w:pPr>
        <w:jc w:val="right"/>
        <w:rPr>
          <w:rFonts w:asciiTheme="minorEastAsia" w:hAnsiTheme="minorEastAsia" w:eastAsiaTheme="minorEastAsia" w:cstheme="minorEastAsia"/>
          <w:b/>
          <w:bCs/>
          <w:spacing w:val="48"/>
          <w:sz w:val="32"/>
          <w:szCs w:val="32"/>
        </w:rPr>
      </w:pPr>
    </w:p>
    <w:bookmarkEnd w:id="0"/>
    <w:p>
      <w:pPr>
        <w:ind w:firstLine="1063" w:firstLineChars="353"/>
        <w:jc w:val="left"/>
        <w:rPr>
          <w:rFonts w:asciiTheme="minorEastAsia" w:hAnsiTheme="minorEastAsia" w:eastAsiaTheme="minorEastAsia" w:cstheme="minorEastAsia"/>
          <w:b/>
          <w:bCs/>
          <w:sz w:val="30"/>
          <w:szCs w:val="30"/>
        </w:rPr>
      </w:pPr>
    </w:p>
    <w:p>
      <w:pPr>
        <w:ind w:firstLine="1063" w:firstLineChars="353"/>
        <w:jc w:val="left"/>
        <w:rPr>
          <w:rFonts w:asciiTheme="minorEastAsia" w:hAnsiTheme="minorEastAsia" w:eastAsiaTheme="minorEastAsia" w:cstheme="minorEastAsia"/>
          <w:b/>
          <w:bCs/>
          <w:sz w:val="30"/>
          <w:szCs w:val="30"/>
        </w:rPr>
      </w:pPr>
    </w:p>
    <w:p>
      <w:pPr>
        <w:jc w:val="left"/>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企业名称：陕西万泽招标有限公司</w:t>
      </w:r>
    </w:p>
    <w:p>
      <w:pPr>
        <w:jc w:val="left"/>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地    址：西安市西关正街英达大厦1507室</w:t>
      </w:r>
    </w:p>
    <w:p>
      <w:pPr>
        <w:jc w:val="left"/>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邮政编码：710082</w:t>
      </w:r>
    </w:p>
    <w:p>
      <w:pPr>
        <w:jc w:val="left"/>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电    话：029-88319689</w:t>
      </w:r>
    </w:p>
    <w:p>
      <w:pPr>
        <w:rPr>
          <w:rFonts w:asciiTheme="minorEastAsia" w:hAnsiTheme="minorEastAsia" w:eastAsiaTheme="minorEastAsia" w:cstheme="minorEastAsia"/>
        </w:rPr>
      </w:pPr>
      <w:r>
        <w:rPr>
          <w:rFonts w:hint="eastAsia" w:asciiTheme="minorEastAsia" w:hAnsiTheme="minorEastAsia" w:eastAsiaTheme="minorEastAsia" w:cstheme="minorEastAsia"/>
          <w:b/>
          <w:bCs/>
          <w:sz w:val="30"/>
          <w:szCs w:val="30"/>
        </w:rPr>
        <w:t>传    真：029-88319689</w:t>
      </w:r>
    </w:p>
    <w:sectPr>
      <w:pgSz w:w="11906" w:h="16838"/>
      <w:pgMar w:top="1440" w:right="1803" w:bottom="1440" w:left="1803" w:header="851" w:footer="992" w:gutter="0"/>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BatangChe">
    <w:panose1 w:val="02030609000101010101"/>
    <w:charset w:val="81"/>
    <w:family w:val="modern"/>
    <w:pitch w:val="default"/>
    <w:sig w:usb0="B00002AF" w:usb1="69D77CFB" w:usb2="00000030" w:usb3="00000000" w:csb0="4008009F" w:csb1="DFD7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0" b="0"/>
              <wp:wrapNone/>
              <wp:docPr id="11" name="文本框 8"/>
              <wp:cNvGraphicFramePr/>
              <a:graphic xmlns:a="http://schemas.openxmlformats.org/drawingml/2006/main">
                <a:graphicData uri="http://schemas.microsoft.com/office/word/2010/wordprocessingShape">
                  <wps:wsp>
                    <wps:cNvSpPr txBox="1"/>
                    <wps:spPr>
                      <a:xfrm>
                        <a:off x="0" y="0"/>
                        <a:ext cx="859155" cy="147955"/>
                      </a:xfrm>
                      <a:prstGeom prst="rect">
                        <a:avLst/>
                      </a:prstGeom>
                      <a:noFill/>
                      <a:ln w="9525">
                        <a:noFill/>
                      </a:ln>
                      <a:effectLst/>
                    </wps:spPr>
                    <wps:txbx>
                      <w:txbxContent>
                        <w:p>
                          <w:pPr>
                            <w:pStyle w:val="16"/>
                          </w:pPr>
                          <w:r>
                            <w:rPr>
                              <w:rFonts w:hint="eastAsia"/>
                            </w:rPr>
                            <w:t>第</w:t>
                          </w:r>
                          <w:r>
                            <w:fldChar w:fldCharType="begin"/>
                          </w:r>
                          <w:r>
                            <w:instrText xml:space="preserve"> PAGE  \* MERGEFORMAT </w:instrText>
                          </w:r>
                          <w:r>
                            <w:fldChar w:fldCharType="separate"/>
                          </w:r>
                          <w:r>
                            <w:t>1</w:t>
                          </w:r>
                          <w:r>
                            <w:fldChar w:fldCharType="end"/>
                          </w:r>
                          <w:r>
                            <w:rPr>
                              <w:rFonts w:hint="eastAsia"/>
                            </w:rPr>
                            <w:t>页共</w:t>
                          </w:r>
                          <w:r>
                            <w:fldChar w:fldCharType="begin"/>
                          </w:r>
                          <w:r>
                            <w:instrText xml:space="preserve"> NUMPAGES  \* MERGEFORMAT </w:instrText>
                          </w:r>
                          <w:r>
                            <w:fldChar w:fldCharType="separate"/>
                          </w:r>
                          <w:r>
                            <w:t>79</w:t>
                          </w:r>
                          <w:r>
                            <w:fldChar w:fldCharType="end"/>
                          </w:r>
                          <w:r>
                            <w:rPr>
                              <w:rFonts w:hint="eastAsia"/>
                            </w:rPr>
                            <w:t>页</w:t>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dWGZ0gAAAAQBAAAPAAAAAAAAAAEA&#10;IAAAACIAAABkcnMvZG93bnJldi54bWxQSwECFAAUAAAACACHTuJAB+g+OdwBAACvAwAADgAAAAAA&#10;AAABACAAAAAhAQAAZHJzL2Uyb0RvYy54bWxQSwUGAAAAAAYABgBZAQAAbwUAAAAA&#10;">
              <v:fill on="f" focussize="0,0"/>
              <v:stroke on="f"/>
              <v:imagedata o:title=""/>
              <o:lock v:ext="edit" aspectratio="f"/>
              <v:textbox inset="0mm,0mm,0mm,0mm" style="mso-fit-shape-to-text:t;">
                <w:txbxContent>
                  <w:p>
                    <w:pPr>
                      <w:pStyle w:val="16"/>
                    </w:pPr>
                    <w:r>
                      <w:rPr>
                        <w:rFonts w:hint="eastAsia"/>
                      </w:rPr>
                      <w:t>第</w:t>
                    </w:r>
                    <w:r>
                      <w:fldChar w:fldCharType="begin"/>
                    </w:r>
                    <w:r>
                      <w:instrText xml:space="preserve"> PAGE  \* MERGEFORMAT </w:instrText>
                    </w:r>
                    <w:r>
                      <w:fldChar w:fldCharType="separate"/>
                    </w:r>
                    <w:r>
                      <w:t>1</w:t>
                    </w:r>
                    <w:r>
                      <w:fldChar w:fldCharType="end"/>
                    </w:r>
                    <w:r>
                      <w:rPr>
                        <w:rFonts w:hint="eastAsia"/>
                      </w:rPr>
                      <w:t>页共</w:t>
                    </w:r>
                    <w:r>
                      <w:fldChar w:fldCharType="begin"/>
                    </w:r>
                    <w:r>
                      <w:instrText xml:space="preserve"> NUMPAGES  \* MERGEFORMAT </w:instrText>
                    </w:r>
                    <w:r>
                      <w:fldChar w:fldCharType="separate"/>
                    </w:r>
                    <w:r>
                      <w:t>79</w:t>
                    </w:r>
                    <w:r>
                      <w:fldChar w:fldCharType="end"/>
                    </w:r>
                    <w:r>
                      <w:rPr>
                        <w:rFonts w:hint="eastAsia"/>
                      </w:rPr>
                      <w:t>页</w:t>
                    </w:r>
                  </w:p>
                </w:txbxContent>
              </v:textbox>
            </v:shape>
          </w:pict>
        </mc:Fallback>
      </mc:AlternateContent>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8426"/>
      </w:tabs>
      <w:rPr>
        <w:rFonts w:asci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59155" cy="147955"/>
              <wp:effectExtent l="0" t="0" r="0" b="0"/>
              <wp:wrapNone/>
              <wp:docPr id="8" name="文本框 9"/>
              <wp:cNvGraphicFramePr/>
              <a:graphic xmlns:a="http://schemas.openxmlformats.org/drawingml/2006/main">
                <a:graphicData uri="http://schemas.microsoft.com/office/word/2010/wordprocessingShape">
                  <wps:wsp>
                    <wps:cNvSpPr txBox="1"/>
                    <wps:spPr>
                      <a:xfrm>
                        <a:off x="0" y="0"/>
                        <a:ext cx="859155" cy="147955"/>
                      </a:xfrm>
                      <a:prstGeom prst="rect">
                        <a:avLst/>
                      </a:prstGeom>
                      <a:noFill/>
                      <a:ln w="9525">
                        <a:noFill/>
                      </a:ln>
                      <a:effectLst/>
                    </wps:spPr>
                    <wps:txbx>
                      <w:txbxContent>
                        <w:p>
                          <w:pPr>
                            <w:pStyle w:val="16"/>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79</w:t>
                          </w:r>
                          <w:r>
                            <w:fldChar w:fldCharType="end"/>
                          </w:r>
                          <w:r>
                            <w:rPr>
                              <w:rFonts w:hint="eastAsia"/>
                            </w:rPr>
                            <w:t>页</w:t>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1.65pt;width:67.65pt;mso-position-horizontal:center;mso-position-horizontal-relative:margin;mso-wrap-style:none;z-index:251660288;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F1YZnSAAAABAEAAA8AAAAAAAAAAQAg&#10;AAAAIgAAAGRycy9kb3ducmV2LnhtbFBLAQIUABQAAAAIAIdO4kD+qGct2wEAAK4DAAAOAAAAAAAA&#10;AAEAIAAAACEBAABkcnMvZTJvRG9jLnhtbFBLBQYAAAAABgAGAFkBAABuBQAAAAA=&#10;">
              <v:fill on="f" focussize="0,0"/>
              <v:stroke on="f"/>
              <v:imagedata o:title=""/>
              <o:lock v:ext="edit" aspectratio="f"/>
              <v:textbox inset="0mm,0mm,0mm,0mm" style="mso-fit-shape-to-text:t;">
                <w:txbxContent>
                  <w:p>
                    <w:pPr>
                      <w:pStyle w:val="16"/>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79</w:t>
                    </w:r>
                    <w:r>
                      <w:fldChar w:fldCharType="end"/>
                    </w:r>
                    <w:r>
                      <w:rPr>
                        <w:rFonts w:hint="eastAsia"/>
                      </w:rPr>
                      <w:t>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74725" cy="147955"/>
              <wp:effectExtent l="0" t="0" r="0" b="0"/>
              <wp:wrapNone/>
              <wp:docPr id="16" name="文本框 10"/>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9525">
                        <a:noFill/>
                      </a:ln>
                      <a:effectLst/>
                    </wps:spPr>
                    <wps:txbx>
                      <w:txbxContent>
                        <w:p>
                          <w:pPr>
                            <w:pStyle w:val="16"/>
                          </w:pPr>
                          <w:r>
                            <w:rPr>
                              <w:rFonts w:hint="eastAsia"/>
                            </w:rPr>
                            <w:t>第</w:t>
                          </w:r>
                          <w:r>
                            <w:fldChar w:fldCharType="begin"/>
                          </w:r>
                          <w:r>
                            <w:instrText xml:space="preserve"> PAGE  \* MERGEFORMAT </w:instrText>
                          </w:r>
                          <w:r>
                            <w:fldChar w:fldCharType="separate"/>
                          </w:r>
                          <w:r>
                            <w:t>16</w:t>
                          </w:r>
                          <w:r>
                            <w:fldChar w:fldCharType="end"/>
                          </w:r>
                          <w:r>
                            <w:rPr>
                              <w:rFonts w:hint="eastAsia"/>
                            </w:rPr>
                            <w:t>页共</w:t>
                          </w:r>
                          <w:r>
                            <w:fldChar w:fldCharType="begin"/>
                          </w:r>
                          <w:r>
                            <w:instrText xml:space="preserve"> NUMPAGES  \* MERGEFORMAT </w:instrText>
                          </w:r>
                          <w:r>
                            <w:fldChar w:fldCharType="separate"/>
                          </w:r>
                          <w:r>
                            <w:t>79</w:t>
                          </w:r>
                          <w:r>
                            <w:fldChar w:fldCharType="end"/>
                          </w:r>
                          <w:r>
                            <w:rPr>
                              <w:rFonts w:hint="eastAsia"/>
                            </w:rPr>
                            <w:t>页</w:t>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1.65pt;width:76.75pt;mso-position-horizontal:center;mso-position-horizontal-relative:margin;mso-wrap-style:none;z-index:251661312;mso-width-relative:page;mso-height-relative:page;" filled="f" stroked="f" coordsize="21600,21600" o:gfxdata="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H25bHSAAAABAEAAA8AAAAAAAAAAQAg&#10;AAAAIgAAAGRycy9kb3ducmV2LnhtbFBLAQIUABQAAAAIAIdO4kDnMKZO2wEAALADAAAOAAAAAAAA&#10;AAEAIAAAACEBAABkcnMvZTJvRG9jLnhtbFBLBQYAAAAABgAGAFkBAABuBQAAAAA=&#10;">
              <v:fill on="f" focussize="0,0"/>
              <v:stroke on="f"/>
              <v:imagedata o:title=""/>
              <o:lock v:ext="edit" aspectratio="f"/>
              <v:textbox inset="0mm,0mm,0mm,0mm" style="mso-fit-shape-to-text:t;">
                <w:txbxContent>
                  <w:p>
                    <w:pPr>
                      <w:pStyle w:val="16"/>
                    </w:pPr>
                    <w:r>
                      <w:rPr>
                        <w:rFonts w:hint="eastAsia"/>
                      </w:rPr>
                      <w:t>第</w:t>
                    </w:r>
                    <w:r>
                      <w:fldChar w:fldCharType="begin"/>
                    </w:r>
                    <w:r>
                      <w:instrText xml:space="preserve"> PAGE  \* MERGEFORMAT </w:instrText>
                    </w:r>
                    <w:r>
                      <w:fldChar w:fldCharType="separate"/>
                    </w:r>
                    <w:r>
                      <w:t>16</w:t>
                    </w:r>
                    <w:r>
                      <w:fldChar w:fldCharType="end"/>
                    </w:r>
                    <w:r>
                      <w:rPr>
                        <w:rFonts w:hint="eastAsia"/>
                      </w:rPr>
                      <w:t>页共</w:t>
                    </w:r>
                    <w:r>
                      <w:fldChar w:fldCharType="begin"/>
                    </w:r>
                    <w:r>
                      <w:instrText xml:space="preserve"> NUMPAGES  \* MERGEFORMAT </w:instrText>
                    </w:r>
                    <w:r>
                      <w:fldChar w:fldCharType="separate"/>
                    </w:r>
                    <w:r>
                      <w:t>79</w:t>
                    </w:r>
                    <w:r>
                      <w:fldChar w:fldCharType="end"/>
                    </w:r>
                    <w:r>
                      <w:rPr>
                        <w:rFonts w:hint="eastAsia"/>
                      </w:rPr>
                      <w:t>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974725" cy="147955"/>
              <wp:effectExtent l="0" t="0" r="0" b="0"/>
              <wp:wrapNone/>
              <wp:docPr id="17" name="文本框 11"/>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9525">
                        <a:noFill/>
                      </a:ln>
                      <a:effectLst/>
                    </wps:spPr>
                    <wps:txbx>
                      <w:txbxContent>
                        <w:p>
                          <w:pPr>
                            <w:pStyle w:val="16"/>
                          </w:pPr>
                          <w:r>
                            <w:rPr>
                              <w:rFonts w:hint="eastAsia"/>
                            </w:rPr>
                            <w:t>第</w:t>
                          </w:r>
                          <w:r>
                            <w:fldChar w:fldCharType="begin"/>
                          </w:r>
                          <w:r>
                            <w:instrText xml:space="preserve"> PAGE  \* MERGEFORMAT </w:instrText>
                          </w:r>
                          <w:r>
                            <w:fldChar w:fldCharType="separate"/>
                          </w:r>
                          <w:r>
                            <w:t>24</w:t>
                          </w:r>
                          <w:r>
                            <w:fldChar w:fldCharType="end"/>
                          </w:r>
                          <w:r>
                            <w:rPr>
                              <w:rFonts w:hint="eastAsia"/>
                            </w:rPr>
                            <w:t>页共</w:t>
                          </w:r>
                          <w:r>
                            <w:fldChar w:fldCharType="begin"/>
                          </w:r>
                          <w:r>
                            <w:instrText xml:space="preserve"> NUMPAGES  \* MERGEFORMAT </w:instrText>
                          </w:r>
                          <w:r>
                            <w:fldChar w:fldCharType="separate"/>
                          </w:r>
                          <w:r>
                            <w:t>78</w:t>
                          </w:r>
                          <w:r>
                            <w:fldChar w:fldCharType="end"/>
                          </w:r>
                          <w:r>
                            <w:rPr>
                              <w:rFonts w:hint="eastAsia"/>
                            </w:rPr>
                            <w:t>页</w:t>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1.65pt;width:76.75pt;mso-position-horizontal:center;mso-position-horizontal-relative:margin;mso-wrap-style:none;z-index:251662336;mso-width-relative:page;mso-height-relative:page;" filled="f" stroked="f" coordsize="21600,21600" o:gfxdata="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H25bHSAAAABAEAAA8AAAAAAAAAAQAg&#10;AAAAIgAAAGRycy9kb3ducmV2LnhtbFBLAQIUABQAAAAIAIdO4kDn+QZy2wEAALADAAAOAAAAAAAA&#10;AAEAIAAAACEBAABkcnMvZTJvRG9jLnhtbFBLBQYAAAAABgAGAFkBAABuBQAAAAA=&#10;">
              <v:fill on="f" focussize="0,0"/>
              <v:stroke on="f"/>
              <v:imagedata o:title=""/>
              <o:lock v:ext="edit" aspectratio="f"/>
              <v:textbox inset="0mm,0mm,0mm,0mm" style="mso-fit-shape-to-text:t;">
                <w:txbxContent>
                  <w:p>
                    <w:pPr>
                      <w:pStyle w:val="16"/>
                    </w:pPr>
                    <w:r>
                      <w:rPr>
                        <w:rFonts w:hint="eastAsia"/>
                      </w:rPr>
                      <w:t>第</w:t>
                    </w:r>
                    <w:r>
                      <w:fldChar w:fldCharType="begin"/>
                    </w:r>
                    <w:r>
                      <w:instrText xml:space="preserve"> PAGE  \* MERGEFORMAT </w:instrText>
                    </w:r>
                    <w:r>
                      <w:fldChar w:fldCharType="separate"/>
                    </w:r>
                    <w:r>
                      <w:t>24</w:t>
                    </w:r>
                    <w:r>
                      <w:fldChar w:fldCharType="end"/>
                    </w:r>
                    <w:r>
                      <w:rPr>
                        <w:rFonts w:hint="eastAsia"/>
                      </w:rPr>
                      <w:t>页共</w:t>
                    </w:r>
                    <w:r>
                      <w:fldChar w:fldCharType="begin"/>
                    </w:r>
                    <w:r>
                      <w:instrText xml:space="preserve"> NUMPAGES  \* MERGEFORMAT </w:instrText>
                    </w:r>
                    <w:r>
                      <w:fldChar w:fldCharType="separate"/>
                    </w:r>
                    <w:r>
                      <w:t>78</w:t>
                    </w:r>
                    <w:r>
                      <w:fldChar w:fldCharType="end"/>
                    </w:r>
                    <w:r>
                      <w:rPr>
                        <w:rFonts w:hint="eastAsia"/>
                      </w:rPr>
                      <w:t>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974725" cy="1479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a:effectLst/>
                    </wps:spPr>
                    <wps:txbx>
                      <w:txbxContent>
                        <w:p>
                          <w:pPr>
                            <w:pStyle w:val="16"/>
                          </w:pPr>
                          <w:r>
                            <w:rPr>
                              <w:rFonts w:hint="eastAsia"/>
                            </w:rPr>
                            <w:t>第</w:t>
                          </w:r>
                          <w:r>
                            <w:fldChar w:fldCharType="begin"/>
                          </w:r>
                          <w:r>
                            <w:instrText xml:space="preserve"> PAGE  \* MERGEFORMAT </w:instrText>
                          </w:r>
                          <w:r>
                            <w:fldChar w:fldCharType="separate"/>
                          </w:r>
                          <w:r>
                            <w:t>26</w:t>
                          </w:r>
                          <w:r>
                            <w:fldChar w:fldCharType="end"/>
                          </w:r>
                          <w:r>
                            <w:rPr>
                              <w:rFonts w:hint="eastAsia"/>
                            </w:rPr>
                            <w:t>页共</w:t>
                          </w:r>
                          <w:r>
                            <w:fldChar w:fldCharType="begin"/>
                          </w:r>
                          <w:r>
                            <w:instrText xml:space="preserve"> NUMPAGES  \* MERGEFORMAT </w:instrText>
                          </w:r>
                          <w:r>
                            <w:fldChar w:fldCharType="separate"/>
                          </w:r>
                          <w:r>
                            <w:t>78</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center;mso-position-horizontal-relative:margin;mso-wrap-style:none;z-index:251668480;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a6w+NIAAAAEAQAADwAAAAAAAAABACAAAAAiAAAAZHJzL2Rvd25yZXYueG1s&#10;UEsBAhQAFAAAAAgAh07iQC1TiHQ3AgAAYwQAAA4AAAAAAAAAAQAgAAAAIQEAAGRycy9lMm9Eb2Mu&#10;eG1sUEsFBgAAAAAGAAYAWQEAAMoFAAAAAA==&#10;">
              <v:fill on="f" focussize="0,0"/>
              <v:stroke on="f" weight="0.5pt"/>
              <v:imagedata o:title=""/>
              <o:lock v:ext="edit" aspectratio="f"/>
              <v:textbox inset="0mm,0mm,0mm,0mm" style="mso-fit-shape-to-text:t;">
                <w:txbxContent>
                  <w:p>
                    <w:pPr>
                      <w:pStyle w:val="16"/>
                    </w:pPr>
                    <w:r>
                      <w:rPr>
                        <w:rFonts w:hint="eastAsia"/>
                      </w:rPr>
                      <w:t>第</w:t>
                    </w:r>
                    <w:r>
                      <w:fldChar w:fldCharType="begin"/>
                    </w:r>
                    <w:r>
                      <w:instrText xml:space="preserve"> PAGE  \* MERGEFORMAT </w:instrText>
                    </w:r>
                    <w:r>
                      <w:fldChar w:fldCharType="separate"/>
                    </w:r>
                    <w:r>
                      <w:t>26</w:t>
                    </w:r>
                    <w:r>
                      <w:fldChar w:fldCharType="end"/>
                    </w:r>
                    <w:r>
                      <w:rPr>
                        <w:rFonts w:hint="eastAsia"/>
                      </w:rPr>
                      <w:t>页共</w:t>
                    </w:r>
                    <w:r>
                      <w:fldChar w:fldCharType="begin"/>
                    </w:r>
                    <w:r>
                      <w:instrText xml:space="preserve"> NUMPAGES  \* MERGEFORMAT </w:instrText>
                    </w:r>
                    <w:r>
                      <w:fldChar w:fldCharType="separate"/>
                    </w:r>
                    <w:r>
                      <w:t>78</w:t>
                    </w:r>
                    <w:r>
                      <w:fldChar w:fldCharType="end"/>
                    </w:r>
                    <w:r>
                      <w:rPr>
                        <w:rFonts w:hint="eastAsia"/>
                      </w:rPr>
                      <w:t>页</w:t>
                    </w:r>
                  </w:p>
                </w:txbxContent>
              </v:textbox>
            </v:shape>
          </w:pict>
        </mc:Fallback>
      </mc:AlternateContent>
    </w:r>
    <w:r>
      <w:rPr>
        <w:rFonts w:hint="eastAsia" w:ascii="宋体"/>
      </w:rPr>
      <w:t>陕西万泽招标有限公司</w:t>
    </w:r>
  </w:p>
  <w:p>
    <w:pPr>
      <w:pStyle w:val="16"/>
      <w:jc w:val="both"/>
      <w:rPr>
        <w:rFonts w:ascii="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090930" cy="147955"/>
              <wp:effectExtent l="0" t="0" r="0" b="0"/>
              <wp:wrapNone/>
              <wp:docPr id="21" name="文本框 14"/>
              <wp:cNvGraphicFramePr/>
              <a:graphic xmlns:a="http://schemas.openxmlformats.org/drawingml/2006/main">
                <a:graphicData uri="http://schemas.microsoft.com/office/word/2010/wordprocessingShape">
                  <wps:wsp>
                    <wps:cNvSpPr txBox="1"/>
                    <wps:spPr>
                      <a:xfrm>
                        <a:off x="0" y="0"/>
                        <a:ext cx="1090930" cy="147955"/>
                      </a:xfrm>
                      <a:prstGeom prst="rect">
                        <a:avLst/>
                      </a:prstGeom>
                      <a:noFill/>
                      <a:ln w="9525">
                        <a:noFill/>
                      </a:ln>
                      <a:effectLst/>
                    </wps:spPr>
                    <wps:txbx>
                      <w:txbxContent>
                        <w:p>
                          <w:pPr>
                            <w:pStyle w:val="16"/>
                          </w:pPr>
                          <w:r>
                            <w:rPr>
                              <w:rFonts w:hint="eastAsia"/>
                            </w:rPr>
                            <w:t>第</w:t>
                          </w:r>
                          <w:r>
                            <w:fldChar w:fldCharType="begin"/>
                          </w:r>
                          <w:r>
                            <w:instrText xml:space="preserve"> PAGE  \* MERGEFORMAT </w:instrText>
                          </w:r>
                          <w:r>
                            <w:fldChar w:fldCharType="separate"/>
                          </w:r>
                          <w:r>
                            <w:t>60</w:t>
                          </w:r>
                          <w:r>
                            <w:fldChar w:fldCharType="end"/>
                          </w:r>
                          <w:r>
                            <w:rPr>
                              <w:rFonts w:hint="eastAsia"/>
                            </w:rPr>
                            <w:t>页共</w:t>
                          </w:r>
                          <w:r>
                            <w:fldChar w:fldCharType="begin"/>
                          </w:r>
                          <w:r>
                            <w:instrText xml:space="preserve"> NUMPAGES  \* MERGEFORMAT </w:instrText>
                          </w:r>
                          <w:r>
                            <w:fldChar w:fldCharType="separate"/>
                          </w:r>
                          <w:r>
                            <w:t>78</w:t>
                          </w:r>
                          <w:r>
                            <w:fldChar w:fldCharType="end"/>
                          </w:r>
                          <w:r>
                            <w:rPr>
                              <w:rFonts w:hint="eastAsia"/>
                            </w:rPr>
                            <w:t>页</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1.65pt;width:85.9pt;mso-position-horizontal:center;mso-position-horizontal-relative:margin;mso-wrap-style:none;z-index:251665408;mso-width-relative:page;mso-height-relative:page;" filled="f" stroked="f" coordsize="21600,21600" o:gfxdata="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RjOudEAAAAEAQAADwAAAAAAAAAB&#10;ACAAAAAiAAAAZHJzL2Rvd25yZXYueG1sUEsBAhQAFAAAAAgAh07iQK6fD8DeAQAAsQMAAA4AAAAA&#10;AAAAAQAgAAAAIAEAAGRycy9lMm9Eb2MueG1sUEsFBgAAAAAGAAYAWQEAAHAFAAAAAA==&#10;">
              <v:fill on="f" focussize="0,0"/>
              <v:stroke on="f"/>
              <v:imagedata o:title=""/>
              <o:lock v:ext="edit" aspectratio="f"/>
              <v:textbox inset="0mm,0mm,0mm,0mm" style="mso-fit-shape-to-text:t;">
                <w:txbxContent>
                  <w:p>
                    <w:pPr>
                      <w:pStyle w:val="16"/>
                    </w:pPr>
                    <w:r>
                      <w:rPr>
                        <w:rFonts w:hint="eastAsia"/>
                      </w:rPr>
                      <w:t>第</w:t>
                    </w:r>
                    <w:r>
                      <w:fldChar w:fldCharType="begin"/>
                    </w:r>
                    <w:r>
                      <w:instrText xml:space="preserve"> PAGE  \* MERGEFORMAT </w:instrText>
                    </w:r>
                    <w:r>
                      <w:fldChar w:fldCharType="separate"/>
                    </w:r>
                    <w:r>
                      <w:t>60</w:t>
                    </w:r>
                    <w:r>
                      <w:fldChar w:fldCharType="end"/>
                    </w:r>
                    <w:r>
                      <w:rPr>
                        <w:rFonts w:hint="eastAsia"/>
                      </w:rPr>
                      <w:t>页共</w:t>
                    </w:r>
                    <w:r>
                      <w:fldChar w:fldCharType="begin"/>
                    </w:r>
                    <w:r>
                      <w:instrText xml:space="preserve"> NUMPAGES  \* MERGEFORMAT </w:instrText>
                    </w:r>
                    <w:r>
                      <w:fldChar w:fldCharType="separate"/>
                    </w:r>
                    <w:r>
                      <w:t>78</w:t>
                    </w:r>
                    <w:r>
                      <w:fldChar w:fldCharType="end"/>
                    </w:r>
                    <w:r>
                      <w:rPr>
                        <w:rFonts w:hint="eastAsia"/>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090930" cy="147955"/>
              <wp:effectExtent l="0" t="0" r="0" b="0"/>
              <wp:wrapNone/>
              <wp:docPr id="22" name="文本框 16"/>
              <wp:cNvGraphicFramePr/>
              <a:graphic xmlns:a="http://schemas.openxmlformats.org/drawingml/2006/main">
                <a:graphicData uri="http://schemas.microsoft.com/office/word/2010/wordprocessingShape">
                  <wps:wsp>
                    <wps:cNvSpPr txBox="1"/>
                    <wps:spPr>
                      <a:xfrm>
                        <a:off x="0" y="0"/>
                        <a:ext cx="1090930" cy="147955"/>
                      </a:xfrm>
                      <a:prstGeom prst="rect">
                        <a:avLst/>
                      </a:prstGeom>
                      <a:noFill/>
                      <a:ln w="9525">
                        <a:noFill/>
                      </a:ln>
                      <a:effectLst/>
                    </wps:spPr>
                    <wps:txbx>
                      <w:txbxContent>
                        <w:p>
                          <w:pPr>
                            <w:pStyle w:val="16"/>
                          </w:pPr>
                          <w:r>
                            <w:rPr>
                              <w:rFonts w:hint="eastAsia"/>
                            </w:rPr>
                            <w:t>第</w:t>
                          </w:r>
                          <w:r>
                            <w:fldChar w:fldCharType="begin"/>
                          </w:r>
                          <w:r>
                            <w:instrText xml:space="preserve"> PAGE  \* MERGEFORMAT </w:instrText>
                          </w:r>
                          <w:r>
                            <w:fldChar w:fldCharType="separate"/>
                          </w:r>
                          <w:r>
                            <w:t>71</w:t>
                          </w:r>
                          <w:r>
                            <w:fldChar w:fldCharType="end"/>
                          </w:r>
                          <w:r>
                            <w:rPr>
                              <w:rFonts w:hint="eastAsia"/>
                            </w:rPr>
                            <w:t>页共</w:t>
                          </w:r>
                          <w:r>
                            <w:fldChar w:fldCharType="begin"/>
                          </w:r>
                          <w:r>
                            <w:instrText xml:space="preserve"> NUMPAGES  \* MERGEFORMAT </w:instrText>
                          </w:r>
                          <w:r>
                            <w:fldChar w:fldCharType="separate"/>
                          </w:r>
                          <w:r>
                            <w:t>78</w:t>
                          </w:r>
                          <w:r>
                            <w:fldChar w:fldCharType="end"/>
                          </w:r>
                          <w:r>
                            <w:rPr>
                              <w:rFonts w:hint="eastAsia"/>
                            </w:rPr>
                            <w:t>页</w:t>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1.65pt;width:85.9pt;mso-position-horizontal:center;mso-position-horizontal-relative:margin;mso-wrap-style:none;z-index:251666432;mso-width-relative:page;mso-height-relative:page;" filled="f" stroked="f" coordsize="21600,21600" o:gfxdata="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RjOudEAAAAEAQAADwAAAAAAAAAB&#10;ACAAAAAiAAAAZHJzL2Rvd25yZXYueG1sUEsBAhQAFAAAAAgAh07iQD42gm3eAQAAsQMAAA4AAAAA&#10;AAAAAQAgAAAAIAEAAGRycy9lMm9Eb2MueG1sUEsFBgAAAAAGAAYAWQEAAHAFAAAAAA==&#10;">
              <v:fill on="f" focussize="0,0"/>
              <v:stroke on="f"/>
              <v:imagedata o:title=""/>
              <o:lock v:ext="edit" aspectratio="f"/>
              <v:textbox inset="0mm,0mm,0mm,0mm" style="mso-fit-shape-to-text:t;">
                <w:txbxContent>
                  <w:p>
                    <w:pPr>
                      <w:pStyle w:val="16"/>
                    </w:pPr>
                    <w:r>
                      <w:rPr>
                        <w:rFonts w:hint="eastAsia"/>
                      </w:rPr>
                      <w:t>第</w:t>
                    </w:r>
                    <w:r>
                      <w:fldChar w:fldCharType="begin"/>
                    </w:r>
                    <w:r>
                      <w:instrText xml:space="preserve"> PAGE  \* MERGEFORMAT </w:instrText>
                    </w:r>
                    <w:r>
                      <w:fldChar w:fldCharType="separate"/>
                    </w:r>
                    <w:r>
                      <w:t>71</w:t>
                    </w:r>
                    <w:r>
                      <w:fldChar w:fldCharType="end"/>
                    </w:r>
                    <w:r>
                      <w:rPr>
                        <w:rFonts w:hint="eastAsia"/>
                      </w:rPr>
                      <w:t>页共</w:t>
                    </w:r>
                    <w:r>
                      <w:fldChar w:fldCharType="begin"/>
                    </w:r>
                    <w:r>
                      <w:instrText xml:space="preserve"> NUMPAGES  \* MERGEFORMAT </w:instrText>
                    </w:r>
                    <w:r>
                      <w:fldChar w:fldCharType="separate"/>
                    </w:r>
                    <w:r>
                      <w:t>78</w:t>
                    </w:r>
                    <w:r>
                      <w:fldChar w:fldCharType="end"/>
                    </w:r>
                    <w:r>
                      <w:rPr>
                        <w:rFonts w:hint="eastAsia"/>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090930" cy="147955"/>
              <wp:effectExtent l="0" t="0" r="0" b="0"/>
              <wp:wrapNone/>
              <wp:docPr id="23" name="文本框 15"/>
              <wp:cNvGraphicFramePr/>
              <a:graphic xmlns:a="http://schemas.openxmlformats.org/drawingml/2006/main">
                <a:graphicData uri="http://schemas.microsoft.com/office/word/2010/wordprocessingShape">
                  <wps:wsp>
                    <wps:cNvSpPr txBox="1"/>
                    <wps:spPr>
                      <a:xfrm>
                        <a:off x="0" y="0"/>
                        <a:ext cx="1090930" cy="147955"/>
                      </a:xfrm>
                      <a:prstGeom prst="rect">
                        <a:avLst/>
                      </a:prstGeom>
                      <a:noFill/>
                      <a:ln w="9525">
                        <a:noFill/>
                      </a:ln>
                      <a:effectLst/>
                    </wps:spPr>
                    <wps:txbx>
                      <w:txbxContent>
                        <w:p>
                          <w:pPr>
                            <w:pStyle w:val="16"/>
                          </w:pPr>
                          <w:r>
                            <w:rPr>
                              <w:rFonts w:hint="eastAsia"/>
                            </w:rPr>
                            <w:t>第</w:t>
                          </w:r>
                          <w:r>
                            <w:fldChar w:fldCharType="begin"/>
                          </w:r>
                          <w:r>
                            <w:instrText xml:space="preserve"> PAGE  \* MERGEFORMAT </w:instrText>
                          </w:r>
                          <w:r>
                            <w:fldChar w:fldCharType="separate"/>
                          </w:r>
                          <w:r>
                            <w:t>78</w:t>
                          </w:r>
                          <w:r>
                            <w:fldChar w:fldCharType="end"/>
                          </w:r>
                          <w:r>
                            <w:rPr>
                              <w:rFonts w:hint="eastAsia"/>
                            </w:rPr>
                            <w:t>页共</w:t>
                          </w:r>
                          <w:r>
                            <w:fldChar w:fldCharType="begin"/>
                          </w:r>
                          <w:r>
                            <w:instrText xml:space="preserve"> NUMPAGES  \* MERGEFORMAT </w:instrText>
                          </w:r>
                          <w:r>
                            <w:fldChar w:fldCharType="separate"/>
                          </w:r>
                          <w:r>
                            <w:t>78</w:t>
                          </w:r>
                          <w:r>
                            <w:fldChar w:fldCharType="end"/>
                          </w:r>
                          <w:r>
                            <w:rPr>
                              <w:rFonts w:hint="eastAsia"/>
                            </w:rPr>
                            <w:t>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1.65pt;width:85.9pt;mso-position-horizontal:center;mso-position-horizontal-relative:margin;mso-wrap-style:none;z-index:251667456;mso-width-relative:page;mso-height-relative:page;" filled="f" stroked="f" coordsize="21600,21600" o:gfxdata="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0YzrnRAAAABAEAAA8AAAAAAAAA&#10;AQAgAAAAIgAAAGRycy9kb3ducmV2LnhtbFBLAQIUABQAAAAIAIdO4kAgAV/t3wEAALEDAAAOAAAA&#10;AAAAAAEAIAAAACABAABkcnMvZTJvRG9jLnhtbFBLBQYAAAAABgAGAFkBAABxBQAAAAA=&#10;">
              <v:fill on="f" focussize="0,0"/>
              <v:stroke on="f"/>
              <v:imagedata o:title=""/>
              <o:lock v:ext="edit" aspectratio="f"/>
              <v:textbox inset="0mm,0mm,0mm,0mm" style="mso-fit-shape-to-text:t;">
                <w:txbxContent>
                  <w:p>
                    <w:pPr>
                      <w:pStyle w:val="16"/>
                    </w:pPr>
                    <w:r>
                      <w:rPr>
                        <w:rFonts w:hint="eastAsia"/>
                      </w:rPr>
                      <w:t>第</w:t>
                    </w:r>
                    <w:r>
                      <w:fldChar w:fldCharType="begin"/>
                    </w:r>
                    <w:r>
                      <w:instrText xml:space="preserve"> PAGE  \* MERGEFORMAT </w:instrText>
                    </w:r>
                    <w:r>
                      <w:fldChar w:fldCharType="separate"/>
                    </w:r>
                    <w:r>
                      <w:t>78</w:t>
                    </w:r>
                    <w:r>
                      <w:fldChar w:fldCharType="end"/>
                    </w:r>
                    <w:r>
                      <w:rPr>
                        <w:rFonts w:hint="eastAsia"/>
                      </w:rPr>
                      <w:t>页共</w:t>
                    </w:r>
                    <w:r>
                      <w:fldChar w:fldCharType="begin"/>
                    </w:r>
                    <w:r>
                      <w:instrText xml:space="preserve"> NUMPAGES  \* MERGEFORMAT </w:instrText>
                    </w:r>
                    <w:r>
                      <w:fldChar w:fldCharType="separate"/>
                    </w:r>
                    <w:r>
                      <w:t>78</w:t>
                    </w:r>
                    <w:r>
                      <w:fldChar w:fldCharType="end"/>
                    </w:r>
                    <w:r>
                      <w:rPr>
                        <w:rFonts w:hint="eastAsia"/>
                      </w:rPr>
                      <w:t>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0"/>
        <w:tab w:val="right" w:pos="8420"/>
        <w:tab w:val="clear" w:pos="4153"/>
      </w:tabs>
      <w:rPr>
        <w:rFonts w:ascii="宋体" w:hAnsi="宋体" w:cs="宋体"/>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58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58</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陕西科技大学实训楼有线无线网络建设项目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eastAsia="zh-CN"/>
      </w:rPr>
      <w:t>SXWZ2022ZB-SKD-135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陕西科技大学实训楼有线无线网络建设项目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SXWZ2022ZB-SKD-135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陕西科技大学实训楼有线无线网络建设项目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rPr>
      <w:t xml:space="preserve"> </w:t>
    </w:r>
    <w:r>
      <w:rPr>
        <w:rFonts w:hint="eastAsia" w:ascii="宋体" w:cs="Times New Roman"/>
        <w:sz w:val="15"/>
        <w:szCs w:val="15"/>
        <w:u w:val="single"/>
        <w:lang w:eastAsia="zh-CN"/>
      </w:rPr>
      <w:t>SXWZ2022ZB-SKD-135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陕西科技大学实训楼有线无线网络建设项目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ascii="宋体" w:cs="Times New Roman"/>
        <w:sz w:val="15"/>
        <w:szCs w:val="15"/>
        <w:u w:val="single"/>
      </w:rPr>
      <w:t xml:space="preserve">               </w:t>
    </w:r>
    <w:r>
      <w:rPr>
        <w:rFonts w:hint="eastAsia" w:ascii="宋体" w:cs="Times New Roman"/>
        <w:sz w:val="15"/>
        <w:szCs w:val="15"/>
        <w:u w:val="single"/>
        <w:lang w:eastAsia="zh-CN"/>
      </w:rPr>
      <w:t>SXWZ2022ZB-SKD-135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陕西科技大学实训楼有线无线网络建设项目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eastAsia="zh-CN"/>
      </w:rPr>
      <w:t>SXWZ2022ZB-SKD-135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陕西科技大学实训楼有线无线网络建设项目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eastAsia="zh-CN"/>
      </w:rPr>
      <w:t>SXWZ2022ZB-SKD-135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陕西科技大学实训楼有线无线网络建设项目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SXWZ2022ZB-SKD-135</w:t>
    </w:r>
    <w:r>
      <w:rPr>
        <w:rFonts w:ascii="宋体" w:cs="Times New Roman"/>
        <w:sz w:val="15"/>
        <w:szCs w:val="15"/>
        <w:u w:val="single"/>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陕西科技大学实训楼有线无线网络建设项目</w:t>
    </w:r>
    <w:r>
      <w:rPr>
        <w:rFonts w:hint="eastAsia" w:ascii="宋体" w:cs="Times New Roman"/>
        <w:sz w:val="15"/>
        <w:szCs w:val="15"/>
        <w:u w:val="single"/>
      </w:rPr>
      <w:t xml:space="preserve"> </w:t>
    </w:r>
    <w:r>
      <w:rPr>
        <w:rFonts w:ascii="宋体" w:cs="Times New Roman"/>
        <w:sz w:val="15"/>
        <w:szCs w:val="15"/>
        <w:u w:val="single"/>
      </w:rPr>
      <w:t xml:space="preserve">                               </w:t>
    </w:r>
    <w:r>
      <w:rPr>
        <w:rFonts w:hint="eastAsia" w:ascii="宋体" w:cs="Times New Roman"/>
        <w:sz w:val="15"/>
        <w:szCs w:val="15"/>
        <w:u w:val="single"/>
        <w:lang w:val="en-US" w:eastAsia="zh-CN"/>
      </w:rPr>
      <w:t xml:space="preserve">                  </w:t>
    </w:r>
    <w:r>
      <w:rPr>
        <w:rFonts w:ascii="宋体" w:cs="Times New Roman"/>
        <w:sz w:val="15"/>
        <w:szCs w:val="15"/>
        <w:u w:val="single"/>
      </w:rPr>
      <w:t xml:space="preserve">    </w:t>
    </w:r>
    <w:r>
      <w:rPr>
        <w:rFonts w:hint="eastAsia" w:ascii="宋体" w:cs="Times New Roman"/>
        <w:sz w:val="15"/>
        <w:szCs w:val="15"/>
        <w:u w:val="single"/>
        <w:lang w:eastAsia="zh-CN"/>
      </w:rPr>
      <w:t>SXWZ2022ZB-SKD-135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1">
    <w:nsid w:val="B85E65B1"/>
    <w:multiLevelType w:val="singleLevel"/>
    <w:tmpl w:val="B85E65B1"/>
    <w:lvl w:ilvl="0" w:tentative="0">
      <w:start w:val="6"/>
      <w:numFmt w:val="decimal"/>
      <w:suff w:val="nothing"/>
      <w:lvlText w:val="%1、"/>
      <w:lvlJc w:val="left"/>
    </w:lvl>
  </w:abstractNum>
  <w:abstractNum w:abstractNumId="2">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3">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4">
    <w:nsid w:val="0E3E810B"/>
    <w:multiLevelType w:val="singleLevel"/>
    <w:tmpl w:val="0E3E810B"/>
    <w:lvl w:ilvl="0" w:tentative="0">
      <w:start w:val="1"/>
      <w:numFmt w:val="decimal"/>
      <w:suff w:val="nothing"/>
      <w:lvlText w:val="%1、"/>
      <w:lvlJc w:val="left"/>
    </w:lvl>
  </w:abstractNum>
  <w:abstractNum w:abstractNumId="5">
    <w:nsid w:val="19B057FC"/>
    <w:multiLevelType w:val="singleLevel"/>
    <w:tmpl w:val="19B057FC"/>
    <w:lvl w:ilvl="0" w:tentative="0">
      <w:start w:val="1"/>
      <w:numFmt w:val="decimal"/>
      <w:suff w:val="nothing"/>
      <w:lvlText w:val="%1、"/>
      <w:lvlJc w:val="left"/>
      <w:pPr>
        <w:ind w:left="140" w:firstLine="0"/>
      </w:pPr>
    </w:lvl>
  </w:abstractNum>
  <w:abstractNum w:abstractNumId="6">
    <w:nsid w:val="5530B97F"/>
    <w:multiLevelType w:val="singleLevel"/>
    <w:tmpl w:val="5530B97F"/>
    <w:lvl w:ilvl="0" w:tentative="0">
      <w:start w:val="1"/>
      <w:numFmt w:val="chineseCounting"/>
      <w:suff w:val="nothing"/>
      <w:lvlText w:val="%1、"/>
      <w:lvlJc w:val="left"/>
      <w:rPr>
        <w:rFonts w:cs="Times New Roman"/>
      </w:rPr>
    </w:lvl>
  </w:abstractNum>
  <w:abstractNum w:abstractNumId="7">
    <w:nsid w:val="55698368"/>
    <w:multiLevelType w:val="singleLevel"/>
    <w:tmpl w:val="55698368"/>
    <w:lvl w:ilvl="0" w:tentative="0">
      <w:start w:val="1"/>
      <w:numFmt w:val="decimal"/>
      <w:suff w:val="nothing"/>
      <w:lvlText w:val="%1、"/>
      <w:lvlJc w:val="left"/>
      <w:pPr>
        <w:ind w:firstLine="420"/>
      </w:pPr>
      <w:rPr>
        <w:rFonts w:hint="default" w:cs="Times New Roman"/>
      </w:rPr>
    </w:lvl>
  </w:abstractNum>
  <w:abstractNum w:abstractNumId="8">
    <w:nsid w:val="559A3799"/>
    <w:multiLevelType w:val="singleLevel"/>
    <w:tmpl w:val="559A3799"/>
    <w:lvl w:ilvl="0" w:tentative="0">
      <w:start w:val="1"/>
      <w:numFmt w:val="decimal"/>
      <w:suff w:val="space"/>
      <w:lvlText w:val="3.%1"/>
      <w:lvlJc w:val="left"/>
      <w:pPr>
        <w:tabs>
          <w:tab w:val="left" w:pos="0"/>
        </w:tabs>
        <w:ind w:firstLine="400"/>
      </w:pPr>
      <w:rPr>
        <w:rFonts w:hint="default" w:ascii="Times New Roman" w:hAnsi="Times New Roman" w:eastAsia="宋体" w:cs="Times New Roman"/>
      </w:rPr>
    </w:lvl>
  </w:abstractNum>
  <w:abstractNum w:abstractNumId="9">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10">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11">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2">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3">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4">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5">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6">
    <w:nsid w:val="58BFC3B3"/>
    <w:multiLevelType w:val="singleLevel"/>
    <w:tmpl w:val="58BFC3B3"/>
    <w:lvl w:ilvl="0" w:tentative="0">
      <w:start w:val="1"/>
      <w:numFmt w:val="decimal"/>
      <w:suff w:val="nothing"/>
      <w:lvlText w:val="（%1）"/>
      <w:lvlJc w:val="left"/>
      <w:pPr>
        <w:ind w:firstLine="420"/>
      </w:pPr>
      <w:rPr>
        <w:rFonts w:hint="default" w:cs="Times New Roman"/>
      </w:rPr>
    </w:lvl>
  </w:abstractNum>
  <w:abstractNum w:abstractNumId="17">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8">
    <w:nsid w:val="58E5B8A6"/>
    <w:multiLevelType w:val="singleLevel"/>
    <w:tmpl w:val="58E5B8A6"/>
    <w:lvl w:ilvl="0" w:tentative="0">
      <w:start w:val="1"/>
      <w:numFmt w:val="decimal"/>
      <w:suff w:val="nothing"/>
      <w:lvlText w:val="（%1）"/>
      <w:lvlJc w:val="left"/>
      <w:pPr>
        <w:ind w:firstLine="420"/>
      </w:pPr>
      <w:rPr>
        <w:rFonts w:hint="default" w:cs="Times New Roman"/>
      </w:rPr>
    </w:lvl>
  </w:abstractNum>
  <w:abstractNum w:abstractNumId="19">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20">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21">
    <w:nsid w:val="59169F02"/>
    <w:multiLevelType w:val="singleLevel"/>
    <w:tmpl w:val="59169F02"/>
    <w:lvl w:ilvl="0" w:tentative="0">
      <w:start w:val="1"/>
      <w:numFmt w:val="decimal"/>
      <w:suff w:val="nothing"/>
      <w:lvlText w:val="%1、"/>
      <w:lvlJc w:val="left"/>
      <w:rPr>
        <w:rFonts w:cs="Times New Roman"/>
      </w:rPr>
    </w:lvl>
  </w:abstractNum>
  <w:abstractNum w:abstractNumId="22">
    <w:nsid w:val="59F034A0"/>
    <w:multiLevelType w:val="singleLevel"/>
    <w:tmpl w:val="59F034A0"/>
    <w:lvl w:ilvl="0" w:tentative="0">
      <w:start w:val="1"/>
      <w:numFmt w:val="bullet"/>
      <w:lvlText w:val=""/>
      <w:lvlJc w:val="left"/>
      <w:pPr>
        <w:ind w:left="420" w:hanging="420"/>
      </w:pPr>
      <w:rPr>
        <w:rFonts w:hint="default" w:ascii="Wingdings" w:hAnsi="Wingdings" w:cs="Wingdings"/>
      </w:rPr>
    </w:lvl>
  </w:abstractNum>
  <w:abstractNum w:abstractNumId="23">
    <w:nsid w:val="59F098CD"/>
    <w:multiLevelType w:val="singleLevel"/>
    <w:tmpl w:val="59F098CD"/>
    <w:lvl w:ilvl="0" w:tentative="0">
      <w:start w:val="1"/>
      <w:numFmt w:val="decimal"/>
      <w:suff w:val="nothing"/>
      <w:lvlText w:val="（%1）"/>
      <w:lvlJc w:val="left"/>
      <w:pPr>
        <w:ind w:firstLine="420"/>
      </w:pPr>
      <w:rPr>
        <w:rFonts w:hint="default"/>
      </w:rPr>
    </w:lvl>
  </w:abstractNum>
  <w:abstractNum w:abstractNumId="24">
    <w:nsid w:val="59F5C92A"/>
    <w:multiLevelType w:val="singleLevel"/>
    <w:tmpl w:val="59F5C92A"/>
    <w:lvl w:ilvl="0" w:tentative="0">
      <w:start w:val="1"/>
      <w:numFmt w:val="decimal"/>
      <w:suff w:val="nothing"/>
      <w:lvlText w:val="%1、"/>
      <w:lvlJc w:val="left"/>
      <w:pPr>
        <w:ind w:firstLine="420"/>
      </w:pPr>
      <w:rPr>
        <w:rFonts w:hint="default" w:cs="Times New Roman"/>
      </w:rPr>
    </w:lvl>
  </w:abstractNum>
  <w:abstractNum w:abstractNumId="25">
    <w:nsid w:val="5A93C287"/>
    <w:multiLevelType w:val="singleLevel"/>
    <w:tmpl w:val="5A93C287"/>
    <w:lvl w:ilvl="0" w:tentative="0">
      <w:start w:val="4"/>
      <w:numFmt w:val="chineseCounting"/>
      <w:suff w:val="space"/>
      <w:lvlText w:val="第%1部分"/>
      <w:lvlJc w:val="left"/>
    </w:lvl>
  </w:abstractNum>
  <w:abstractNum w:abstractNumId="26">
    <w:nsid w:val="66E1BD88"/>
    <w:multiLevelType w:val="singleLevel"/>
    <w:tmpl w:val="66E1BD88"/>
    <w:lvl w:ilvl="0" w:tentative="0">
      <w:start w:val="1"/>
      <w:numFmt w:val="decimal"/>
      <w:suff w:val="nothing"/>
      <w:lvlText w:val="%1、"/>
      <w:lvlJc w:val="left"/>
    </w:lvl>
  </w:abstractNum>
  <w:abstractNum w:abstractNumId="27">
    <w:nsid w:val="76AFFD85"/>
    <w:multiLevelType w:val="singleLevel"/>
    <w:tmpl w:val="76AFFD85"/>
    <w:lvl w:ilvl="0" w:tentative="0">
      <w:start w:val="1"/>
      <w:numFmt w:val="decimal"/>
      <w:suff w:val="nothing"/>
      <w:lvlText w:val="%1、"/>
      <w:lvlJc w:val="left"/>
      <w:pPr>
        <w:ind w:left="420" w:firstLine="0"/>
      </w:pPr>
    </w:lvl>
  </w:abstractNum>
  <w:num w:numId="1">
    <w:abstractNumId w:val="6"/>
  </w:num>
  <w:num w:numId="2">
    <w:abstractNumId w:val="4"/>
  </w:num>
  <w:num w:numId="3">
    <w:abstractNumId w:val="26"/>
  </w:num>
  <w:num w:numId="4">
    <w:abstractNumId w:val="21"/>
  </w:num>
  <w:num w:numId="5">
    <w:abstractNumId w:val="2"/>
  </w:num>
  <w:num w:numId="6">
    <w:abstractNumId w:val="0"/>
  </w:num>
  <w:num w:numId="7">
    <w:abstractNumId w:val="7"/>
  </w:num>
  <w:num w:numId="8">
    <w:abstractNumId w:val="10"/>
  </w:num>
  <w:num w:numId="9">
    <w:abstractNumId w:val="11"/>
  </w:num>
  <w:num w:numId="10">
    <w:abstractNumId w:val="8"/>
  </w:num>
  <w:num w:numId="11">
    <w:abstractNumId w:val="9"/>
  </w:num>
  <w:num w:numId="12">
    <w:abstractNumId w:val="15"/>
  </w:num>
  <w:num w:numId="13">
    <w:abstractNumId w:val="17"/>
  </w:num>
  <w:num w:numId="14">
    <w:abstractNumId w:val="12"/>
  </w:num>
  <w:num w:numId="15">
    <w:abstractNumId w:val="16"/>
  </w:num>
  <w:num w:numId="16">
    <w:abstractNumId w:val="18"/>
  </w:num>
  <w:num w:numId="17">
    <w:abstractNumId w:val="23"/>
  </w:num>
  <w:num w:numId="18">
    <w:abstractNumId w:val="22"/>
  </w:num>
  <w:num w:numId="19">
    <w:abstractNumId w:val="13"/>
  </w:num>
  <w:num w:numId="20">
    <w:abstractNumId w:val="14"/>
  </w:num>
  <w:num w:numId="21">
    <w:abstractNumId w:val="19"/>
  </w:num>
  <w:num w:numId="22">
    <w:abstractNumId w:val="20"/>
  </w:num>
  <w:num w:numId="23">
    <w:abstractNumId w:val="25"/>
  </w:num>
  <w:num w:numId="24">
    <w:abstractNumId w:val="24"/>
  </w:num>
  <w:num w:numId="25">
    <w:abstractNumId w:val="27"/>
  </w:num>
  <w:num w:numId="26">
    <w:abstractNumId w:val="1"/>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oNotHyphenateCaps/>
  <w:drawingGridHorizontalSpacing w:val="210"/>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YmM4ZDQ3NmU1ZTQwYTc1ZTQ2OTk5ODQzMTVmOTUifQ=="/>
  </w:docVars>
  <w:rsids>
    <w:rsidRoot w:val="2627224F"/>
    <w:rsid w:val="00002782"/>
    <w:rsid w:val="000043A8"/>
    <w:rsid w:val="00005CB8"/>
    <w:rsid w:val="000103AC"/>
    <w:rsid w:val="00030894"/>
    <w:rsid w:val="00035424"/>
    <w:rsid w:val="00037895"/>
    <w:rsid w:val="00042BEB"/>
    <w:rsid w:val="00043A02"/>
    <w:rsid w:val="0005278A"/>
    <w:rsid w:val="00055F6C"/>
    <w:rsid w:val="00063860"/>
    <w:rsid w:val="00063BFA"/>
    <w:rsid w:val="000671CF"/>
    <w:rsid w:val="00075859"/>
    <w:rsid w:val="0008280F"/>
    <w:rsid w:val="0008419E"/>
    <w:rsid w:val="00086CC9"/>
    <w:rsid w:val="000964FC"/>
    <w:rsid w:val="000A16A1"/>
    <w:rsid w:val="000A3018"/>
    <w:rsid w:val="000A3577"/>
    <w:rsid w:val="000A7BA4"/>
    <w:rsid w:val="000B2349"/>
    <w:rsid w:val="000C0895"/>
    <w:rsid w:val="000C33A2"/>
    <w:rsid w:val="000C4300"/>
    <w:rsid w:val="000D24DA"/>
    <w:rsid w:val="000D3001"/>
    <w:rsid w:val="000D3811"/>
    <w:rsid w:val="000D770E"/>
    <w:rsid w:val="000E62CF"/>
    <w:rsid w:val="00100349"/>
    <w:rsid w:val="00103959"/>
    <w:rsid w:val="0011607E"/>
    <w:rsid w:val="00143314"/>
    <w:rsid w:val="0016410E"/>
    <w:rsid w:val="00167A28"/>
    <w:rsid w:val="001734E5"/>
    <w:rsid w:val="00184201"/>
    <w:rsid w:val="00187107"/>
    <w:rsid w:val="0019040B"/>
    <w:rsid w:val="00190455"/>
    <w:rsid w:val="0019173E"/>
    <w:rsid w:val="00191761"/>
    <w:rsid w:val="00193858"/>
    <w:rsid w:val="001A2F01"/>
    <w:rsid w:val="001A4051"/>
    <w:rsid w:val="001A6858"/>
    <w:rsid w:val="001B5800"/>
    <w:rsid w:val="001C53EB"/>
    <w:rsid w:val="001C6666"/>
    <w:rsid w:val="001D1326"/>
    <w:rsid w:val="001D1F0A"/>
    <w:rsid w:val="001D462C"/>
    <w:rsid w:val="001E2824"/>
    <w:rsid w:val="001E2856"/>
    <w:rsid w:val="001F31AF"/>
    <w:rsid w:val="0020303F"/>
    <w:rsid w:val="00207981"/>
    <w:rsid w:val="0021256B"/>
    <w:rsid w:val="00220125"/>
    <w:rsid w:val="0024481B"/>
    <w:rsid w:val="002457A8"/>
    <w:rsid w:val="00245F18"/>
    <w:rsid w:val="002712D9"/>
    <w:rsid w:val="00280C4F"/>
    <w:rsid w:val="0028347B"/>
    <w:rsid w:val="00284567"/>
    <w:rsid w:val="00284906"/>
    <w:rsid w:val="002A250D"/>
    <w:rsid w:val="002A596F"/>
    <w:rsid w:val="002C47EA"/>
    <w:rsid w:val="002C5A83"/>
    <w:rsid w:val="002D13D1"/>
    <w:rsid w:val="002D57D8"/>
    <w:rsid w:val="002D7284"/>
    <w:rsid w:val="002D7A6D"/>
    <w:rsid w:val="002E07BF"/>
    <w:rsid w:val="002E2048"/>
    <w:rsid w:val="002E581B"/>
    <w:rsid w:val="002F077F"/>
    <w:rsid w:val="002F5BC2"/>
    <w:rsid w:val="002F5E7A"/>
    <w:rsid w:val="002F6FCA"/>
    <w:rsid w:val="002F7B47"/>
    <w:rsid w:val="00303560"/>
    <w:rsid w:val="0030738F"/>
    <w:rsid w:val="0032404F"/>
    <w:rsid w:val="003311F3"/>
    <w:rsid w:val="00337601"/>
    <w:rsid w:val="00337B6E"/>
    <w:rsid w:val="00345233"/>
    <w:rsid w:val="003546AE"/>
    <w:rsid w:val="00360C09"/>
    <w:rsid w:val="003A2AE9"/>
    <w:rsid w:val="003A73D8"/>
    <w:rsid w:val="003A7678"/>
    <w:rsid w:val="003B2D31"/>
    <w:rsid w:val="003B6571"/>
    <w:rsid w:val="003B7267"/>
    <w:rsid w:val="003D02BC"/>
    <w:rsid w:val="003D37C1"/>
    <w:rsid w:val="003D3DEA"/>
    <w:rsid w:val="003D3FF3"/>
    <w:rsid w:val="003E65D8"/>
    <w:rsid w:val="003E7B81"/>
    <w:rsid w:val="003F3D18"/>
    <w:rsid w:val="003F64A7"/>
    <w:rsid w:val="00405382"/>
    <w:rsid w:val="00410E57"/>
    <w:rsid w:val="00410F75"/>
    <w:rsid w:val="00411AEB"/>
    <w:rsid w:val="00416266"/>
    <w:rsid w:val="004456E2"/>
    <w:rsid w:val="00446A5F"/>
    <w:rsid w:val="004554C3"/>
    <w:rsid w:val="004562E7"/>
    <w:rsid w:val="004606ED"/>
    <w:rsid w:val="00460F70"/>
    <w:rsid w:val="00466CF3"/>
    <w:rsid w:val="004712C3"/>
    <w:rsid w:val="004766A6"/>
    <w:rsid w:val="00482200"/>
    <w:rsid w:val="00482B14"/>
    <w:rsid w:val="0049025B"/>
    <w:rsid w:val="00494F45"/>
    <w:rsid w:val="004A4095"/>
    <w:rsid w:val="004B3A1F"/>
    <w:rsid w:val="004B46F1"/>
    <w:rsid w:val="004D70C5"/>
    <w:rsid w:val="004E3227"/>
    <w:rsid w:val="004F2C80"/>
    <w:rsid w:val="0050127E"/>
    <w:rsid w:val="00506448"/>
    <w:rsid w:val="00512432"/>
    <w:rsid w:val="00512C24"/>
    <w:rsid w:val="00520C66"/>
    <w:rsid w:val="00522064"/>
    <w:rsid w:val="00524222"/>
    <w:rsid w:val="00540A4C"/>
    <w:rsid w:val="00542C9F"/>
    <w:rsid w:val="00550E9A"/>
    <w:rsid w:val="00556774"/>
    <w:rsid w:val="00583C0E"/>
    <w:rsid w:val="005867A6"/>
    <w:rsid w:val="005876F2"/>
    <w:rsid w:val="005973CC"/>
    <w:rsid w:val="005A4E8A"/>
    <w:rsid w:val="005B218F"/>
    <w:rsid w:val="005B3707"/>
    <w:rsid w:val="005B3960"/>
    <w:rsid w:val="005B44DB"/>
    <w:rsid w:val="005B47F7"/>
    <w:rsid w:val="005C0926"/>
    <w:rsid w:val="005C79DA"/>
    <w:rsid w:val="005D6922"/>
    <w:rsid w:val="005D7A12"/>
    <w:rsid w:val="005E00C2"/>
    <w:rsid w:val="005E76F4"/>
    <w:rsid w:val="00600B85"/>
    <w:rsid w:val="00601EBC"/>
    <w:rsid w:val="00603579"/>
    <w:rsid w:val="00604A7F"/>
    <w:rsid w:val="00611AB5"/>
    <w:rsid w:val="0061559B"/>
    <w:rsid w:val="00621DF3"/>
    <w:rsid w:val="006316B4"/>
    <w:rsid w:val="006401EA"/>
    <w:rsid w:val="0064683A"/>
    <w:rsid w:val="00664E7B"/>
    <w:rsid w:val="006657C9"/>
    <w:rsid w:val="00666391"/>
    <w:rsid w:val="00667AD0"/>
    <w:rsid w:val="00670515"/>
    <w:rsid w:val="006767C5"/>
    <w:rsid w:val="00676F87"/>
    <w:rsid w:val="006806CF"/>
    <w:rsid w:val="00680AA9"/>
    <w:rsid w:val="00682C34"/>
    <w:rsid w:val="006865EF"/>
    <w:rsid w:val="00691750"/>
    <w:rsid w:val="006927FD"/>
    <w:rsid w:val="00692A65"/>
    <w:rsid w:val="00693E7B"/>
    <w:rsid w:val="00696FBA"/>
    <w:rsid w:val="006A5867"/>
    <w:rsid w:val="006A5C18"/>
    <w:rsid w:val="006B2DFB"/>
    <w:rsid w:val="006C3E1D"/>
    <w:rsid w:val="006D5793"/>
    <w:rsid w:val="006E37AC"/>
    <w:rsid w:val="006E46DF"/>
    <w:rsid w:val="006F1FD6"/>
    <w:rsid w:val="006F29E9"/>
    <w:rsid w:val="006F2FFB"/>
    <w:rsid w:val="006F4EE4"/>
    <w:rsid w:val="00724B0D"/>
    <w:rsid w:val="00724CF6"/>
    <w:rsid w:val="00726643"/>
    <w:rsid w:val="00732282"/>
    <w:rsid w:val="007322E2"/>
    <w:rsid w:val="00736D00"/>
    <w:rsid w:val="00740F3F"/>
    <w:rsid w:val="00744BD1"/>
    <w:rsid w:val="00744D1A"/>
    <w:rsid w:val="0074676E"/>
    <w:rsid w:val="00747650"/>
    <w:rsid w:val="007511D7"/>
    <w:rsid w:val="00753466"/>
    <w:rsid w:val="00754372"/>
    <w:rsid w:val="00755ABB"/>
    <w:rsid w:val="0077525D"/>
    <w:rsid w:val="0078433C"/>
    <w:rsid w:val="00791F55"/>
    <w:rsid w:val="00792491"/>
    <w:rsid w:val="007A31AB"/>
    <w:rsid w:val="007A4024"/>
    <w:rsid w:val="007A43C1"/>
    <w:rsid w:val="007A4670"/>
    <w:rsid w:val="007A67DF"/>
    <w:rsid w:val="007A7760"/>
    <w:rsid w:val="007C5885"/>
    <w:rsid w:val="007D6071"/>
    <w:rsid w:val="007E046D"/>
    <w:rsid w:val="007F00C1"/>
    <w:rsid w:val="00801832"/>
    <w:rsid w:val="00805411"/>
    <w:rsid w:val="0080566A"/>
    <w:rsid w:val="00811479"/>
    <w:rsid w:val="00816808"/>
    <w:rsid w:val="00817B48"/>
    <w:rsid w:val="0082626C"/>
    <w:rsid w:val="0083287B"/>
    <w:rsid w:val="008368FC"/>
    <w:rsid w:val="00845318"/>
    <w:rsid w:val="008456FB"/>
    <w:rsid w:val="0086108A"/>
    <w:rsid w:val="00862D6D"/>
    <w:rsid w:val="0086405A"/>
    <w:rsid w:val="00870F67"/>
    <w:rsid w:val="0087579D"/>
    <w:rsid w:val="00875A4E"/>
    <w:rsid w:val="00882EB8"/>
    <w:rsid w:val="008866C0"/>
    <w:rsid w:val="00892118"/>
    <w:rsid w:val="008962A7"/>
    <w:rsid w:val="008A13B3"/>
    <w:rsid w:val="008A367A"/>
    <w:rsid w:val="008B1981"/>
    <w:rsid w:val="008C1600"/>
    <w:rsid w:val="008C4B71"/>
    <w:rsid w:val="008C7089"/>
    <w:rsid w:val="008D1976"/>
    <w:rsid w:val="008E6F21"/>
    <w:rsid w:val="008F6EFE"/>
    <w:rsid w:val="00901931"/>
    <w:rsid w:val="00905F14"/>
    <w:rsid w:val="00907566"/>
    <w:rsid w:val="00912B0F"/>
    <w:rsid w:val="00925839"/>
    <w:rsid w:val="00926B2B"/>
    <w:rsid w:val="009303C4"/>
    <w:rsid w:val="00930A4F"/>
    <w:rsid w:val="009325F9"/>
    <w:rsid w:val="00944D86"/>
    <w:rsid w:val="00954CF1"/>
    <w:rsid w:val="00956F3F"/>
    <w:rsid w:val="00957A9A"/>
    <w:rsid w:val="009649C6"/>
    <w:rsid w:val="00970EB8"/>
    <w:rsid w:val="009713B9"/>
    <w:rsid w:val="00971A81"/>
    <w:rsid w:val="00972EEB"/>
    <w:rsid w:val="009A69B9"/>
    <w:rsid w:val="009A7220"/>
    <w:rsid w:val="009B1507"/>
    <w:rsid w:val="009B3AAC"/>
    <w:rsid w:val="009B5161"/>
    <w:rsid w:val="009C2905"/>
    <w:rsid w:val="009C5EE1"/>
    <w:rsid w:val="009D0531"/>
    <w:rsid w:val="009D2568"/>
    <w:rsid w:val="009E0BA6"/>
    <w:rsid w:val="009F443D"/>
    <w:rsid w:val="009F75AE"/>
    <w:rsid w:val="009F7F47"/>
    <w:rsid w:val="00A066FF"/>
    <w:rsid w:val="00A14B29"/>
    <w:rsid w:val="00A248F4"/>
    <w:rsid w:val="00A36DDB"/>
    <w:rsid w:val="00A417CF"/>
    <w:rsid w:val="00A4332A"/>
    <w:rsid w:val="00A44128"/>
    <w:rsid w:val="00A45FD6"/>
    <w:rsid w:val="00A46732"/>
    <w:rsid w:val="00A50C62"/>
    <w:rsid w:val="00A54A5D"/>
    <w:rsid w:val="00A63494"/>
    <w:rsid w:val="00A75C8F"/>
    <w:rsid w:val="00A8343C"/>
    <w:rsid w:val="00A921BA"/>
    <w:rsid w:val="00AA6C48"/>
    <w:rsid w:val="00AB0730"/>
    <w:rsid w:val="00AC3630"/>
    <w:rsid w:val="00AC7625"/>
    <w:rsid w:val="00AD1ADA"/>
    <w:rsid w:val="00AD1C88"/>
    <w:rsid w:val="00AD215C"/>
    <w:rsid w:val="00AD5626"/>
    <w:rsid w:val="00AD5D52"/>
    <w:rsid w:val="00AE0451"/>
    <w:rsid w:val="00B0416F"/>
    <w:rsid w:val="00B07975"/>
    <w:rsid w:val="00B1410E"/>
    <w:rsid w:val="00B16A3E"/>
    <w:rsid w:val="00B32079"/>
    <w:rsid w:val="00B40D56"/>
    <w:rsid w:val="00B41BF8"/>
    <w:rsid w:val="00B45E66"/>
    <w:rsid w:val="00B45EFE"/>
    <w:rsid w:val="00B472F0"/>
    <w:rsid w:val="00B51C39"/>
    <w:rsid w:val="00B529FF"/>
    <w:rsid w:val="00B553EF"/>
    <w:rsid w:val="00B603BA"/>
    <w:rsid w:val="00B622CC"/>
    <w:rsid w:val="00B638F3"/>
    <w:rsid w:val="00B6511B"/>
    <w:rsid w:val="00B75ECA"/>
    <w:rsid w:val="00B76DB3"/>
    <w:rsid w:val="00B812CA"/>
    <w:rsid w:val="00B81A93"/>
    <w:rsid w:val="00B86797"/>
    <w:rsid w:val="00BA09E4"/>
    <w:rsid w:val="00BB427D"/>
    <w:rsid w:val="00BB49DA"/>
    <w:rsid w:val="00BC1AB3"/>
    <w:rsid w:val="00BC3E1F"/>
    <w:rsid w:val="00BC5630"/>
    <w:rsid w:val="00BC7153"/>
    <w:rsid w:val="00BC753D"/>
    <w:rsid w:val="00BD2877"/>
    <w:rsid w:val="00BE185D"/>
    <w:rsid w:val="00BF007D"/>
    <w:rsid w:val="00BF08C1"/>
    <w:rsid w:val="00BF1963"/>
    <w:rsid w:val="00BF1B28"/>
    <w:rsid w:val="00BF2ABB"/>
    <w:rsid w:val="00BF4BCA"/>
    <w:rsid w:val="00BF734D"/>
    <w:rsid w:val="00C02306"/>
    <w:rsid w:val="00C14616"/>
    <w:rsid w:val="00C15737"/>
    <w:rsid w:val="00C27AD9"/>
    <w:rsid w:val="00C338D2"/>
    <w:rsid w:val="00C403B1"/>
    <w:rsid w:val="00C4423B"/>
    <w:rsid w:val="00C467C0"/>
    <w:rsid w:val="00C4725D"/>
    <w:rsid w:val="00C50B61"/>
    <w:rsid w:val="00C51965"/>
    <w:rsid w:val="00C552B0"/>
    <w:rsid w:val="00C6256F"/>
    <w:rsid w:val="00C663B8"/>
    <w:rsid w:val="00C7082F"/>
    <w:rsid w:val="00C77272"/>
    <w:rsid w:val="00C82AD9"/>
    <w:rsid w:val="00C92D0B"/>
    <w:rsid w:val="00C96BF7"/>
    <w:rsid w:val="00CA0BCA"/>
    <w:rsid w:val="00CA6979"/>
    <w:rsid w:val="00CB47F6"/>
    <w:rsid w:val="00CB5F52"/>
    <w:rsid w:val="00CC43DB"/>
    <w:rsid w:val="00CD4E8F"/>
    <w:rsid w:val="00CE1D78"/>
    <w:rsid w:val="00CE67B7"/>
    <w:rsid w:val="00CF1B83"/>
    <w:rsid w:val="00CF1DC3"/>
    <w:rsid w:val="00CF53CE"/>
    <w:rsid w:val="00D01247"/>
    <w:rsid w:val="00D01AE5"/>
    <w:rsid w:val="00D01F3B"/>
    <w:rsid w:val="00D10508"/>
    <w:rsid w:val="00D13655"/>
    <w:rsid w:val="00D22C12"/>
    <w:rsid w:val="00D26166"/>
    <w:rsid w:val="00D2776F"/>
    <w:rsid w:val="00D34049"/>
    <w:rsid w:val="00D40C50"/>
    <w:rsid w:val="00D42D7A"/>
    <w:rsid w:val="00D4459E"/>
    <w:rsid w:val="00D44CB0"/>
    <w:rsid w:val="00D52376"/>
    <w:rsid w:val="00D563E8"/>
    <w:rsid w:val="00D574E4"/>
    <w:rsid w:val="00D576EF"/>
    <w:rsid w:val="00D57E9A"/>
    <w:rsid w:val="00D618BC"/>
    <w:rsid w:val="00D65559"/>
    <w:rsid w:val="00D67244"/>
    <w:rsid w:val="00D71EED"/>
    <w:rsid w:val="00D720DF"/>
    <w:rsid w:val="00D7588F"/>
    <w:rsid w:val="00D76E22"/>
    <w:rsid w:val="00D80518"/>
    <w:rsid w:val="00D82225"/>
    <w:rsid w:val="00D86DEB"/>
    <w:rsid w:val="00D9024D"/>
    <w:rsid w:val="00D9275B"/>
    <w:rsid w:val="00D967A4"/>
    <w:rsid w:val="00DA4229"/>
    <w:rsid w:val="00DA597E"/>
    <w:rsid w:val="00DA6816"/>
    <w:rsid w:val="00DB2770"/>
    <w:rsid w:val="00DB4B63"/>
    <w:rsid w:val="00DC1986"/>
    <w:rsid w:val="00DC5F9E"/>
    <w:rsid w:val="00DC7FB0"/>
    <w:rsid w:val="00DE3788"/>
    <w:rsid w:val="00DE666D"/>
    <w:rsid w:val="00E000B7"/>
    <w:rsid w:val="00E04145"/>
    <w:rsid w:val="00E068A9"/>
    <w:rsid w:val="00E15239"/>
    <w:rsid w:val="00E23336"/>
    <w:rsid w:val="00E24AFE"/>
    <w:rsid w:val="00E3706A"/>
    <w:rsid w:val="00E44464"/>
    <w:rsid w:val="00E51BF6"/>
    <w:rsid w:val="00E51C2A"/>
    <w:rsid w:val="00E566E6"/>
    <w:rsid w:val="00E66C10"/>
    <w:rsid w:val="00E93992"/>
    <w:rsid w:val="00E96AC7"/>
    <w:rsid w:val="00E9724B"/>
    <w:rsid w:val="00EA1ECE"/>
    <w:rsid w:val="00EA605E"/>
    <w:rsid w:val="00EE05C1"/>
    <w:rsid w:val="00EE3C41"/>
    <w:rsid w:val="00EF2094"/>
    <w:rsid w:val="00F012BD"/>
    <w:rsid w:val="00F058CA"/>
    <w:rsid w:val="00F11036"/>
    <w:rsid w:val="00F1312F"/>
    <w:rsid w:val="00F16755"/>
    <w:rsid w:val="00F2102A"/>
    <w:rsid w:val="00F216C0"/>
    <w:rsid w:val="00F233C9"/>
    <w:rsid w:val="00F234ED"/>
    <w:rsid w:val="00F273D6"/>
    <w:rsid w:val="00F308D0"/>
    <w:rsid w:val="00F33E7F"/>
    <w:rsid w:val="00F36717"/>
    <w:rsid w:val="00F42B05"/>
    <w:rsid w:val="00F43C8A"/>
    <w:rsid w:val="00F444F4"/>
    <w:rsid w:val="00F44ADD"/>
    <w:rsid w:val="00F46D0D"/>
    <w:rsid w:val="00F528BB"/>
    <w:rsid w:val="00F570C4"/>
    <w:rsid w:val="00F62BBF"/>
    <w:rsid w:val="00F6310D"/>
    <w:rsid w:val="00F64928"/>
    <w:rsid w:val="00F67301"/>
    <w:rsid w:val="00F71751"/>
    <w:rsid w:val="00F742C6"/>
    <w:rsid w:val="00F75245"/>
    <w:rsid w:val="00F76216"/>
    <w:rsid w:val="00F77A2F"/>
    <w:rsid w:val="00F806D3"/>
    <w:rsid w:val="00F81636"/>
    <w:rsid w:val="00F816D0"/>
    <w:rsid w:val="00F83284"/>
    <w:rsid w:val="00F87773"/>
    <w:rsid w:val="00F96C6F"/>
    <w:rsid w:val="00FA6299"/>
    <w:rsid w:val="00FA7521"/>
    <w:rsid w:val="00FD0B57"/>
    <w:rsid w:val="00FD26F4"/>
    <w:rsid w:val="00FD3443"/>
    <w:rsid w:val="00FF028B"/>
    <w:rsid w:val="01007326"/>
    <w:rsid w:val="01030061"/>
    <w:rsid w:val="0120117A"/>
    <w:rsid w:val="01214EAF"/>
    <w:rsid w:val="012475CE"/>
    <w:rsid w:val="013A223F"/>
    <w:rsid w:val="014C4D86"/>
    <w:rsid w:val="01920D21"/>
    <w:rsid w:val="01AD0103"/>
    <w:rsid w:val="01BB62CB"/>
    <w:rsid w:val="01C76C08"/>
    <w:rsid w:val="01CC1A40"/>
    <w:rsid w:val="01F90F7C"/>
    <w:rsid w:val="02064B47"/>
    <w:rsid w:val="020B27CB"/>
    <w:rsid w:val="02203547"/>
    <w:rsid w:val="0225155C"/>
    <w:rsid w:val="023F321E"/>
    <w:rsid w:val="0245012F"/>
    <w:rsid w:val="026366BA"/>
    <w:rsid w:val="02642382"/>
    <w:rsid w:val="02796963"/>
    <w:rsid w:val="02854F8C"/>
    <w:rsid w:val="02A47682"/>
    <w:rsid w:val="02A62DF9"/>
    <w:rsid w:val="02A73A31"/>
    <w:rsid w:val="02BA5D3C"/>
    <w:rsid w:val="030A0C9E"/>
    <w:rsid w:val="03273A74"/>
    <w:rsid w:val="03336C03"/>
    <w:rsid w:val="0337635A"/>
    <w:rsid w:val="03505603"/>
    <w:rsid w:val="037048D2"/>
    <w:rsid w:val="03741866"/>
    <w:rsid w:val="03C66944"/>
    <w:rsid w:val="03D955FA"/>
    <w:rsid w:val="03E76D01"/>
    <w:rsid w:val="04141C07"/>
    <w:rsid w:val="04190789"/>
    <w:rsid w:val="041E0491"/>
    <w:rsid w:val="045110DC"/>
    <w:rsid w:val="046321A5"/>
    <w:rsid w:val="046F3750"/>
    <w:rsid w:val="047501E3"/>
    <w:rsid w:val="04A87AF2"/>
    <w:rsid w:val="04D52E18"/>
    <w:rsid w:val="04F9760F"/>
    <w:rsid w:val="052E7DCE"/>
    <w:rsid w:val="053A6B7D"/>
    <w:rsid w:val="05402991"/>
    <w:rsid w:val="054E1CE0"/>
    <w:rsid w:val="057A7F6E"/>
    <w:rsid w:val="058B15B4"/>
    <w:rsid w:val="059A700E"/>
    <w:rsid w:val="059E7B97"/>
    <w:rsid w:val="05A239E9"/>
    <w:rsid w:val="05A56CC1"/>
    <w:rsid w:val="05D62E8D"/>
    <w:rsid w:val="05F966ED"/>
    <w:rsid w:val="05FC494C"/>
    <w:rsid w:val="060454DB"/>
    <w:rsid w:val="0613258A"/>
    <w:rsid w:val="066D1D57"/>
    <w:rsid w:val="06771C38"/>
    <w:rsid w:val="06826567"/>
    <w:rsid w:val="068C79F0"/>
    <w:rsid w:val="06AA1202"/>
    <w:rsid w:val="06BE30D0"/>
    <w:rsid w:val="06DE7C7D"/>
    <w:rsid w:val="06FA0966"/>
    <w:rsid w:val="06FD244B"/>
    <w:rsid w:val="071F4834"/>
    <w:rsid w:val="074C4B08"/>
    <w:rsid w:val="075236A4"/>
    <w:rsid w:val="075A189C"/>
    <w:rsid w:val="07712433"/>
    <w:rsid w:val="07890F82"/>
    <w:rsid w:val="079A301E"/>
    <w:rsid w:val="07A174CB"/>
    <w:rsid w:val="07B2103C"/>
    <w:rsid w:val="07BE77E4"/>
    <w:rsid w:val="07E62CC7"/>
    <w:rsid w:val="07F9032F"/>
    <w:rsid w:val="081347AD"/>
    <w:rsid w:val="082C4FE6"/>
    <w:rsid w:val="08311324"/>
    <w:rsid w:val="08512C9F"/>
    <w:rsid w:val="08531E4E"/>
    <w:rsid w:val="085816C5"/>
    <w:rsid w:val="085B6064"/>
    <w:rsid w:val="085D3F5B"/>
    <w:rsid w:val="085F5FBF"/>
    <w:rsid w:val="085F76F9"/>
    <w:rsid w:val="088D74B7"/>
    <w:rsid w:val="08AA1EA5"/>
    <w:rsid w:val="08AE20F2"/>
    <w:rsid w:val="08B85822"/>
    <w:rsid w:val="08C26768"/>
    <w:rsid w:val="08D31EFA"/>
    <w:rsid w:val="08E23B1C"/>
    <w:rsid w:val="08EF25FF"/>
    <w:rsid w:val="08FB6CEF"/>
    <w:rsid w:val="090A42F6"/>
    <w:rsid w:val="09294566"/>
    <w:rsid w:val="098540F5"/>
    <w:rsid w:val="09914FD3"/>
    <w:rsid w:val="099323FF"/>
    <w:rsid w:val="09942222"/>
    <w:rsid w:val="09A16C45"/>
    <w:rsid w:val="09BF26D2"/>
    <w:rsid w:val="09CE28EC"/>
    <w:rsid w:val="09D2466A"/>
    <w:rsid w:val="09EA213D"/>
    <w:rsid w:val="0A0976BB"/>
    <w:rsid w:val="0A113B35"/>
    <w:rsid w:val="0A347B45"/>
    <w:rsid w:val="0A3E3F88"/>
    <w:rsid w:val="0A4D5C46"/>
    <w:rsid w:val="0A66108A"/>
    <w:rsid w:val="0A672A35"/>
    <w:rsid w:val="0A6F5A4A"/>
    <w:rsid w:val="0A7348BF"/>
    <w:rsid w:val="0ABA5814"/>
    <w:rsid w:val="0AC33C19"/>
    <w:rsid w:val="0AD010C5"/>
    <w:rsid w:val="0ADA1EE0"/>
    <w:rsid w:val="0AFA5350"/>
    <w:rsid w:val="0B031899"/>
    <w:rsid w:val="0B240F71"/>
    <w:rsid w:val="0B4F64F0"/>
    <w:rsid w:val="0B5D1A85"/>
    <w:rsid w:val="0B5F44A1"/>
    <w:rsid w:val="0B986F9F"/>
    <w:rsid w:val="0B9C327F"/>
    <w:rsid w:val="0BAC6404"/>
    <w:rsid w:val="0BC2459A"/>
    <w:rsid w:val="0BC52B2F"/>
    <w:rsid w:val="0BCC4F8A"/>
    <w:rsid w:val="0C0624C9"/>
    <w:rsid w:val="0C132A5D"/>
    <w:rsid w:val="0C1A776A"/>
    <w:rsid w:val="0C21222D"/>
    <w:rsid w:val="0C2C2DB6"/>
    <w:rsid w:val="0C5C7D96"/>
    <w:rsid w:val="0C5E428D"/>
    <w:rsid w:val="0C7B639F"/>
    <w:rsid w:val="0C7E6FAC"/>
    <w:rsid w:val="0C7F3BFC"/>
    <w:rsid w:val="0CA665BD"/>
    <w:rsid w:val="0CAF7DD3"/>
    <w:rsid w:val="0CB6728F"/>
    <w:rsid w:val="0CF14B0E"/>
    <w:rsid w:val="0CFD25BD"/>
    <w:rsid w:val="0D0B0F2F"/>
    <w:rsid w:val="0D306E30"/>
    <w:rsid w:val="0D662901"/>
    <w:rsid w:val="0D715C47"/>
    <w:rsid w:val="0D7815FE"/>
    <w:rsid w:val="0D7832FD"/>
    <w:rsid w:val="0D8E0F8A"/>
    <w:rsid w:val="0D933F5C"/>
    <w:rsid w:val="0D964EAD"/>
    <w:rsid w:val="0D9A11C3"/>
    <w:rsid w:val="0DAB1B73"/>
    <w:rsid w:val="0DCD46CB"/>
    <w:rsid w:val="0DDB4F55"/>
    <w:rsid w:val="0DED3DF2"/>
    <w:rsid w:val="0E004AB0"/>
    <w:rsid w:val="0E0C42FA"/>
    <w:rsid w:val="0E142BF0"/>
    <w:rsid w:val="0E334EB0"/>
    <w:rsid w:val="0E4A1CCE"/>
    <w:rsid w:val="0E5C5A93"/>
    <w:rsid w:val="0E8B4F0A"/>
    <w:rsid w:val="0E9A2C5E"/>
    <w:rsid w:val="0EBC5DB1"/>
    <w:rsid w:val="0ED47232"/>
    <w:rsid w:val="0ED66241"/>
    <w:rsid w:val="0EE65D3D"/>
    <w:rsid w:val="0EFC067C"/>
    <w:rsid w:val="0F257E5C"/>
    <w:rsid w:val="0F265F0D"/>
    <w:rsid w:val="0F291AD8"/>
    <w:rsid w:val="0F685636"/>
    <w:rsid w:val="0F76187C"/>
    <w:rsid w:val="0F8109B2"/>
    <w:rsid w:val="0F862A78"/>
    <w:rsid w:val="0F92430B"/>
    <w:rsid w:val="0FB2696C"/>
    <w:rsid w:val="0FC24482"/>
    <w:rsid w:val="0FCA55AA"/>
    <w:rsid w:val="0FF111B5"/>
    <w:rsid w:val="0FFA0843"/>
    <w:rsid w:val="0FFF6C17"/>
    <w:rsid w:val="10234C88"/>
    <w:rsid w:val="102C62CD"/>
    <w:rsid w:val="103D098E"/>
    <w:rsid w:val="10430659"/>
    <w:rsid w:val="104465A7"/>
    <w:rsid w:val="10470B8B"/>
    <w:rsid w:val="10582BAF"/>
    <w:rsid w:val="1086783B"/>
    <w:rsid w:val="108828E9"/>
    <w:rsid w:val="108E6DDE"/>
    <w:rsid w:val="10BD6E80"/>
    <w:rsid w:val="10CF0A8A"/>
    <w:rsid w:val="10E76382"/>
    <w:rsid w:val="11047066"/>
    <w:rsid w:val="110B4FEA"/>
    <w:rsid w:val="114542EA"/>
    <w:rsid w:val="11474607"/>
    <w:rsid w:val="11581AF0"/>
    <w:rsid w:val="11721135"/>
    <w:rsid w:val="11B361D3"/>
    <w:rsid w:val="11B543D6"/>
    <w:rsid w:val="11CB41EF"/>
    <w:rsid w:val="11CF051A"/>
    <w:rsid w:val="11E26953"/>
    <w:rsid w:val="11F577F8"/>
    <w:rsid w:val="12042C2D"/>
    <w:rsid w:val="120525C7"/>
    <w:rsid w:val="120B2110"/>
    <w:rsid w:val="120D6D30"/>
    <w:rsid w:val="12295570"/>
    <w:rsid w:val="122F0542"/>
    <w:rsid w:val="123633C4"/>
    <w:rsid w:val="123F1DBA"/>
    <w:rsid w:val="12450813"/>
    <w:rsid w:val="12537C01"/>
    <w:rsid w:val="125807D5"/>
    <w:rsid w:val="12784E55"/>
    <w:rsid w:val="128A78E8"/>
    <w:rsid w:val="128C33F4"/>
    <w:rsid w:val="128F1D34"/>
    <w:rsid w:val="129E5142"/>
    <w:rsid w:val="12B87848"/>
    <w:rsid w:val="12DB364B"/>
    <w:rsid w:val="133A062E"/>
    <w:rsid w:val="1340738D"/>
    <w:rsid w:val="13487675"/>
    <w:rsid w:val="13640B53"/>
    <w:rsid w:val="136C563C"/>
    <w:rsid w:val="138061A8"/>
    <w:rsid w:val="138917D3"/>
    <w:rsid w:val="138D11BC"/>
    <w:rsid w:val="13985502"/>
    <w:rsid w:val="139D2FCC"/>
    <w:rsid w:val="13D844D6"/>
    <w:rsid w:val="13D84C83"/>
    <w:rsid w:val="13E22368"/>
    <w:rsid w:val="13E85087"/>
    <w:rsid w:val="13ED26D9"/>
    <w:rsid w:val="140F5B65"/>
    <w:rsid w:val="14250B93"/>
    <w:rsid w:val="142B0DF2"/>
    <w:rsid w:val="14314312"/>
    <w:rsid w:val="143A6A29"/>
    <w:rsid w:val="1441058C"/>
    <w:rsid w:val="144A726B"/>
    <w:rsid w:val="147324EE"/>
    <w:rsid w:val="14791565"/>
    <w:rsid w:val="147B4F6E"/>
    <w:rsid w:val="147E7A46"/>
    <w:rsid w:val="149462EA"/>
    <w:rsid w:val="149C0E51"/>
    <w:rsid w:val="14CA0176"/>
    <w:rsid w:val="151108B6"/>
    <w:rsid w:val="151E0D21"/>
    <w:rsid w:val="1547662A"/>
    <w:rsid w:val="1549616E"/>
    <w:rsid w:val="15550B09"/>
    <w:rsid w:val="155550C1"/>
    <w:rsid w:val="158174F7"/>
    <w:rsid w:val="15E42B6D"/>
    <w:rsid w:val="15F55CDD"/>
    <w:rsid w:val="162E0EFA"/>
    <w:rsid w:val="165C6EA3"/>
    <w:rsid w:val="16627CCD"/>
    <w:rsid w:val="166B3507"/>
    <w:rsid w:val="16AC7894"/>
    <w:rsid w:val="16B0068C"/>
    <w:rsid w:val="16C1697F"/>
    <w:rsid w:val="16D8637E"/>
    <w:rsid w:val="16F11890"/>
    <w:rsid w:val="1700127E"/>
    <w:rsid w:val="171B19B1"/>
    <w:rsid w:val="172872C1"/>
    <w:rsid w:val="172D40A7"/>
    <w:rsid w:val="174D6B2B"/>
    <w:rsid w:val="17790A16"/>
    <w:rsid w:val="17803DD0"/>
    <w:rsid w:val="178A3AD7"/>
    <w:rsid w:val="17907B2D"/>
    <w:rsid w:val="17914E49"/>
    <w:rsid w:val="17AD688C"/>
    <w:rsid w:val="17BD7AB1"/>
    <w:rsid w:val="17C24FCC"/>
    <w:rsid w:val="17CB4B74"/>
    <w:rsid w:val="17EF4099"/>
    <w:rsid w:val="18151D75"/>
    <w:rsid w:val="18166133"/>
    <w:rsid w:val="18242F87"/>
    <w:rsid w:val="185905C5"/>
    <w:rsid w:val="18592BA2"/>
    <w:rsid w:val="1871320D"/>
    <w:rsid w:val="187236F1"/>
    <w:rsid w:val="18861835"/>
    <w:rsid w:val="188B1530"/>
    <w:rsid w:val="18921717"/>
    <w:rsid w:val="18C92B8D"/>
    <w:rsid w:val="18D25736"/>
    <w:rsid w:val="18D80BAC"/>
    <w:rsid w:val="18DC7013"/>
    <w:rsid w:val="18E02502"/>
    <w:rsid w:val="18F87E64"/>
    <w:rsid w:val="18FA490E"/>
    <w:rsid w:val="190020B5"/>
    <w:rsid w:val="19005D72"/>
    <w:rsid w:val="19027544"/>
    <w:rsid w:val="192F739D"/>
    <w:rsid w:val="19432A0B"/>
    <w:rsid w:val="19442D38"/>
    <w:rsid w:val="19473B3A"/>
    <w:rsid w:val="195920BA"/>
    <w:rsid w:val="19717E07"/>
    <w:rsid w:val="19B65BB2"/>
    <w:rsid w:val="19BF78BE"/>
    <w:rsid w:val="19C82216"/>
    <w:rsid w:val="1A324F2D"/>
    <w:rsid w:val="1A462475"/>
    <w:rsid w:val="1A5667B5"/>
    <w:rsid w:val="1A584642"/>
    <w:rsid w:val="1A7B529E"/>
    <w:rsid w:val="1A81266B"/>
    <w:rsid w:val="1AB84FC9"/>
    <w:rsid w:val="1AFC71E0"/>
    <w:rsid w:val="1B012302"/>
    <w:rsid w:val="1B115D3C"/>
    <w:rsid w:val="1B117D77"/>
    <w:rsid w:val="1B1D4C62"/>
    <w:rsid w:val="1B1E0896"/>
    <w:rsid w:val="1B1E63A8"/>
    <w:rsid w:val="1B2B0170"/>
    <w:rsid w:val="1B4E448C"/>
    <w:rsid w:val="1B5966CE"/>
    <w:rsid w:val="1B6A11E1"/>
    <w:rsid w:val="1B7C20ED"/>
    <w:rsid w:val="1B807337"/>
    <w:rsid w:val="1BA41303"/>
    <w:rsid w:val="1BA47C58"/>
    <w:rsid w:val="1BAB2B15"/>
    <w:rsid w:val="1BAD4BBE"/>
    <w:rsid w:val="1BB80F43"/>
    <w:rsid w:val="1BBA2471"/>
    <w:rsid w:val="1BC170B5"/>
    <w:rsid w:val="1BC85289"/>
    <w:rsid w:val="1BE50AEA"/>
    <w:rsid w:val="1BF0529D"/>
    <w:rsid w:val="1BFD47AE"/>
    <w:rsid w:val="1C1A03D6"/>
    <w:rsid w:val="1C3829DD"/>
    <w:rsid w:val="1C5E2E84"/>
    <w:rsid w:val="1C7A06A1"/>
    <w:rsid w:val="1C7B4E1E"/>
    <w:rsid w:val="1C8D2352"/>
    <w:rsid w:val="1C9215E3"/>
    <w:rsid w:val="1C950175"/>
    <w:rsid w:val="1CCE3DB5"/>
    <w:rsid w:val="1CD1294F"/>
    <w:rsid w:val="1CD6156D"/>
    <w:rsid w:val="1CD822D6"/>
    <w:rsid w:val="1CEF4C58"/>
    <w:rsid w:val="1D0B2730"/>
    <w:rsid w:val="1D306A8D"/>
    <w:rsid w:val="1D385997"/>
    <w:rsid w:val="1D4969F2"/>
    <w:rsid w:val="1D4A40FA"/>
    <w:rsid w:val="1D52596D"/>
    <w:rsid w:val="1D6B0D1C"/>
    <w:rsid w:val="1D731D42"/>
    <w:rsid w:val="1D8F60F0"/>
    <w:rsid w:val="1D90436A"/>
    <w:rsid w:val="1D9F7263"/>
    <w:rsid w:val="1DC6020F"/>
    <w:rsid w:val="1DED6B6E"/>
    <w:rsid w:val="1DEE5D78"/>
    <w:rsid w:val="1DF60F39"/>
    <w:rsid w:val="1DF97E9A"/>
    <w:rsid w:val="1DFA2FBE"/>
    <w:rsid w:val="1E4009EB"/>
    <w:rsid w:val="1E69399D"/>
    <w:rsid w:val="1E9B64A9"/>
    <w:rsid w:val="1E9E3B22"/>
    <w:rsid w:val="1EC46074"/>
    <w:rsid w:val="1EC63D0B"/>
    <w:rsid w:val="1ED448B5"/>
    <w:rsid w:val="1EE24E87"/>
    <w:rsid w:val="1EE9555B"/>
    <w:rsid w:val="1EEA3840"/>
    <w:rsid w:val="1EF6744B"/>
    <w:rsid w:val="1F0B734A"/>
    <w:rsid w:val="1F1C5538"/>
    <w:rsid w:val="1F2914B1"/>
    <w:rsid w:val="1F8B5B22"/>
    <w:rsid w:val="1F946352"/>
    <w:rsid w:val="1F9C084C"/>
    <w:rsid w:val="1FA03CB2"/>
    <w:rsid w:val="1FA27BB2"/>
    <w:rsid w:val="1FBA368F"/>
    <w:rsid w:val="1FCB6058"/>
    <w:rsid w:val="1FE16A09"/>
    <w:rsid w:val="1FE720BF"/>
    <w:rsid w:val="1FE84A61"/>
    <w:rsid w:val="200B1900"/>
    <w:rsid w:val="201D20ED"/>
    <w:rsid w:val="20253A35"/>
    <w:rsid w:val="202D4470"/>
    <w:rsid w:val="20682E19"/>
    <w:rsid w:val="206F69E4"/>
    <w:rsid w:val="2079572D"/>
    <w:rsid w:val="208C1696"/>
    <w:rsid w:val="20A02D4A"/>
    <w:rsid w:val="20CC7143"/>
    <w:rsid w:val="20D302EF"/>
    <w:rsid w:val="20D67B15"/>
    <w:rsid w:val="20D7657A"/>
    <w:rsid w:val="20E17945"/>
    <w:rsid w:val="20E35802"/>
    <w:rsid w:val="20E92A4E"/>
    <w:rsid w:val="212705E9"/>
    <w:rsid w:val="21537F2D"/>
    <w:rsid w:val="21587586"/>
    <w:rsid w:val="217C2B77"/>
    <w:rsid w:val="2189369E"/>
    <w:rsid w:val="21B53414"/>
    <w:rsid w:val="21C41C8B"/>
    <w:rsid w:val="21D61C25"/>
    <w:rsid w:val="21DC63AC"/>
    <w:rsid w:val="21DE5BB1"/>
    <w:rsid w:val="21E757A3"/>
    <w:rsid w:val="22033642"/>
    <w:rsid w:val="22070A64"/>
    <w:rsid w:val="22151450"/>
    <w:rsid w:val="22466123"/>
    <w:rsid w:val="22630303"/>
    <w:rsid w:val="226E7CB6"/>
    <w:rsid w:val="229A342F"/>
    <w:rsid w:val="229D2F1C"/>
    <w:rsid w:val="22AB408F"/>
    <w:rsid w:val="22C4208A"/>
    <w:rsid w:val="22C62095"/>
    <w:rsid w:val="22EF476D"/>
    <w:rsid w:val="22F34BE0"/>
    <w:rsid w:val="23430E8A"/>
    <w:rsid w:val="23444AE3"/>
    <w:rsid w:val="2346472C"/>
    <w:rsid w:val="23484909"/>
    <w:rsid w:val="234A6E9B"/>
    <w:rsid w:val="236443E9"/>
    <w:rsid w:val="2388370D"/>
    <w:rsid w:val="23AD04D0"/>
    <w:rsid w:val="23B74CC3"/>
    <w:rsid w:val="23BA49E2"/>
    <w:rsid w:val="23D52DDB"/>
    <w:rsid w:val="23D55801"/>
    <w:rsid w:val="23E303FA"/>
    <w:rsid w:val="23E528DF"/>
    <w:rsid w:val="23EB7A36"/>
    <w:rsid w:val="24093402"/>
    <w:rsid w:val="240D009B"/>
    <w:rsid w:val="241843C2"/>
    <w:rsid w:val="24234153"/>
    <w:rsid w:val="24292561"/>
    <w:rsid w:val="243631E7"/>
    <w:rsid w:val="24575A93"/>
    <w:rsid w:val="245E76DC"/>
    <w:rsid w:val="246C42C1"/>
    <w:rsid w:val="246F2488"/>
    <w:rsid w:val="24834798"/>
    <w:rsid w:val="2488109E"/>
    <w:rsid w:val="24925F6E"/>
    <w:rsid w:val="249A04DC"/>
    <w:rsid w:val="249B2978"/>
    <w:rsid w:val="24AE6575"/>
    <w:rsid w:val="24AF24B6"/>
    <w:rsid w:val="24B403E6"/>
    <w:rsid w:val="25027A3A"/>
    <w:rsid w:val="250B703F"/>
    <w:rsid w:val="252E1698"/>
    <w:rsid w:val="252E3936"/>
    <w:rsid w:val="254C599E"/>
    <w:rsid w:val="255F7AD2"/>
    <w:rsid w:val="256D4FBD"/>
    <w:rsid w:val="25983879"/>
    <w:rsid w:val="25AC65CB"/>
    <w:rsid w:val="25C10BD8"/>
    <w:rsid w:val="25C4070B"/>
    <w:rsid w:val="26211AAB"/>
    <w:rsid w:val="2627224F"/>
    <w:rsid w:val="26507C71"/>
    <w:rsid w:val="26545851"/>
    <w:rsid w:val="26591772"/>
    <w:rsid w:val="265D1AB0"/>
    <w:rsid w:val="26636141"/>
    <w:rsid w:val="266D7C38"/>
    <w:rsid w:val="26AF587E"/>
    <w:rsid w:val="26B637CF"/>
    <w:rsid w:val="270F65EE"/>
    <w:rsid w:val="27100D65"/>
    <w:rsid w:val="27180E6A"/>
    <w:rsid w:val="271E393C"/>
    <w:rsid w:val="273129C9"/>
    <w:rsid w:val="27581696"/>
    <w:rsid w:val="276952FE"/>
    <w:rsid w:val="276F5A58"/>
    <w:rsid w:val="277736DA"/>
    <w:rsid w:val="277E4152"/>
    <w:rsid w:val="277F3A0F"/>
    <w:rsid w:val="278D3956"/>
    <w:rsid w:val="27976C14"/>
    <w:rsid w:val="279C1E19"/>
    <w:rsid w:val="27AA1E1F"/>
    <w:rsid w:val="27AA78E3"/>
    <w:rsid w:val="28224101"/>
    <w:rsid w:val="282E5980"/>
    <w:rsid w:val="28552BEE"/>
    <w:rsid w:val="2881704A"/>
    <w:rsid w:val="288325A9"/>
    <w:rsid w:val="28A231D5"/>
    <w:rsid w:val="28B34564"/>
    <w:rsid w:val="28BA4EF4"/>
    <w:rsid w:val="28C36373"/>
    <w:rsid w:val="290212B1"/>
    <w:rsid w:val="295B2E06"/>
    <w:rsid w:val="29647529"/>
    <w:rsid w:val="29772B0D"/>
    <w:rsid w:val="297B3BC8"/>
    <w:rsid w:val="298767E3"/>
    <w:rsid w:val="299916FE"/>
    <w:rsid w:val="29DA5C64"/>
    <w:rsid w:val="29EE4149"/>
    <w:rsid w:val="29F932D4"/>
    <w:rsid w:val="29FF7026"/>
    <w:rsid w:val="2A07553C"/>
    <w:rsid w:val="2A144790"/>
    <w:rsid w:val="2A1831C5"/>
    <w:rsid w:val="2A1934F7"/>
    <w:rsid w:val="2A4A0382"/>
    <w:rsid w:val="2A641987"/>
    <w:rsid w:val="2A895E70"/>
    <w:rsid w:val="2A9C5BA4"/>
    <w:rsid w:val="2AA02867"/>
    <w:rsid w:val="2AB357E7"/>
    <w:rsid w:val="2AB4622E"/>
    <w:rsid w:val="2ABE4B5D"/>
    <w:rsid w:val="2AC55DB1"/>
    <w:rsid w:val="2AE23CB6"/>
    <w:rsid w:val="2AE92DE3"/>
    <w:rsid w:val="2B101504"/>
    <w:rsid w:val="2B27775F"/>
    <w:rsid w:val="2B38484C"/>
    <w:rsid w:val="2B3F1FC6"/>
    <w:rsid w:val="2B512BED"/>
    <w:rsid w:val="2B553FBF"/>
    <w:rsid w:val="2B662976"/>
    <w:rsid w:val="2B7044F1"/>
    <w:rsid w:val="2B764DA8"/>
    <w:rsid w:val="2B8B29CF"/>
    <w:rsid w:val="2B994D83"/>
    <w:rsid w:val="2BB23B01"/>
    <w:rsid w:val="2BC22732"/>
    <w:rsid w:val="2BD74B6D"/>
    <w:rsid w:val="2BE82FB8"/>
    <w:rsid w:val="2BF20019"/>
    <w:rsid w:val="2BF51AC2"/>
    <w:rsid w:val="2C060BD6"/>
    <w:rsid w:val="2C0B5FFE"/>
    <w:rsid w:val="2C153562"/>
    <w:rsid w:val="2C217B90"/>
    <w:rsid w:val="2C30386D"/>
    <w:rsid w:val="2C534965"/>
    <w:rsid w:val="2C8D70F4"/>
    <w:rsid w:val="2CAE753C"/>
    <w:rsid w:val="2CE9215B"/>
    <w:rsid w:val="2CF109A0"/>
    <w:rsid w:val="2CF33B35"/>
    <w:rsid w:val="2CF617E0"/>
    <w:rsid w:val="2D0428D0"/>
    <w:rsid w:val="2D2D77D6"/>
    <w:rsid w:val="2D322E61"/>
    <w:rsid w:val="2D464E87"/>
    <w:rsid w:val="2D491FD9"/>
    <w:rsid w:val="2D4D1B93"/>
    <w:rsid w:val="2D6571BD"/>
    <w:rsid w:val="2DA81F46"/>
    <w:rsid w:val="2DBB723B"/>
    <w:rsid w:val="2DBD5D9B"/>
    <w:rsid w:val="2DC37DF1"/>
    <w:rsid w:val="2DCF5DE6"/>
    <w:rsid w:val="2E07088B"/>
    <w:rsid w:val="2E0D173F"/>
    <w:rsid w:val="2E241549"/>
    <w:rsid w:val="2E2B4689"/>
    <w:rsid w:val="2E574A68"/>
    <w:rsid w:val="2E7E70D9"/>
    <w:rsid w:val="2E825B76"/>
    <w:rsid w:val="2E90634E"/>
    <w:rsid w:val="2E9B3EA1"/>
    <w:rsid w:val="2E9D0DB5"/>
    <w:rsid w:val="2EBF6006"/>
    <w:rsid w:val="2EC658E5"/>
    <w:rsid w:val="2ED26383"/>
    <w:rsid w:val="2EE17FD5"/>
    <w:rsid w:val="2EFD69CD"/>
    <w:rsid w:val="2F0100CD"/>
    <w:rsid w:val="2F0B25ED"/>
    <w:rsid w:val="2F4A1FBC"/>
    <w:rsid w:val="2F5667C4"/>
    <w:rsid w:val="2F6278FB"/>
    <w:rsid w:val="2F6A70BE"/>
    <w:rsid w:val="2F71028B"/>
    <w:rsid w:val="2F984ABB"/>
    <w:rsid w:val="2FAF4760"/>
    <w:rsid w:val="2FB20729"/>
    <w:rsid w:val="2FB33030"/>
    <w:rsid w:val="2FBA5BE2"/>
    <w:rsid w:val="2FDE5A6F"/>
    <w:rsid w:val="2FE32412"/>
    <w:rsid w:val="30044B82"/>
    <w:rsid w:val="30127EE5"/>
    <w:rsid w:val="30217534"/>
    <w:rsid w:val="30341BC5"/>
    <w:rsid w:val="304A0BD0"/>
    <w:rsid w:val="30561692"/>
    <w:rsid w:val="306B2476"/>
    <w:rsid w:val="307D7830"/>
    <w:rsid w:val="3081782F"/>
    <w:rsid w:val="308B0DC1"/>
    <w:rsid w:val="30902265"/>
    <w:rsid w:val="309F6E50"/>
    <w:rsid w:val="30AA13BF"/>
    <w:rsid w:val="30AC1CB5"/>
    <w:rsid w:val="30F74F18"/>
    <w:rsid w:val="30FC0E53"/>
    <w:rsid w:val="31195802"/>
    <w:rsid w:val="311E23A7"/>
    <w:rsid w:val="31315F0B"/>
    <w:rsid w:val="314A6FDA"/>
    <w:rsid w:val="31710C6A"/>
    <w:rsid w:val="31926D16"/>
    <w:rsid w:val="31A253EC"/>
    <w:rsid w:val="31A60B9C"/>
    <w:rsid w:val="31AD22F3"/>
    <w:rsid w:val="31C21800"/>
    <w:rsid w:val="320570DF"/>
    <w:rsid w:val="321015EA"/>
    <w:rsid w:val="321B12F1"/>
    <w:rsid w:val="32236990"/>
    <w:rsid w:val="32275B49"/>
    <w:rsid w:val="324E226E"/>
    <w:rsid w:val="32530092"/>
    <w:rsid w:val="32691FEA"/>
    <w:rsid w:val="327D1A85"/>
    <w:rsid w:val="32961587"/>
    <w:rsid w:val="32977F80"/>
    <w:rsid w:val="32A7347D"/>
    <w:rsid w:val="32B15F25"/>
    <w:rsid w:val="32C31931"/>
    <w:rsid w:val="32C85796"/>
    <w:rsid w:val="32D4454C"/>
    <w:rsid w:val="32DB6743"/>
    <w:rsid w:val="32DF32CE"/>
    <w:rsid w:val="32F341BB"/>
    <w:rsid w:val="3322710C"/>
    <w:rsid w:val="33434A04"/>
    <w:rsid w:val="33491B35"/>
    <w:rsid w:val="334A7C35"/>
    <w:rsid w:val="334E1CB3"/>
    <w:rsid w:val="335C0F0C"/>
    <w:rsid w:val="3369554B"/>
    <w:rsid w:val="33721440"/>
    <w:rsid w:val="33726EA5"/>
    <w:rsid w:val="33754A6A"/>
    <w:rsid w:val="338640F4"/>
    <w:rsid w:val="338721FD"/>
    <w:rsid w:val="339F0E6C"/>
    <w:rsid w:val="33A5289E"/>
    <w:rsid w:val="33DC3730"/>
    <w:rsid w:val="344A5CAF"/>
    <w:rsid w:val="344D1A76"/>
    <w:rsid w:val="344E47BB"/>
    <w:rsid w:val="345B262C"/>
    <w:rsid w:val="34627E84"/>
    <w:rsid w:val="34761B3D"/>
    <w:rsid w:val="34867FFB"/>
    <w:rsid w:val="34897199"/>
    <w:rsid w:val="349D6091"/>
    <w:rsid w:val="34AF2210"/>
    <w:rsid w:val="34ED2EF3"/>
    <w:rsid w:val="34F66DAE"/>
    <w:rsid w:val="34FB6280"/>
    <w:rsid w:val="352D4948"/>
    <w:rsid w:val="35311D03"/>
    <w:rsid w:val="353944EF"/>
    <w:rsid w:val="354218B8"/>
    <w:rsid w:val="354E558D"/>
    <w:rsid w:val="35581E94"/>
    <w:rsid w:val="355A49D6"/>
    <w:rsid w:val="355D6522"/>
    <w:rsid w:val="35884C5D"/>
    <w:rsid w:val="35C6128B"/>
    <w:rsid w:val="35CA51B2"/>
    <w:rsid w:val="36064819"/>
    <w:rsid w:val="360C033F"/>
    <w:rsid w:val="360C0B7E"/>
    <w:rsid w:val="360E3D96"/>
    <w:rsid w:val="36112F3A"/>
    <w:rsid w:val="362F4D0A"/>
    <w:rsid w:val="366E3B27"/>
    <w:rsid w:val="36744FAD"/>
    <w:rsid w:val="36903A61"/>
    <w:rsid w:val="369F5F8F"/>
    <w:rsid w:val="36AD59FE"/>
    <w:rsid w:val="36CF0918"/>
    <w:rsid w:val="36D954F0"/>
    <w:rsid w:val="36E65D73"/>
    <w:rsid w:val="36EA3C82"/>
    <w:rsid w:val="36F1018B"/>
    <w:rsid w:val="3702372A"/>
    <w:rsid w:val="370666E5"/>
    <w:rsid w:val="370F1992"/>
    <w:rsid w:val="375657BF"/>
    <w:rsid w:val="37A604E3"/>
    <w:rsid w:val="37F4354B"/>
    <w:rsid w:val="37F63D3D"/>
    <w:rsid w:val="38063A45"/>
    <w:rsid w:val="380B5EAF"/>
    <w:rsid w:val="381024B9"/>
    <w:rsid w:val="38157C06"/>
    <w:rsid w:val="383A131B"/>
    <w:rsid w:val="383A4FDB"/>
    <w:rsid w:val="383F6A65"/>
    <w:rsid w:val="384F7078"/>
    <w:rsid w:val="385202B9"/>
    <w:rsid w:val="385F1A9D"/>
    <w:rsid w:val="38663D24"/>
    <w:rsid w:val="386760FE"/>
    <w:rsid w:val="38766B35"/>
    <w:rsid w:val="388552F4"/>
    <w:rsid w:val="389712F2"/>
    <w:rsid w:val="38C1207C"/>
    <w:rsid w:val="39004E1E"/>
    <w:rsid w:val="39012D62"/>
    <w:rsid w:val="390234B1"/>
    <w:rsid w:val="392221BF"/>
    <w:rsid w:val="39283CFF"/>
    <w:rsid w:val="393D67A4"/>
    <w:rsid w:val="39763510"/>
    <w:rsid w:val="39776003"/>
    <w:rsid w:val="397B0CFF"/>
    <w:rsid w:val="398630C2"/>
    <w:rsid w:val="398A0A67"/>
    <w:rsid w:val="399F5FBE"/>
    <w:rsid w:val="39A03524"/>
    <w:rsid w:val="39BB25EE"/>
    <w:rsid w:val="39C43445"/>
    <w:rsid w:val="39D81F8A"/>
    <w:rsid w:val="39E901AB"/>
    <w:rsid w:val="39F05C03"/>
    <w:rsid w:val="39F13C19"/>
    <w:rsid w:val="3A0156E4"/>
    <w:rsid w:val="3A242A2F"/>
    <w:rsid w:val="3A424959"/>
    <w:rsid w:val="3A517E64"/>
    <w:rsid w:val="3A6147B6"/>
    <w:rsid w:val="3A6F1D56"/>
    <w:rsid w:val="3A6F4969"/>
    <w:rsid w:val="3A8C0826"/>
    <w:rsid w:val="3A8D3267"/>
    <w:rsid w:val="3A9D5653"/>
    <w:rsid w:val="3AC32A96"/>
    <w:rsid w:val="3AD30754"/>
    <w:rsid w:val="3AF65E7B"/>
    <w:rsid w:val="3B09566E"/>
    <w:rsid w:val="3B0F2A50"/>
    <w:rsid w:val="3B3B6D13"/>
    <w:rsid w:val="3B4D5A5E"/>
    <w:rsid w:val="3B4F12B2"/>
    <w:rsid w:val="3B5878C5"/>
    <w:rsid w:val="3B730A2C"/>
    <w:rsid w:val="3B7D732B"/>
    <w:rsid w:val="3B8D15A9"/>
    <w:rsid w:val="3B9B2891"/>
    <w:rsid w:val="3BAF5FC3"/>
    <w:rsid w:val="3BB7791A"/>
    <w:rsid w:val="3BD20289"/>
    <w:rsid w:val="3C0A04BB"/>
    <w:rsid w:val="3C6766BF"/>
    <w:rsid w:val="3C7057AE"/>
    <w:rsid w:val="3C9F6981"/>
    <w:rsid w:val="3CA950B1"/>
    <w:rsid w:val="3CA97F92"/>
    <w:rsid w:val="3CC00609"/>
    <w:rsid w:val="3CE145D1"/>
    <w:rsid w:val="3CE47AC0"/>
    <w:rsid w:val="3CE47D13"/>
    <w:rsid w:val="3CE551AC"/>
    <w:rsid w:val="3CE91CF5"/>
    <w:rsid w:val="3D0C65E9"/>
    <w:rsid w:val="3D0D49D1"/>
    <w:rsid w:val="3D1022FC"/>
    <w:rsid w:val="3D307327"/>
    <w:rsid w:val="3D4B442E"/>
    <w:rsid w:val="3D657EFC"/>
    <w:rsid w:val="3D8533F6"/>
    <w:rsid w:val="3D8D3850"/>
    <w:rsid w:val="3D9D44EA"/>
    <w:rsid w:val="3DA218C9"/>
    <w:rsid w:val="3DB75277"/>
    <w:rsid w:val="3DB83E47"/>
    <w:rsid w:val="3DC02FE7"/>
    <w:rsid w:val="3DC70F93"/>
    <w:rsid w:val="3DCD5D1F"/>
    <w:rsid w:val="3DD91A8E"/>
    <w:rsid w:val="3E066C7E"/>
    <w:rsid w:val="3E20439F"/>
    <w:rsid w:val="3E35159F"/>
    <w:rsid w:val="3E593ECA"/>
    <w:rsid w:val="3E697264"/>
    <w:rsid w:val="3E786C20"/>
    <w:rsid w:val="3EAF04AC"/>
    <w:rsid w:val="3EB11A19"/>
    <w:rsid w:val="3EB7106D"/>
    <w:rsid w:val="3EC7628C"/>
    <w:rsid w:val="3ECC37DD"/>
    <w:rsid w:val="3ECF7E9E"/>
    <w:rsid w:val="3F156156"/>
    <w:rsid w:val="3F272B84"/>
    <w:rsid w:val="3F5A50A4"/>
    <w:rsid w:val="3F8B2D0B"/>
    <w:rsid w:val="3F9C3D59"/>
    <w:rsid w:val="3FA46EF8"/>
    <w:rsid w:val="3FD94446"/>
    <w:rsid w:val="3FD9721D"/>
    <w:rsid w:val="400C2D1C"/>
    <w:rsid w:val="40537FA2"/>
    <w:rsid w:val="40542227"/>
    <w:rsid w:val="405B7282"/>
    <w:rsid w:val="40603D01"/>
    <w:rsid w:val="4064574F"/>
    <w:rsid w:val="407118A6"/>
    <w:rsid w:val="408535F2"/>
    <w:rsid w:val="409018AF"/>
    <w:rsid w:val="40946174"/>
    <w:rsid w:val="4099443B"/>
    <w:rsid w:val="409D5D7A"/>
    <w:rsid w:val="409E7E32"/>
    <w:rsid w:val="40CD0758"/>
    <w:rsid w:val="40D3191C"/>
    <w:rsid w:val="40D75F92"/>
    <w:rsid w:val="40E50F02"/>
    <w:rsid w:val="40E51C35"/>
    <w:rsid w:val="41181D29"/>
    <w:rsid w:val="41281B19"/>
    <w:rsid w:val="41303C39"/>
    <w:rsid w:val="414D66CA"/>
    <w:rsid w:val="414F74CB"/>
    <w:rsid w:val="415937AA"/>
    <w:rsid w:val="415B6654"/>
    <w:rsid w:val="417C2EE6"/>
    <w:rsid w:val="418441E5"/>
    <w:rsid w:val="41B026B0"/>
    <w:rsid w:val="41C92B51"/>
    <w:rsid w:val="41CC6027"/>
    <w:rsid w:val="41D301C3"/>
    <w:rsid w:val="41D623AF"/>
    <w:rsid w:val="41E359F1"/>
    <w:rsid w:val="41E618AB"/>
    <w:rsid w:val="41E974C9"/>
    <w:rsid w:val="41F875EB"/>
    <w:rsid w:val="41FC7E88"/>
    <w:rsid w:val="422F49B3"/>
    <w:rsid w:val="423A53A8"/>
    <w:rsid w:val="424C43EF"/>
    <w:rsid w:val="42596511"/>
    <w:rsid w:val="4276665E"/>
    <w:rsid w:val="427A1E5D"/>
    <w:rsid w:val="42802614"/>
    <w:rsid w:val="42946BEA"/>
    <w:rsid w:val="42996BE9"/>
    <w:rsid w:val="42B01704"/>
    <w:rsid w:val="42B715D2"/>
    <w:rsid w:val="42CC4106"/>
    <w:rsid w:val="42D23D2A"/>
    <w:rsid w:val="42E45DC4"/>
    <w:rsid w:val="42FD4492"/>
    <w:rsid w:val="42FE5908"/>
    <w:rsid w:val="43131355"/>
    <w:rsid w:val="431C567C"/>
    <w:rsid w:val="4321248F"/>
    <w:rsid w:val="43296C01"/>
    <w:rsid w:val="433858A5"/>
    <w:rsid w:val="4340643A"/>
    <w:rsid w:val="434F3389"/>
    <w:rsid w:val="43536240"/>
    <w:rsid w:val="43546230"/>
    <w:rsid w:val="435E161E"/>
    <w:rsid w:val="435E4320"/>
    <w:rsid w:val="437E746D"/>
    <w:rsid w:val="43803870"/>
    <w:rsid w:val="43920E07"/>
    <w:rsid w:val="43951B04"/>
    <w:rsid w:val="439954D3"/>
    <w:rsid w:val="43A464AB"/>
    <w:rsid w:val="43B934F7"/>
    <w:rsid w:val="43BB0E16"/>
    <w:rsid w:val="43CE3AB2"/>
    <w:rsid w:val="43D305E5"/>
    <w:rsid w:val="43E82799"/>
    <w:rsid w:val="440C6A86"/>
    <w:rsid w:val="440D3267"/>
    <w:rsid w:val="442C6B46"/>
    <w:rsid w:val="44421BDF"/>
    <w:rsid w:val="444E7AB7"/>
    <w:rsid w:val="44532839"/>
    <w:rsid w:val="44655B95"/>
    <w:rsid w:val="44976919"/>
    <w:rsid w:val="44984355"/>
    <w:rsid w:val="44A8226D"/>
    <w:rsid w:val="44CF468B"/>
    <w:rsid w:val="44E2016E"/>
    <w:rsid w:val="44F92FED"/>
    <w:rsid w:val="44FF3496"/>
    <w:rsid w:val="45187FCE"/>
    <w:rsid w:val="45424CC8"/>
    <w:rsid w:val="45432ED5"/>
    <w:rsid w:val="456934CB"/>
    <w:rsid w:val="4587576E"/>
    <w:rsid w:val="45A95E56"/>
    <w:rsid w:val="45DE0CA6"/>
    <w:rsid w:val="45DF6DFC"/>
    <w:rsid w:val="45E92D58"/>
    <w:rsid w:val="4601483F"/>
    <w:rsid w:val="4631041E"/>
    <w:rsid w:val="46576784"/>
    <w:rsid w:val="465832C2"/>
    <w:rsid w:val="466A323F"/>
    <w:rsid w:val="466A3389"/>
    <w:rsid w:val="46760020"/>
    <w:rsid w:val="46857840"/>
    <w:rsid w:val="469D2EE1"/>
    <w:rsid w:val="46A7659A"/>
    <w:rsid w:val="46CA0403"/>
    <w:rsid w:val="46DC4EDC"/>
    <w:rsid w:val="46F722E3"/>
    <w:rsid w:val="47077001"/>
    <w:rsid w:val="471A5648"/>
    <w:rsid w:val="4723437D"/>
    <w:rsid w:val="472A4785"/>
    <w:rsid w:val="472C5380"/>
    <w:rsid w:val="4734684B"/>
    <w:rsid w:val="476A5FE9"/>
    <w:rsid w:val="476E73D5"/>
    <w:rsid w:val="47966CBC"/>
    <w:rsid w:val="479743CD"/>
    <w:rsid w:val="47A105C3"/>
    <w:rsid w:val="47A5053C"/>
    <w:rsid w:val="47A56D93"/>
    <w:rsid w:val="47C4015E"/>
    <w:rsid w:val="47CE3316"/>
    <w:rsid w:val="47DF48FA"/>
    <w:rsid w:val="47E81FD1"/>
    <w:rsid w:val="47E86474"/>
    <w:rsid w:val="482079C8"/>
    <w:rsid w:val="483B09CE"/>
    <w:rsid w:val="48403BBB"/>
    <w:rsid w:val="48567FBE"/>
    <w:rsid w:val="485D4A73"/>
    <w:rsid w:val="48903FD0"/>
    <w:rsid w:val="48C5540E"/>
    <w:rsid w:val="49001E86"/>
    <w:rsid w:val="4903354C"/>
    <w:rsid w:val="49170022"/>
    <w:rsid w:val="491F1DB5"/>
    <w:rsid w:val="491F6ADB"/>
    <w:rsid w:val="49450D2C"/>
    <w:rsid w:val="49576275"/>
    <w:rsid w:val="498168D9"/>
    <w:rsid w:val="498F101A"/>
    <w:rsid w:val="49996928"/>
    <w:rsid w:val="49B42A52"/>
    <w:rsid w:val="49B84C30"/>
    <w:rsid w:val="49CA6B4B"/>
    <w:rsid w:val="49CB2C12"/>
    <w:rsid w:val="49E00E78"/>
    <w:rsid w:val="49F64E88"/>
    <w:rsid w:val="49FF2065"/>
    <w:rsid w:val="4A02184E"/>
    <w:rsid w:val="4A4821B9"/>
    <w:rsid w:val="4A5E2A9C"/>
    <w:rsid w:val="4A632656"/>
    <w:rsid w:val="4A725C9D"/>
    <w:rsid w:val="4A8000DF"/>
    <w:rsid w:val="4A887463"/>
    <w:rsid w:val="4AAD521B"/>
    <w:rsid w:val="4AB30EDE"/>
    <w:rsid w:val="4AB800F0"/>
    <w:rsid w:val="4ACE77F7"/>
    <w:rsid w:val="4ACF2867"/>
    <w:rsid w:val="4B1E0524"/>
    <w:rsid w:val="4B341F77"/>
    <w:rsid w:val="4B7156DF"/>
    <w:rsid w:val="4B77489C"/>
    <w:rsid w:val="4B7D207A"/>
    <w:rsid w:val="4B875EB6"/>
    <w:rsid w:val="4B94520F"/>
    <w:rsid w:val="4B9D25BB"/>
    <w:rsid w:val="4B9E12F2"/>
    <w:rsid w:val="4BC20D72"/>
    <w:rsid w:val="4BD333DE"/>
    <w:rsid w:val="4BE967D6"/>
    <w:rsid w:val="4C3E6663"/>
    <w:rsid w:val="4C4157ED"/>
    <w:rsid w:val="4C4F212A"/>
    <w:rsid w:val="4C583BC9"/>
    <w:rsid w:val="4C6514B0"/>
    <w:rsid w:val="4C7D1FFD"/>
    <w:rsid w:val="4C907B89"/>
    <w:rsid w:val="4CC21B1C"/>
    <w:rsid w:val="4CD81B01"/>
    <w:rsid w:val="4CDE2D5F"/>
    <w:rsid w:val="4CE84A8B"/>
    <w:rsid w:val="4CF5763E"/>
    <w:rsid w:val="4D010FAA"/>
    <w:rsid w:val="4D0A0C4A"/>
    <w:rsid w:val="4D1D67F6"/>
    <w:rsid w:val="4D217F05"/>
    <w:rsid w:val="4D330192"/>
    <w:rsid w:val="4D3F7CBF"/>
    <w:rsid w:val="4D95480F"/>
    <w:rsid w:val="4D9C4D4C"/>
    <w:rsid w:val="4D9D560B"/>
    <w:rsid w:val="4DA66F14"/>
    <w:rsid w:val="4DC46301"/>
    <w:rsid w:val="4DCD50C4"/>
    <w:rsid w:val="4DFB6C46"/>
    <w:rsid w:val="4DFE3CC8"/>
    <w:rsid w:val="4E130E34"/>
    <w:rsid w:val="4E2462A3"/>
    <w:rsid w:val="4E313C6D"/>
    <w:rsid w:val="4E491667"/>
    <w:rsid w:val="4E4E418E"/>
    <w:rsid w:val="4E4E7182"/>
    <w:rsid w:val="4E551D06"/>
    <w:rsid w:val="4EA77602"/>
    <w:rsid w:val="4EC32721"/>
    <w:rsid w:val="4EC9737A"/>
    <w:rsid w:val="4ECA4C11"/>
    <w:rsid w:val="4EDA40B7"/>
    <w:rsid w:val="4EFF12CC"/>
    <w:rsid w:val="4F0A7123"/>
    <w:rsid w:val="4F1526F7"/>
    <w:rsid w:val="4F2A3762"/>
    <w:rsid w:val="4F2D7361"/>
    <w:rsid w:val="4F2E0DB1"/>
    <w:rsid w:val="4F2E2590"/>
    <w:rsid w:val="4F3B21A6"/>
    <w:rsid w:val="4F3E2633"/>
    <w:rsid w:val="4F534CF1"/>
    <w:rsid w:val="4F5D1544"/>
    <w:rsid w:val="4F7227F4"/>
    <w:rsid w:val="4FBB70EF"/>
    <w:rsid w:val="4FD41C1D"/>
    <w:rsid w:val="4FE52ABE"/>
    <w:rsid w:val="4FED2322"/>
    <w:rsid w:val="4FF430A3"/>
    <w:rsid w:val="4FFD53C6"/>
    <w:rsid w:val="503D1B16"/>
    <w:rsid w:val="5074268E"/>
    <w:rsid w:val="508E47DC"/>
    <w:rsid w:val="50A653A6"/>
    <w:rsid w:val="50A74391"/>
    <w:rsid w:val="50AD4642"/>
    <w:rsid w:val="50AE3F83"/>
    <w:rsid w:val="50AF332F"/>
    <w:rsid w:val="50BB64D4"/>
    <w:rsid w:val="50CF7A4B"/>
    <w:rsid w:val="50EA4605"/>
    <w:rsid w:val="50EF6475"/>
    <w:rsid w:val="512C1180"/>
    <w:rsid w:val="5137564E"/>
    <w:rsid w:val="515649F7"/>
    <w:rsid w:val="515C0CB9"/>
    <w:rsid w:val="51606F67"/>
    <w:rsid w:val="51767882"/>
    <w:rsid w:val="519D7D9F"/>
    <w:rsid w:val="51A56C12"/>
    <w:rsid w:val="51AF6428"/>
    <w:rsid w:val="51C5065E"/>
    <w:rsid w:val="51CB4FD8"/>
    <w:rsid w:val="51D65E39"/>
    <w:rsid w:val="51F10280"/>
    <w:rsid w:val="520923F4"/>
    <w:rsid w:val="5211020B"/>
    <w:rsid w:val="522335F5"/>
    <w:rsid w:val="5259519B"/>
    <w:rsid w:val="52734C27"/>
    <w:rsid w:val="527F4DDE"/>
    <w:rsid w:val="528354D8"/>
    <w:rsid w:val="529E7DC9"/>
    <w:rsid w:val="52A1157D"/>
    <w:rsid w:val="52BC5299"/>
    <w:rsid w:val="52BE3F2B"/>
    <w:rsid w:val="52DB7D52"/>
    <w:rsid w:val="52DF1808"/>
    <w:rsid w:val="52EB4548"/>
    <w:rsid w:val="53042AF4"/>
    <w:rsid w:val="53046E5C"/>
    <w:rsid w:val="531F5861"/>
    <w:rsid w:val="532452B2"/>
    <w:rsid w:val="5325692F"/>
    <w:rsid w:val="532C40B8"/>
    <w:rsid w:val="532F3685"/>
    <w:rsid w:val="53312062"/>
    <w:rsid w:val="533D3764"/>
    <w:rsid w:val="53570BE3"/>
    <w:rsid w:val="535B4CF0"/>
    <w:rsid w:val="539C014A"/>
    <w:rsid w:val="53D53067"/>
    <w:rsid w:val="53DB2671"/>
    <w:rsid w:val="53DF21E1"/>
    <w:rsid w:val="53E21FCA"/>
    <w:rsid w:val="53FB1D4F"/>
    <w:rsid w:val="5400093A"/>
    <w:rsid w:val="540F7BC3"/>
    <w:rsid w:val="54173BA7"/>
    <w:rsid w:val="542756A8"/>
    <w:rsid w:val="542D696A"/>
    <w:rsid w:val="54353513"/>
    <w:rsid w:val="543E150A"/>
    <w:rsid w:val="544C0EC8"/>
    <w:rsid w:val="54585672"/>
    <w:rsid w:val="54792823"/>
    <w:rsid w:val="54860D8B"/>
    <w:rsid w:val="54B53687"/>
    <w:rsid w:val="54F93614"/>
    <w:rsid w:val="551E54F0"/>
    <w:rsid w:val="55244285"/>
    <w:rsid w:val="552C0249"/>
    <w:rsid w:val="55411377"/>
    <w:rsid w:val="55477DF6"/>
    <w:rsid w:val="554A3840"/>
    <w:rsid w:val="5569348D"/>
    <w:rsid w:val="55992746"/>
    <w:rsid w:val="55C2530E"/>
    <w:rsid w:val="55EB2CB7"/>
    <w:rsid w:val="55FA1920"/>
    <w:rsid w:val="55FB295D"/>
    <w:rsid w:val="55FD4DC8"/>
    <w:rsid w:val="5614541B"/>
    <w:rsid w:val="561E32EC"/>
    <w:rsid w:val="563A49BB"/>
    <w:rsid w:val="563C1C71"/>
    <w:rsid w:val="564113F3"/>
    <w:rsid w:val="565E43EA"/>
    <w:rsid w:val="566A18BC"/>
    <w:rsid w:val="568B03C9"/>
    <w:rsid w:val="569549B7"/>
    <w:rsid w:val="569B59A6"/>
    <w:rsid w:val="56A22F6E"/>
    <w:rsid w:val="56A26C01"/>
    <w:rsid w:val="56BA3B21"/>
    <w:rsid w:val="56C20E52"/>
    <w:rsid w:val="56EB365B"/>
    <w:rsid w:val="56F00AC2"/>
    <w:rsid w:val="57132F95"/>
    <w:rsid w:val="57135F32"/>
    <w:rsid w:val="572D56F6"/>
    <w:rsid w:val="57300263"/>
    <w:rsid w:val="57424D8B"/>
    <w:rsid w:val="574D7792"/>
    <w:rsid w:val="57642833"/>
    <w:rsid w:val="57645DA8"/>
    <w:rsid w:val="57653378"/>
    <w:rsid w:val="576A4386"/>
    <w:rsid w:val="57817915"/>
    <w:rsid w:val="57824F33"/>
    <w:rsid w:val="578568C0"/>
    <w:rsid w:val="5798051C"/>
    <w:rsid w:val="57B7551B"/>
    <w:rsid w:val="57D80949"/>
    <w:rsid w:val="57D87D44"/>
    <w:rsid w:val="57E026C2"/>
    <w:rsid w:val="57FF4FE0"/>
    <w:rsid w:val="5803166F"/>
    <w:rsid w:val="58430210"/>
    <w:rsid w:val="58596FF9"/>
    <w:rsid w:val="5863214C"/>
    <w:rsid w:val="58717162"/>
    <w:rsid w:val="587E6229"/>
    <w:rsid w:val="58820CF4"/>
    <w:rsid w:val="5886138F"/>
    <w:rsid w:val="5886561A"/>
    <w:rsid w:val="589A70FA"/>
    <w:rsid w:val="58B51B98"/>
    <w:rsid w:val="58ED1A4E"/>
    <w:rsid w:val="58F70636"/>
    <w:rsid w:val="59274E7B"/>
    <w:rsid w:val="592A448E"/>
    <w:rsid w:val="59493C33"/>
    <w:rsid w:val="594D6137"/>
    <w:rsid w:val="59783547"/>
    <w:rsid w:val="597C767D"/>
    <w:rsid w:val="598B6C60"/>
    <w:rsid w:val="599A24D6"/>
    <w:rsid w:val="59DA3B15"/>
    <w:rsid w:val="59DA4430"/>
    <w:rsid w:val="59DE164A"/>
    <w:rsid w:val="5A145B03"/>
    <w:rsid w:val="5A1A6894"/>
    <w:rsid w:val="5A2B12B6"/>
    <w:rsid w:val="5A3C4D01"/>
    <w:rsid w:val="5A3C7FD0"/>
    <w:rsid w:val="5A400973"/>
    <w:rsid w:val="5A44572C"/>
    <w:rsid w:val="5A5A0B0C"/>
    <w:rsid w:val="5A93401E"/>
    <w:rsid w:val="5AA549B2"/>
    <w:rsid w:val="5AAC0ACE"/>
    <w:rsid w:val="5AB0697E"/>
    <w:rsid w:val="5AB47560"/>
    <w:rsid w:val="5B0609B8"/>
    <w:rsid w:val="5B2858FF"/>
    <w:rsid w:val="5B3C6463"/>
    <w:rsid w:val="5B5104F9"/>
    <w:rsid w:val="5B6E1183"/>
    <w:rsid w:val="5B782E31"/>
    <w:rsid w:val="5B977FA5"/>
    <w:rsid w:val="5BA1079C"/>
    <w:rsid w:val="5BA82CEF"/>
    <w:rsid w:val="5BAC4E3A"/>
    <w:rsid w:val="5BB94E75"/>
    <w:rsid w:val="5BBC6C4B"/>
    <w:rsid w:val="5BC03CC5"/>
    <w:rsid w:val="5BC35C41"/>
    <w:rsid w:val="5BF32F12"/>
    <w:rsid w:val="5BFC424E"/>
    <w:rsid w:val="5BFC6A45"/>
    <w:rsid w:val="5BFE6CB5"/>
    <w:rsid w:val="5C0D6ACB"/>
    <w:rsid w:val="5C132561"/>
    <w:rsid w:val="5C183ED9"/>
    <w:rsid w:val="5C272751"/>
    <w:rsid w:val="5C362AF4"/>
    <w:rsid w:val="5C3D09D4"/>
    <w:rsid w:val="5C3E4720"/>
    <w:rsid w:val="5C526BB4"/>
    <w:rsid w:val="5C68420D"/>
    <w:rsid w:val="5C76775B"/>
    <w:rsid w:val="5C860366"/>
    <w:rsid w:val="5C874805"/>
    <w:rsid w:val="5C8B5219"/>
    <w:rsid w:val="5C985F89"/>
    <w:rsid w:val="5CD17909"/>
    <w:rsid w:val="5CE3584D"/>
    <w:rsid w:val="5CE86655"/>
    <w:rsid w:val="5CF0479A"/>
    <w:rsid w:val="5D165361"/>
    <w:rsid w:val="5D501370"/>
    <w:rsid w:val="5D5C5B59"/>
    <w:rsid w:val="5D664D12"/>
    <w:rsid w:val="5D6C2195"/>
    <w:rsid w:val="5D8A2A3E"/>
    <w:rsid w:val="5D9A31DD"/>
    <w:rsid w:val="5DC50F95"/>
    <w:rsid w:val="5DD07349"/>
    <w:rsid w:val="5DD514C0"/>
    <w:rsid w:val="5DF83F4A"/>
    <w:rsid w:val="5E074110"/>
    <w:rsid w:val="5E075C5B"/>
    <w:rsid w:val="5E30314D"/>
    <w:rsid w:val="5E377542"/>
    <w:rsid w:val="5E3909A9"/>
    <w:rsid w:val="5E4C2575"/>
    <w:rsid w:val="5E7B4EF1"/>
    <w:rsid w:val="5E8C454C"/>
    <w:rsid w:val="5E9B1166"/>
    <w:rsid w:val="5EAF2742"/>
    <w:rsid w:val="5EC52109"/>
    <w:rsid w:val="5EDC6635"/>
    <w:rsid w:val="5EDF242A"/>
    <w:rsid w:val="5EEC4CC9"/>
    <w:rsid w:val="5F057C39"/>
    <w:rsid w:val="5F1D2C2C"/>
    <w:rsid w:val="5F294C7B"/>
    <w:rsid w:val="5F300244"/>
    <w:rsid w:val="5F376244"/>
    <w:rsid w:val="5F387DD8"/>
    <w:rsid w:val="5F610F9A"/>
    <w:rsid w:val="5F9B478A"/>
    <w:rsid w:val="5F9F5213"/>
    <w:rsid w:val="5FC21492"/>
    <w:rsid w:val="5FDF2F66"/>
    <w:rsid w:val="5FE34F6C"/>
    <w:rsid w:val="5FFF0B49"/>
    <w:rsid w:val="600126E8"/>
    <w:rsid w:val="600F713A"/>
    <w:rsid w:val="60133980"/>
    <w:rsid w:val="60221285"/>
    <w:rsid w:val="60442474"/>
    <w:rsid w:val="605B2C60"/>
    <w:rsid w:val="607262A7"/>
    <w:rsid w:val="6074075C"/>
    <w:rsid w:val="607D5362"/>
    <w:rsid w:val="607F2085"/>
    <w:rsid w:val="60867604"/>
    <w:rsid w:val="60943F1E"/>
    <w:rsid w:val="60984DEA"/>
    <w:rsid w:val="609B6985"/>
    <w:rsid w:val="609C2468"/>
    <w:rsid w:val="60B36BF2"/>
    <w:rsid w:val="60C50CA9"/>
    <w:rsid w:val="60F55141"/>
    <w:rsid w:val="60FE6DBB"/>
    <w:rsid w:val="6137101A"/>
    <w:rsid w:val="613A21EB"/>
    <w:rsid w:val="613E1396"/>
    <w:rsid w:val="61B42655"/>
    <w:rsid w:val="61B64AE6"/>
    <w:rsid w:val="61E34F3D"/>
    <w:rsid w:val="61EA38D4"/>
    <w:rsid w:val="61EB04E9"/>
    <w:rsid w:val="62046334"/>
    <w:rsid w:val="6213162C"/>
    <w:rsid w:val="6224761B"/>
    <w:rsid w:val="6228517F"/>
    <w:rsid w:val="622B7208"/>
    <w:rsid w:val="622C52DC"/>
    <w:rsid w:val="622F4266"/>
    <w:rsid w:val="62462A72"/>
    <w:rsid w:val="624677D1"/>
    <w:rsid w:val="624C3685"/>
    <w:rsid w:val="62650403"/>
    <w:rsid w:val="627C3CEC"/>
    <w:rsid w:val="628473A8"/>
    <w:rsid w:val="62877B78"/>
    <w:rsid w:val="62884045"/>
    <w:rsid w:val="62957F7C"/>
    <w:rsid w:val="63030F14"/>
    <w:rsid w:val="632E513F"/>
    <w:rsid w:val="636173F7"/>
    <w:rsid w:val="63E9320C"/>
    <w:rsid w:val="64090C05"/>
    <w:rsid w:val="64541116"/>
    <w:rsid w:val="646E271F"/>
    <w:rsid w:val="647608C3"/>
    <w:rsid w:val="64794284"/>
    <w:rsid w:val="6488223E"/>
    <w:rsid w:val="64A036C7"/>
    <w:rsid w:val="64DC2AF9"/>
    <w:rsid w:val="64EC5F80"/>
    <w:rsid w:val="653D6D7E"/>
    <w:rsid w:val="65A12770"/>
    <w:rsid w:val="65AA5825"/>
    <w:rsid w:val="65D74FDB"/>
    <w:rsid w:val="65DE0E3B"/>
    <w:rsid w:val="65E3463F"/>
    <w:rsid w:val="661462F7"/>
    <w:rsid w:val="661B1629"/>
    <w:rsid w:val="661D3CEB"/>
    <w:rsid w:val="66331F4E"/>
    <w:rsid w:val="664743D7"/>
    <w:rsid w:val="666D1DE3"/>
    <w:rsid w:val="668458AE"/>
    <w:rsid w:val="669B001E"/>
    <w:rsid w:val="66A6148B"/>
    <w:rsid w:val="66B53389"/>
    <w:rsid w:val="66B60F58"/>
    <w:rsid w:val="66BB66F3"/>
    <w:rsid w:val="66E16557"/>
    <w:rsid w:val="66E30E48"/>
    <w:rsid w:val="66FD3032"/>
    <w:rsid w:val="67010AE3"/>
    <w:rsid w:val="6722281C"/>
    <w:rsid w:val="672F2586"/>
    <w:rsid w:val="67667090"/>
    <w:rsid w:val="67685576"/>
    <w:rsid w:val="67761366"/>
    <w:rsid w:val="67873ACE"/>
    <w:rsid w:val="679E0CF7"/>
    <w:rsid w:val="67A62374"/>
    <w:rsid w:val="67C373D8"/>
    <w:rsid w:val="67D14D5D"/>
    <w:rsid w:val="67F82D86"/>
    <w:rsid w:val="67FD6785"/>
    <w:rsid w:val="68002120"/>
    <w:rsid w:val="680A0EA3"/>
    <w:rsid w:val="680D1350"/>
    <w:rsid w:val="68283B33"/>
    <w:rsid w:val="684F3C7A"/>
    <w:rsid w:val="68731EA2"/>
    <w:rsid w:val="68792802"/>
    <w:rsid w:val="68884A81"/>
    <w:rsid w:val="68A468B0"/>
    <w:rsid w:val="68AB5DF2"/>
    <w:rsid w:val="68B0223F"/>
    <w:rsid w:val="68E16A8B"/>
    <w:rsid w:val="68E814B4"/>
    <w:rsid w:val="68F91EAB"/>
    <w:rsid w:val="69015F65"/>
    <w:rsid w:val="69154D60"/>
    <w:rsid w:val="69391248"/>
    <w:rsid w:val="694A6DBA"/>
    <w:rsid w:val="694B7999"/>
    <w:rsid w:val="69561669"/>
    <w:rsid w:val="695E1C9B"/>
    <w:rsid w:val="697649D8"/>
    <w:rsid w:val="69BF503E"/>
    <w:rsid w:val="69CD7FDE"/>
    <w:rsid w:val="6A1567FD"/>
    <w:rsid w:val="6A2268B6"/>
    <w:rsid w:val="6A3828E1"/>
    <w:rsid w:val="6A3E3186"/>
    <w:rsid w:val="6A517405"/>
    <w:rsid w:val="6A964D1C"/>
    <w:rsid w:val="6AD95DA6"/>
    <w:rsid w:val="6AE2354A"/>
    <w:rsid w:val="6AF83AA5"/>
    <w:rsid w:val="6B215C24"/>
    <w:rsid w:val="6B22477C"/>
    <w:rsid w:val="6B275FB9"/>
    <w:rsid w:val="6B277886"/>
    <w:rsid w:val="6B320A31"/>
    <w:rsid w:val="6B432C49"/>
    <w:rsid w:val="6B491DA4"/>
    <w:rsid w:val="6B4C5855"/>
    <w:rsid w:val="6B5B4BE4"/>
    <w:rsid w:val="6B5D28FD"/>
    <w:rsid w:val="6B5E4D2E"/>
    <w:rsid w:val="6B64270F"/>
    <w:rsid w:val="6B7A6816"/>
    <w:rsid w:val="6BAE35C5"/>
    <w:rsid w:val="6BC45F99"/>
    <w:rsid w:val="6BE116D3"/>
    <w:rsid w:val="6BE8306A"/>
    <w:rsid w:val="6C2A7865"/>
    <w:rsid w:val="6C302F68"/>
    <w:rsid w:val="6C4660BB"/>
    <w:rsid w:val="6C530787"/>
    <w:rsid w:val="6C6367C2"/>
    <w:rsid w:val="6C6A54FD"/>
    <w:rsid w:val="6CC50D33"/>
    <w:rsid w:val="6CD00A32"/>
    <w:rsid w:val="6CDA6279"/>
    <w:rsid w:val="6CDC102D"/>
    <w:rsid w:val="6CED5810"/>
    <w:rsid w:val="6CFE15EE"/>
    <w:rsid w:val="6D125276"/>
    <w:rsid w:val="6D2B6338"/>
    <w:rsid w:val="6D8C535B"/>
    <w:rsid w:val="6DB166DC"/>
    <w:rsid w:val="6DB70CB4"/>
    <w:rsid w:val="6DD14180"/>
    <w:rsid w:val="6DE621AD"/>
    <w:rsid w:val="6E0607EE"/>
    <w:rsid w:val="6E094352"/>
    <w:rsid w:val="6E0F462F"/>
    <w:rsid w:val="6E60557F"/>
    <w:rsid w:val="6E677F40"/>
    <w:rsid w:val="6E9B3A2D"/>
    <w:rsid w:val="6EAE2370"/>
    <w:rsid w:val="6EC033A9"/>
    <w:rsid w:val="6F305CBB"/>
    <w:rsid w:val="6F676886"/>
    <w:rsid w:val="6F77047B"/>
    <w:rsid w:val="6F815117"/>
    <w:rsid w:val="6F896506"/>
    <w:rsid w:val="6FB74415"/>
    <w:rsid w:val="6FC21CA4"/>
    <w:rsid w:val="6FC26A88"/>
    <w:rsid w:val="6FD83D0F"/>
    <w:rsid w:val="6FE319C4"/>
    <w:rsid w:val="6FF25912"/>
    <w:rsid w:val="6FFE7D75"/>
    <w:rsid w:val="700E2E3C"/>
    <w:rsid w:val="701704A4"/>
    <w:rsid w:val="702A2DF0"/>
    <w:rsid w:val="706E412C"/>
    <w:rsid w:val="708F3F4F"/>
    <w:rsid w:val="70CF5BF0"/>
    <w:rsid w:val="70F253B2"/>
    <w:rsid w:val="70F86CD0"/>
    <w:rsid w:val="717348E4"/>
    <w:rsid w:val="71925C44"/>
    <w:rsid w:val="71997F7D"/>
    <w:rsid w:val="719E503F"/>
    <w:rsid w:val="71A67417"/>
    <w:rsid w:val="71AC3D91"/>
    <w:rsid w:val="71D7292B"/>
    <w:rsid w:val="71DB3BE0"/>
    <w:rsid w:val="71F12C19"/>
    <w:rsid w:val="71F75228"/>
    <w:rsid w:val="71F95E63"/>
    <w:rsid w:val="71FF0740"/>
    <w:rsid w:val="71FF0BB1"/>
    <w:rsid w:val="7205522D"/>
    <w:rsid w:val="720C535A"/>
    <w:rsid w:val="723147C5"/>
    <w:rsid w:val="72395053"/>
    <w:rsid w:val="725D168F"/>
    <w:rsid w:val="727E22EF"/>
    <w:rsid w:val="728733AE"/>
    <w:rsid w:val="72BA7716"/>
    <w:rsid w:val="72CC76AF"/>
    <w:rsid w:val="72D3059A"/>
    <w:rsid w:val="72DE4DB3"/>
    <w:rsid w:val="72EE408F"/>
    <w:rsid w:val="72F773E8"/>
    <w:rsid w:val="73013FCC"/>
    <w:rsid w:val="731E2DF7"/>
    <w:rsid w:val="734D40AB"/>
    <w:rsid w:val="73547991"/>
    <w:rsid w:val="736938A6"/>
    <w:rsid w:val="73722F53"/>
    <w:rsid w:val="737323D5"/>
    <w:rsid w:val="739169F9"/>
    <w:rsid w:val="739764D5"/>
    <w:rsid w:val="73C516FB"/>
    <w:rsid w:val="73E05AF6"/>
    <w:rsid w:val="73E07E4D"/>
    <w:rsid w:val="73F328B4"/>
    <w:rsid w:val="74190665"/>
    <w:rsid w:val="743E015A"/>
    <w:rsid w:val="747D78CF"/>
    <w:rsid w:val="748D142F"/>
    <w:rsid w:val="748D7E3F"/>
    <w:rsid w:val="74920AD5"/>
    <w:rsid w:val="749E119A"/>
    <w:rsid w:val="74C058BF"/>
    <w:rsid w:val="74C2175A"/>
    <w:rsid w:val="74D33EF6"/>
    <w:rsid w:val="75483259"/>
    <w:rsid w:val="754A4FEC"/>
    <w:rsid w:val="755212B6"/>
    <w:rsid w:val="75637AE8"/>
    <w:rsid w:val="756F010A"/>
    <w:rsid w:val="757B41D4"/>
    <w:rsid w:val="758064F9"/>
    <w:rsid w:val="758A38D6"/>
    <w:rsid w:val="75905D8E"/>
    <w:rsid w:val="759253E8"/>
    <w:rsid w:val="75992D53"/>
    <w:rsid w:val="75D94171"/>
    <w:rsid w:val="75E57BED"/>
    <w:rsid w:val="75EA36C0"/>
    <w:rsid w:val="75EC7C30"/>
    <w:rsid w:val="75F908CB"/>
    <w:rsid w:val="763D24F2"/>
    <w:rsid w:val="763D6A18"/>
    <w:rsid w:val="76406802"/>
    <w:rsid w:val="76506C8F"/>
    <w:rsid w:val="767A50C2"/>
    <w:rsid w:val="768049CA"/>
    <w:rsid w:val="76987067"/>
    <w:rsid w:val="769D4442"/>
    <w:rsid w:val="76AF515A"/>
    <w:rsid w:val="76B14C41"/>
    <w:rsid w:val="76C64A46"/>
    <w:rsid w:val="77353C34"/>
    <w:rsid w:val="773D64AD"/>
    <w:rsid w:val="77727872"/>
    <w:rsid w:val="77755F0B"/>
    <w:rsid w:val="777703EE"/>
    <w:rsid w:val="778206F7"/>
    <w:rsid w:val="778C577E"/>
    <w:rsid w:val="77AB1495"/>
    <w:rsid w:val="77B37656"/>
    <w:rsid w:val="77B642CE"/>
    <w:rsid w:val="77E25D9C"/>
    <w:rsid w:val="77E626F8"/>
    <w:rsid w:val="78203AD8"/>
    <w:rsid w:val="782B73D7"/>
    <w:rsid w:val="78301CEF"/>
    <w:rsid w:val="78343C5B"/>
    <w:rsid w:val="784D0D7C"/>
    <w:rsid w:val="787C4DA6"/>
    <w:rsid w:val="787F0783"/>
    <w:rsid w:val="78854B29"/>
    <w:rsid w:val="78A44E7C"/>
    <w:rsid w:val="78B040B0"/>
    <w:rsid w:val="78B35561"/>
    <w:rsid w:val="78C83AD2"/>
    <w:rsid w:val="78CD1E21"/>
    <w:rsid w:val="78E2329B"/>
    <w:rsid w:val="78F53F06"/>
    <w:rsid w:val="79200D1B"/>
    <w:rsid w:val="7928778B"/>
    <w:rsid w:val="79425AFF"/>
    <w:rsid w:val="7955440F"/>
    <w:rsid w:val="79624B3E"/>
    <w:rsid w:val="798A5C60"/>
    <w:rsid w:val="79A07515"/>
    <w:rsid w:val="79B71592"/>
    <w:rsid w:val="79DC4E17"/>
    <w:rsid w:val="79F67317"/>
    <w:rsid w:val="7A00729F"/>
    <w:rsid w:val="7A294D3A"/>
    <w:rsid w:val="7A2D4918"/>
    <w:rsid w:val="7A2E15EF"/>
    <w:rsid w:val="7A484D16"/>
    <w:rsid w:val="7A4D0E1F"/>
    <w:rsid w:val="7A5341BF"/>
    <w:rsid w:val="7A5D0E8F"/>
    <w:rsid w:val="7A762AB6"/>
    <w:rsid w:val="7A847F34"/>
    <w:rsid w:val="7AA51BB5"/>
    <w:rsid w:val="7AA75D96"/>
    <w:rsid w:val="7AAD7FF5"/>
    <w:rsid w:val="7AB0555A"/>
    <w:rsid w:val="7AC55C75"/>
    <w:rsid w:val="7ACA5466"/>
    <w:rsid w:val="7AD45C10"/>
    <w:rsid w:val="7AF04591"/>
    <w:rsid w:val="7B006360"/>
    <w:rsid w:val="7B0A6A9B"/>
    <w:rsid w:val="7B0D2818"/>
    <w:rsid w:val="7B304553"/>
    <w:rsid w:val="7B533460"/>
    <w:rsid w:val="7B560A24"/>
    <w:rsid w:val="7B612980"/>
    <w:rsid w:val="7B7C4D1A"/>
    <w:rsid w:val="7B8743D1"/>
    <w:rsid w:val="7B8B7C17"/>
    <w:rsid w:val="7B8F08D9"/>
    <w:rsid w:val="7B9649B1"/>
    <w:rsid w:val="7B976343"/>
    <w:rsid w:val="7B994E29"/>
    <w:rsid w:val="7C5450CE"/>
    <w:rsid w:val="7CB82DCD"/>
    <w:rsid w:val="7CBC76A6"/>
    <w:rsid w:val="7CE256BB"/>
    <w:rsid w:val="7D153CBD"/>
    <w:rsid w:val="7D21437C"/>
    <w:rsid w:val="7D3D2220"/>
    <w:rsid w:val="7D433A4F"/>
    <w:rsid w:val="7D62737F"/>
    <w:rsid w:val="7DA9460F"/>
    <w:rsid w:val="7DBB1135"/>
    <w:rsid w:val="7DCE6F97"/>
    <w:rsid w:val="7DCF5535"/>
    <w:rsid w:val="7DE65FBE"/>
    <w:rsid w:val="7DFF6F70"/>
    <w:rsid w:val="7E1640FB"/>
    <w:rsid w:val="7E21070F"/>
    <w:rsid w:val="7E260B81"/>
    <w:rsid w:val="7E311A64"/>
    <w:rsid w:val="7E3808B5"/>
    <w:rsid w:val="7E3B2283"/>
    <w:rsid w:val="7E570A14"/>
    <w:rsid w:val="7E6A03BF"/>
    <w:rsid w:val="7E826950"/>
    <w:rsid w:val="7E894A50"/>
    <w:rsid w:val="7E9064E4"/>
    <w:rsid w:val="7E9718B6"/>
    <w:rsid w:val="7E9E2C4F"/>
    <w:rsid w:val="7EA5476A"/>
    <w:rsid w:val="7EC469CB"/>
    <w:rsid w:val="7EC539A4"/>
    <w:rsid w:val="7ECC52D9"/>
    <w:rsid w:val="7EF82D86"/>
    <w:rsid w:val="7F055885"/>
    <w:rsid w:val="7F1467D7"/>
    <w:rsid w:val="7F1718FE"/>
    <w:rsid w:val="7F3D2627"/>
    <w:rsid w:val="7F4C2870"/>
    <w:rsid w:val="7F7405C7"/>
    <w:rsid w:val="7F7414A3"/>
    <w:rsid w:val="7F757976"/>
    <w:rsid w:val="7F7960AE"/>
    <w:rsid w:val="7F8A725D"/>
    <w:rsid w:val="7F946740"/>
    <w:rsid w:val="7FA47F29"/>
    <w:rsid w:val="7FD213B2"/>
    <w:rsid w:val="7FE414DF"/>
    <w:rsid w:val="7FF718C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nhideWhenUsed="0" w:uiPriority="99" w:name="Table Web 2" w:locked="1"/>
    <w:lsdException w:unhideWhenUsed="0" w:uiPriority="99" w:name="Table Web 3" w:locked="1"/>
    <w:lsdException w:qFormat="1" w:unhideWhenUsed="0" w:uiPriority="99" w:name="Balloon Text"/>
    <w:lsdException w:qFormat="1" w:unhideWhenUsed="0" w:uiPriority="99" w:semiHidden="0" w:name="Table Grid"/>
    <w:lsdException w:unhideWhenUsed="0"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5"/>
    <w:qFormat/>
    <w:uiPriority w:val="99"/>
    <w:pPr>
      <w:keepNext/>
      <w:keepLines/>
      <w:spacing w:line="576" w:lineRule="auto"/>
      <w:jc w:val="center"/>
      <w:outlineLvl w:val="0"/>
    </w:pPr>
    <w:rPr>
      <w:rFonts w:cs="Times New Roman"/>
      <w:b/>
      <w:bCs/>
      <w:kern w:val="44"/>
      <w:sz w:val="44"/>
      <w:szCs w:val="44"/>
    </w:rPr>
  </w:style>
  <w:style w:type="paragraph" w:styleId="4">
    <w:name w:val="heading 2"/>
    <w:basedOn w:val="1"/>
    <w:next w:val="1"/>
    <w:link w:val="36"/>
    <w:qFormat/>
    <w:uiPriority w:val="99"/>
    <w:pPr>
      <w:keepNext/>
      <w:keepLines/>
      <w:spacing w:line="413" w:lineRule="auto"/>
      <w:jc w:val="center"/>
      <w:outlineLvl w:val="1"/>
    </w:pPr>
    <w:rPr>
      <w:rFonts w:ascii="Cambria" w:hAnsi="Cambria" w:cs="Times New Roman"/>
      <w:b/>
      <w:bCs/>
      <w:kern w:val="0"/>
      <w:sz w:val="32"/>
      <w:szCs w:val="32"/>
    </w:rPr>
  </w:style>
  <w:style w:type="paragraph" w:styleId="5">
    <w:name w:val="heading 3"/>
    <w:basedOn w:val="1"/>
    <w:next w:val="1"/>
    <w:link w:val="37"/>
    <w:qFormat/>
    <w:uiPriority w:val="99"/>
    <w:pPr>
      <w:keepNext/>
      <w:keepLines/>
      <w:spacing w:before="260" w:after="260" w:line="413" w:lineRule="auto"/>
      <w:outlineLvl w:val="2"/>
    </w:pPr>
    <w:rPr>
      <w:rFonts w:cs="Times New Roman"/>
      <w:b/>
      <w:bCs/>
      <w:kern w:val="0"/>
      <w:sz w:val="32"/>
      <w:szCs w:val="32"/>
    </w:rPr>
  </w:style>
  <w:style w:type="paragraph" w:styleId="6">
    <w:name w:val="heading 4"/>
    <w:basedOn w:val="1"/>
    <w:next w:val="1"/>
    <w:unhideWhenUsed/>
    <w:qFormat/>
    <w:locked/>
    <w:uiPriority w:val="9"/>
    <w:pPr>
      <w:keepNext/>
      <w:keepLines/>
      <w:jc w:val="left"/>
      <w:outlineLvl w:val="3"/>
    </w:pPr>
    <w:rPr>
      <w:rFonts w:hint="eastAsia" w:ascii="Arial" w:hAnsi="Arial" w:cs="Times New Roman"/>
      <w:b/>
      <w:sz w:val="32"/>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0"/>
    <w:qFormat/>
    <w:uiPriority w:val="99"/>
    <w:rPr>
      <w:rFonts w:cs="Times New Roman"/>
      <w:kern w:val="0"/>
      <w:sz w:val="20"/>
    </w:rPr>
  </w:style>
  <w:style w:type="paragraph" w:styleId="7">
    <w:name w:val="Normal Indent"/>
    <w:basedOn w:val="1"/>
    <w:qFormat/>
    <w:uiPriority w:val="99"/>
    <w:pPr>
      <w:ind w:firstLine="420"/>
    </w:pPr>
  </w:style>
  <w:style w:type="paragraph" w:styleId="8">
    <w:name w:val="Document Map"/>
    <w:basedOn w:val="1"/>
    <w:link w:val="91"/>
    <w:semiHidden/>
    <w:unhideWhenUsed/>
    <w:qFormat/>
    <w:locked/>
    <w:uiPriority w:val="99"/>
    <w:rPr>
      <w:rFonts w:ascii="宋体"/>
      <w:sz w:val="18"/>
      <w:szCs w:val="18"/>
    </w:rPr>
  </w:style>
  <w:style w:type="paragraph" w:styleId="9">
    <w:name w:val="annotation text"/>
    <w:basedOn w:val="1"/>
    <w:link w:val="38"/>
    <w:semiHidden/>
    <w:qFormat/>
    <w:uiPriority w:val="99"/>
    <w:pPr>
      <w:jc w:val="left"/>
    </w:pPr>
    <w:rPr>
      <w:rFonts w:ascii="宋体" w:cs="Times New Roman"/>
      <w:kern w:val="0"/>
      <w:sz w:val="22"/>
      <w:szCs w:val="22"/>
    </w:rPr>
  </w:style>
  <w:style w:type="paragraph" w:styleId="10">
    <w:name w:val="Body Text Indent"/>
    <w:basedOn w:val="1"/>
    <w:link w:val="41"/>
    <w:qFormat/>
    <w:uiPriority w:val="99"/>
    <w:pPr>
      <w:spacing w:after="120"/>
      <w:ind w:left="420" w:leftChars="200"/>
    </w:pPr>
    <w:rPr>
      <w:rFonts w:cs="Times New Roman"/>
      <w:kern w:val="0"/>
      <w:sz w:val="20"/>
    </w:rPr>
  </w:style>
  <w:style w:type="paragraph" w:styleId="11">
    <w:name w:val="toc 3"/>
    <w:basedOn w:val="1"/>
    <w:next w:val="1"/>
    <w:semiHidden/>
    <w:qFormat/>
    <w:uiPriority w:val="99"/>
    <w:pPr>
      <w:ind w:left="840" w:leftChars="400"/>
    </w:pPr>
  </w:style>
  <w:style w:type="paragraph" w:styleId="12">
    <w:name w:val="Plain Text"/>
    <w:basedOn w:val="1"/>
    <w:link w:val="42"/>
    <w:qFormat/>
    <w:uiPriority w:val="99"/>
    <w:pPr>
      <w:spacing w:line="324" w:lineRule="auto"/>
    </w:pPr>
    <w:rPr>
      <w:rFonts w:ascii="宋体" w:hAnsi="Courier New" w:cs="Times New Roman"/>
      <w:kern w:val="0"/>
      <w:sz w:val="20"/>
    </w:rPr>
  </w:style>
  <w:style w:type="paragraph" w:styleId="13">
    <w:name w:val="Date"/>
    <w:basedOn w:val="1"/>
    <w:next w:val="1"/>
    <w:link w:val="43"/>
    <w:qFormat/>
    <w:uiPriority w:val="99"/>
    <w:pPr>
      <w:ind w:left="100" w:leftChars="2500"/>
    </w:pPr>
  </w:style>
  <w:style w:type="paragraph" w:styleId="14">
    <w:name w:val="Body Text Indent 2"/>
    <w:basedOn w:val="1"/>
    <w:link w:val="44"/>
    <w:qFormat/>
    <w:uiPriority w:val="99"/>
    <w:pPr>
      <w:spacing w:after="120" w:line="480" w:lineRule="auto"/>
      <w:ind w:left="420" w:leftChars="200"/>
    </w:pPr>
    <w:rPr>
      <w:rFonts w:cs="Times New Roman"/>
      <w:kern w:val="0"/>
      <w:sz w:val="20"/>
    </w:rPr>
  </w:style>
  <w:style w:type="paragraph" w:styleId="15">
    <w:name w:val="Balloon Text"/>
    <w:basedOn w:val="1"/>
    <w:link w:val="45"/>
    <w:semiHidden/>
    <w:qFormat/>
    <w:uiPriority w:val="99"/>
    <w:rPr>
      <w:rFonts w:cs="Times New Roman"/>
      <w:sz w:val="18"/>
      <w:szCs w:val="18"/>
    </w:rPr>
  </w:style>
  <w:style w:type="paragraph" w:styleId="16">
    <w:name w:val="footer"/>
    <w:basedOn w:val="1"/>
    <w:link w:val="46"/>
    <w:qFormat/>
    <w:uiPriority w:val="99"/>
    <w:pPr>
      <w:tabs>
        <w:tab w:val="center" w:pos="4153"/>
        <w:tab w:val="right" w:pos="8306"/>
      </w:tabs>
      <w:snapToGrid w:val="0"/>
      <w:jc w:val="left"/>
    </w:pPr>
    <w:rPr>
      <w:rFonts w:cs="Times New Roman"/>
      <w:kern w:val="0"/>
      <w:sz w:val="18"/>
      <w:szCs w:val="18"/>
    </w:rPr>
  </w:style>
  <w:style w:type="paragraph" w:styleId="17">
    <w:name w:val="header"/>
    <w:basedOn w:val="1"/>
    <w:link w:val="47"/>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8">
    <w:name w:val="toc 1"/>
    <w:basedOn w:val="1"/>
    <w:next w:val="1"/>
    <w:semiHidden/>
    <w:qFormat/>
    <w:uiPriority w:val="99"/>
  </w:style>
  <w:style w:type="paragraph" w:styleId="19">
    <w:name w:val="toc 2"/>
    <w:basedOn w:val="1"/>
    <w:next w:val="1"/>
    <w:semiHidden/>
    <w:qFormat/>
    <w:uiPriority w:val="99"/>
    <w:pPr>
      <w:ind w:left="420" w:leftChars="200"/>
    </w:pPr>
  </w:style>
  <w:style w:type="paragraph" w:styleId="20">
    <w:name w:val="Body Text 2"/>
    <w:basedOn w:val="1"/>
    <w:link w:val="48"/>
    <w:qFormat/>
    <w:uiPriority w:val="99"/>
    <w:pPr>
      <w:jc w:val="center"/>
    </w:pPr>
    <w:rPr>
      <w:rFonts w:cs="Times New Roman"/>
      <w:kern w:val="0"/>
      <w:sz w:val="2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9"/>
    <w:next w:val="9"/>
    <w:link w:val="39"/>
    <w:semiHidden/>
    <w:qFormat/>
    <w:uiPriority w:val="99"/>
    <w:rPr>
      <w:rFonts w:ascii="Calibri"/>
      <w:b/>
      <w:bCs/>
      <w:kern w:val="2"/>
    </w:rPr>
  </w:style>
  <w:style w:type="paragraph" w:styleId="23">
    <w:name w:val="Body Text First Indent"/>
    <w:basedOn w:val="2"/>
    <w:qFormat/>
    <w:locked/>
    <w:uiPriority w:val="0"/>
    <w:pPr>
      <w:spacing w:line="300" w:lineRule="auto"/>
      <w:ind w:firstLine="602"/>
      <w:jc w:val="left"/>
    </w:p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99"/>
    <w:rPr>
      <w:rFonts w:cs="Times New Roman"/>
      <w:b/>
      <w:sz w:val="24"/>
    </w:rPr>
  </w:style>
  <w:style w:type="character" w:styleId="28">
    <w:name w:val="page number"/>
    <w:basedOn w:val="26"/>
    <w:qFormat/>
    <w:uiPriority w:val="99"/>
    <w:rPr>
      <w:rFonts w:cs="Times New Roman"/>
    </w:rPr>
  </w:style>
  <w:style w:type="character" w:styleId="29">
    <w:name w:val="FollowedHyperlink"/>
    <w:basedOn w:val="26"/>
    <w:qFormat/>
    <w:uiPriority w:val="99"/>
    <w:rPr>
      <w:rFonts w:ascii="宋体" w:hAnsi="宋体" w:eastAsia="宋体" w:cs="Times New Roman"/>
      <w:color w:val="000000"/>
      <w:sz w:val="18"/>
      <w:u w:val="none"/>
    </w:rPr>
  </w:style>
  <w:style w:type="character" w:styleId="30">
    <w:name w:val="Emphasis"/>
    <w:basedOn w:val="26"/>
    <w:qFormat/>
    <w:uiPriority w:val="99"/>
    <w:rPr>
      <w:rFonts w:cs="Times New Roman"/>
      <w:i/>
    </w:rPr>
  </w:style>
  <w:style w:type="character" w:styleId="31">
    <w:name w:val="Hyperlink"/>
    <w:basedOn w:val="26"/>
    <w:qFormat/>
    <w:uiPriority w:val="99"/>
    <w:rPr>
      <w:rFonts w:cs="Times New Roman"/>
      <w:color w:val="0000FF"/>
      <w:u w:val="single"/>
    </w:rPr>
  </w:style>
  <w:style w:type="character" w:styleId="32">
    <w:name w:val="annotation reference"/>
    <w:basedOn w:val="26"/>
    <w:semiHidden/>
    <w:qFormat/>
    <w:uiPriority w:val="99"/>
    <w:rPr>
      <w:rFonts w:cs="Times New Roman"/>
      <w:sz w:val="21"/>
    </w:rPr>
  </w:style>
  <w:style w:type="character" w:styleId="33">
    <w:name w:val="HTML Cite"/>
    <w:basedOn w:val="26"/>
    <w:qFormat/>
    <w:uiPriority w:val="99"/>
    <w:rPr>
      <w:rFonts w:cs="Times New Roman"/>
      <w:sz w:val="24"/>
    </w:rPr>
  </w:style>
  <w:style w:type="paragraph" w:customStyle="1" w:styleId="34">
    <w:name w:val="无间隔1"/>
    <w:qFormat/>
    <w:uiPriority w:val="99"/>
    <w:pPr>
      <w:widowControl w:val="0"/>
      <w:jc w:val="both"/>
    </w:pPr>
    <w:rPr>
      <w:rFonts w:ascii="Calibri" w:hAnsi="Calibri" w:eastAsia="宋体" w:cs="Calibri"/>
      <w:kern w:val="2"/>
      <w:sz w:val="21"/>
      <w:szCs w:val="21"/>
      <w:lang w:val="en-US" w:eastAsia="zh-CN" w:bidi="ar-SA"/>
    </w:rPr>
  </w:style>
  <w:style w:type="character" w:customStyle="1" w:styleId="35">
    <w:name w:val="标题 1 字符"/>
    <w:basedOn w:val="26"/>
    <w:link w:val="3"/>
    <w:qFormat/>
    <w:locked/>
    <w:uiPriority w:val="99"/>
    <w:rPr>
      <w:rFonts w:ascii="Calibri" w:hAnsi="Calibri" w:cs="Times New Roman"/>
      <w:b/>
      <w:kern w:val="44"/>
      <w:sz w:val="44"/>
    </w:rPr>
  </w:style>
  <w:style w:type="character" w:customStyle="1" w:styleId="36">
    <w:name w:val="标题 2 字符"/>
    <w:basedOn w:val="26"/>
    <w:link w:val="4"/>
    <w:semiHidden/>
    <w:qFormat/>
    <w:locked/>
    <w:uiPriority w:val="99"/>
    <w:rPr>
      <w:rFonts w:ascii="Cambria" w:hAnsi="Cambria" w:eastAsia="宋体" w:cs="Times New Roman"/>
      <w:b/>
      <w:sz w:val="32"/>
    </w:rPr>
  </w:style>
  <w:style w:type="character" w:customStyle="1" w:styleId="37">
    <w:name w:val="标题 3 字符"/>
    <w:basedOn w:val="26"/>
    <w:link w:val="5"/>
    <w:semiHidden/>
    <w:qFormat/>
    <w:locked/>
    <w:uiPriority w:val="99"/>
    <w:rPr>
      <w:rFonts w:ascii="Calibri" w:hAnsi="Calibri" w:cs="Times New Roman"/>
      <w:b/>
      <w:sz w:val="32"/>
    </w:rPr>
  </w:style>
  <w:style w:type="character" w:customStyle="1" w:styleId="38">
    <w:name w:val="批注文字 字符"/>
    <w:basedOn w:val="26"/>
    <w:link w:val="9"/>
    <w:qFormat/>
    <w:locked/>
    <w:uiPriority w:val="99"/>
    <w:rPr>
      <w:rFonts w:ascii="宋体" w:hAnsi="Calibri" w:eastAsia="宋体" w:cs="Times New Roman"/>
      <w:sz w:val="22"/>
    </w:rPr>
  </w:style>
  <w:style w:type="character" w:customStyle="1" w:styleId="39">
    <w:name w:val="批注主题 字符"/>
    <w:basedOn w:val="38"/>
    <w:link w:val="22"/>
    <w:qFormat/>
    <w:locked/>
    <w:uiPriority w:val="99"/>
    <w:rPr>
      <w:rFonts w:ascii="Calibri" w:hAnsi="Calibri" w:eastAsia="宋体" w:cs="Times New Roman"/>
      <w:b/>
      <w:kern w:val="2"/>
      <w:sz w:val="22"/>
    </w:rPr>
  </w:style>
  <w:style w:type="character" w:customStyle="1" w:styleId="40">
    <w:name w:val="正文文本 字符"/>
    <w:basedOn w:val="26"/>
    <w:link w:val="2"/>
    <w:semiHidden/>
    <w:qFormat/>
    <w:locked/>
    <w:uiPriority w:val="99"/>
    <w:rPr>
      <w:rFonts w:ascii="Calibri" w:hAnsi="Calibri" w:cs="Times New Roman"/>
      <w:sz w:val="21"/>
    </w:rPr>
  </w:style>
  <w:style w:type="character" w:customStyle="1" w:styleId="41">
    <w:name w:val="正文文本缩进 字符"/>
    <w:basedOn w:val="26"/>
    <w:link w:val="10"/>
    <w:semiHidden/>
    <w:qFormat/>
    <w:locked/>
    <w:uiPriority w:val="99"/>
    <w:rPr>
      <w:rFonts w:ascii="Calibri" w:hAnsi="Calibri" w:cs="Times New Roman"/>
      <w:sz w:val="21"/>
    </w:rPr>
  </w:style>
  <w:style w:type="character" w:customStyle="1" w:styleId="42">
    <w:name w:val="纯文本 字符"/>
    <w:basedOn w:val="26"/>
    <w:link w:val="12"/>
    <w:semiHidden/>
    <w:qFormat/>
    <w:locked/>
    <w:uiPriority w:val="99"/>
    <w:rPr>
      <w:rFonts w:ascii="宋体" w:hAnsi="Courier New" w:cs="Times New Roman"/>
      <w:sz w:val="21"/>
    </w:rPr>
  </w:style>
  <w:style w:type="character" w:customStyle="1" w:styleId="43">
    <w:name w:val="日期 字符"/>
    <w:basedOn w:val="26"/>
    <w:link w:val="13"/>
    <w:semiHidden/>
    <w:qFormat/>
    <w:locked/>
    <w:uiPriority w:val="99"/>
    <w:rPr>
      <w:rFonts w:ascii="Calibri" w:hAnsi="Calibri" w:cs="Calibri"/>
      <w:kern w:val="2"/>
      <w:sz w:val="21"/>
      <w:szCs w:val="21"/>
    </w:rPr>
  </w:style>
  <w:style w:type="character" w:customStyle="1" w:styleId="44">
    <w:name w:val="正文文本缩进 2 字符"/>
    <w:basedOn w:val="26"/>
    <w:link w:val="14"/>
    <w:semiHidden/>
    <w:qFormat/>
    <w:locked/>
    <w:uiPriority w:val="99"/>
    <w:rPr>
      <w:rFonts w:ascii="Calibri" w:hAnsi="Calibri" w:cs="Times New Roman"/>
      <w:sz w:val="21"/>
    </w:rPr>
  </w:style>
  <w:style w:type="character" w:customStyle="1" w:styleId="45">
    <w:name w:val="批注框文本 字符"/>
    <w:basedOn w:val="26"/>
    <w:link w:val="15"/>
    <w:qFormat/>
    <w:locked/>
    <w:uiPriority w:val="99"/>
    <w:rPr>
      <w:rFonts w:ascii="Calibri" w:hAnsi="Calibri" w:eastAsia="宋体" w:cs="Times New Roman"/>
      <w:kern w:val="2"/>
      <w:sz w:val="18"/>
    </w:rPr>
  </w:style>
  <w:style w:type="character" w:customStyle="1" w:styleId="46">
    <w:name w:val="页脚 字符"/>
    <w:basedOn w:val="26"/>
    <w:link w:val="16"/>
    <w:semiHidden/>
    <w:qFormat/>
    <w:locked/>
    <w:uiPriority w:val="99"/>
    <w:rPr>
      <w:rFonts w:ascii="Calibri" w:hAnsi="Calibri" w:cs="Times New Roman"/>
      <w:sz w:val="18"/>
    </w:rPr>
  </w:style>
  <w:style w:type="character" w:customStyle="1" w:styleId="47">
    <w:name w:val="页眉 字符"/>
    <w:basedOn w:val="26"/>
    <w:link w:val="17"/>
    <w:semiHidden/>
    <w:qFormat/>
    <w:locked/>
    <w:uiPriority w:val="99"/>
    <w:rPr>
      <w:rFonts w:ascii="Calibri" w:hAnsi="Calibri" w:cs="Times New Roman"/>
      <w:sz w:val="18"/>
    </w:rPr>
  </w:style>
  <w:style w:type="character" w:customStyle="1" w:styleId="48">
    <w:name w:val="正文文本 2 字符"/>
    <w:basedOn w:val="26"/>
    <w:link w:val="20"/>
    <w:semiHidden/>
    <w:qFormat/>
    <w:locked/>
    <w:uiPriority w:val="99"/>
    <w:rPr>
      <w:rFonts w:ascii="Calibri" w:hAnsi="Calibri" w:cs="Times New Roman"/>
      <w:sz w:val="21"/>
    </w:rPr>
  </w:style>
  <w:style w:type="paragraph" w:customStyle="1" w:styleId="49">
    <w:name w:val="Char2 Char Char Char"/>
    <w:basedOn w:val="1"/>
    <w:qFormat/>
    <w:uiPriority w:val="99"/>
    <w:rPr>
      <w:rFonts w:ascii="Tahoma" w:hAnsi="Tahoma" w:cs="Tahoma"/>
      <w:sz w:val="24"/>
      <w:szCs w:val="24"/>
    </w:rPr>
  </w:style>
  <w:style w:type="paragraph" w:customStyle="1" w:styleId="50">
    <w:name w:val="列出段落1"/>
    <w:basedOn w:val="1"/>
    <w:qFormat/>
    <w:uiPriority w:val="99"/>
    <w:pPr>
      <w:ind w:firstLine="420" w:firstLineChars="200"/>
    </w:pPr>
  </w:style>
  <w:style w:type="character" w:customStyle="1" w:styleId="51">
    <w:name w:val="10"/>
    <w:qFormat/>
    <w:uiPriority w:val="99"/>
    <w:rPr>
      <w:rFonts w:ascii="Calibri" w:hAnsi="Calibri"/>
    </w:rPr>
  </w:style>
  <w:style w:type="character" w:customStyle="1" w:styleId="52">
    <w:name w:val="15"/>
    <w:qFormat/>
    <w:uiPriority w:val="99"/>
    <w:rPr>
      <w:rFonts w:ascii="Calibri" w:hAnsi="Calibri"/>
      <w:i/>
    </w:rPr>
  </w:style>
  <w:style w:type="paragraph" w:customStyle="1" w:styleId="53">
    <w:name w:val="_Style 2"/>
    <w:basedOn w:val="1"/>
    <w:qFormat/>
    <w:uiPriority w:val="99"/>
    <w:pPr>
      <w:ind w:firstLine="420" w:firstLineChars="200"/>
    </w:pPr>
  </w:style>
  <w:style w:type="character" w:customStyle="1" w:styleId="54">
    <w:name w:val="apple-style-span"/>
    <w:qFormat/>
    <w:uiPriority w:val="99"/>
  </w:style>
  <w:style w:type="character" w:customStyle="1" w:styleId="55">
    <w:name w:val="del"/>
    <w:basedOn w:val="26"/>
    <w:qFormat/>
    <w:uiPriority w:val="99"/>
    <w:rPr>
      <w:rFonts w:cs="Times New Roman"/>
    </w:rPr>
  </w:style>
  <w:style w:type="character" w:customStyle="1" w:styleId="56">
    <w:name w:val="del1"/>
    <w:qFormat/>
    <w:uiPriority w:val="99"/>
    <w:rPr>
      <w:vanish/>
      <w:color w:val="auto"/>
      <w:sz w:val="18"/>
      <w:u w:val="single"/>
    </w:rPr>
  </w:style>
  <w:style w:type="character" w:customStyle="1" w:styleId="57">
    <w:name w:val="del2"/>
    <w:qFormat/>
    <w:uiPriority w:val="99"/>
    <w:rPr>
      <w:vanish/>
    </w:rPr>
  </w:style>
  <w:style w:type="character" w:customStyle="1" w:styleId="58">
    <w:name w:val="del3"/>
    <w:qFormat/>
    <w:uiPriority w:val="99"/>
    <w:rPr>
      <w:vanish/>
    </w:rPr>
  </w:style>
  <w:style w:type="paragraph" w:customStyle="1" w:styleId="59">
    <w:name w:val="列出段落2"/>
    <w:basedOn w:val="1"/>
    <w:qFormat/>
    <w:uiPriority w:val="99"/>
    <w:pPr>
      <w:ind w:left="720"/>
    </w:pPr>
  </w:style>
  <w:style w:type="paragraph" w:customStyle="1" w:styleId="60">
    <w:name w:val="_Style 3"/>
    <w:basedOn w:val="1"/>
    <w:qFormat/>
    <w:uiPriority w:val="99"/>
    <w:pPr>
      <w:ind w:firstLine="420" w:firstLineChars="200"/>
    </w:pPr>
  </w:style>
  <w:style w:type="character" w:customStyle="1" w:styleId="61">
    <w:name w:val="标准文本 Char Char"/>
    <w:link w:val="62"/>
    <w:qFormat/>
    <w:locked/>
    <w:uiPriority w:val="99"/>
    <w:rPr>
      <w:kern w:val="2"/>
      <w:sz w:val="24"/>
    </w:rPr>
  </w:style>
  <w:style w:type="paragraph" w:customStyle="1" w:styleId="62">
    <w:name w:val="标准文本"/>
    <w:basedOn w:val="1"/>
    <w:link w:val="61"/>
    <w:qFormat/>
    <w:uiPriority w:val="99"/>
    <w:pPr>
      <w:spacing w:line="360" w:lineRule="auto"/>
      <w:ind w:firstLine="480" w:firstLineChars="200"/>
    </w:pPr>
    <w:rPr>
      <w:rFonts w:ascii="Times New Roman" w:hAnsi="Times New Roman" w:cs="Times New Roman"/>
      <w:sz w:val="24"/>
      <w:szCs w:val="20"/>
    </w:rPr>
  </w:style>
  <w:style w:type="paragraph" w:customStyle="1" w:styleId="63">
    <w:name w:val="List Paragraph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character" w:customStyle="1" w:styleId="64">
    <w:name w:val="font41"/>
    <w:basedOn w:val="26"/>
    <w:qFormat/>
    <w:uiPriority w:val="0"/>
    <w:rPr>
      <w:rFonts w:hint="eastAsia" w:ascii="宋体" w:hAnsi="宋体" w:eastAsia="宋体" w:cs="宋体"/>
      <w:color w:val="000000"/>
      <w:sz w:val="24"/>
      <w:szCs w:val="24"/>
      <w:u w:val="none"/>
    </w:rPr>
  </w:style>
  <w:style w:type="character" w:customStyle="1" w:styleId="65">
    <w:name w:val="font61"/>
    <w:basedOn w:val="26"/>
    <w:qFormat/>
    <w:uiPriority w:val="0"/>
    <w:rPr>
      <w:rFonts w:hint="eastAsia" w:ascii="宋体" w:hAnsi="宋体" w:eastAsia="宋体" w:cs="宋体"/>
      <w:color w:val="000000"/>
      <w:sz w:val="20"/>
      <w:szCs w:val="20"/>
      <w:u w:val="none"/>
    </w:rPr>
  </w:style>
  <w:style w:type="character" w:customStyle="1" w:styleId="66">
    <w:name w:val="font51"/>
    <w:basedOn w:val="26"/>
    <w:qFormat/>
    <w:uiPriority w:val="0"/>
    <w:rPr>
      <w:rFonts w:hint="default" w:ascii="Times New Roman" w:hAnsi="Times New Roman" w:cs="Times New Roman"/>
      <w:color w:val="000000"/>
      <w:sz w:val="20"/>
      <w:szCs w:val="20"/>
      <w:u w:val="none"/>
    </w:rPr>
  </w:style>
  <w:style w:type="character" w:customStyle="1" w:styleId="67">
    <w:name w:val="font01"/>
    <w:basedOn w:val="26"/>
    <w:qFormat/>
    <w:uiPriority w:val="0"/>
    <w:rPr>
      <w:rFonts w:hint="default" w:ascii="Times New Roman" w:hAnsi="Times New Roman" w:cs="Times New Roman"/>
      <w:color w:val="000000"/>
      <w:sz w:val="24"/>
      <w:szCs w:val="24"/>
      <w:u w:val="none"/>
    </w:rPr>
  </w:style>
  <w:style w:type="character" w:customStyle="1" w:styleId="68">
    <w:name w:val="font21"/>
    <w:basedOn w:val="26"/>
    <w:qFormat/>
    <w:uiPriority w:val="0"/>
    <w:rPr>
      <w:rFonts w:hint="eastAsia" w:ascii="宋体" w:hAnsi="宋体" w:eastAsia="宋体" w:cs="宋体"/>
      <w:color w:val="000000"/>
      <w:sz w:val="24"/>
      <w:szCs w:val="24"/>
      <w:u w:val="none"/>
    </w:rPr>
  </w:style>
  <w:style w:type="character" w:customStyle="1" w:styleId="69">
    <w:name w:val="font91"/>
    <w:basedOn w:val="26"/>
    <w:qFormat/>
    <w:uiPriority w:val="0"/>
    <w:rPr>
      <w:rFonts w:hint="default" w:ascii="Times New Roman" w:hAnsi="Times New Roman" w:cs="Times New Roman"/>
      <w:color w:val="000000"/>
      <w:sz w:val="14"/>
      <w:szCs w:val="14"/>
      <w:u w:val="none"/>
    </w:rPr>
  </w:style>
  <w:style w:type="character" w:customStyle="1" w:styleId="70">
    <w:name w:val="font71"/>
    <w:basedOn w:val="26"/>
    <w:qFormat/>
    <w:uiPriority w:val="0"/>
    <w:rPr>
      <w:rFonts w:hint="default" w:ascii="Times New Roman" w:hAnsi="Times New Roman" w:cs="Times New Roman"/>
      <w:color w:val="000000"/>
      <w:sz w:val="21"/>
      <w:szCs w:val="21"/>
      <w:u w:val="none"/>
    </w:rPr>
  </w:style>
  <w:style w:type="character" w:customStyle="1" w:styleId="71">
    <w:name w:val="font81"/>
    <w:basedOn w:val="26"/>
    <w:qFormat/>
    <w:uiPriority w:val="0"/>
    <w:rPr>
      <w:rFonts w:hint="eastAsia" w:ascii="宋体" w:hAnsi="宋体" w:eastAsia="宋体" w:cs="宋体"/>
      <w:color w:val="000000"/>
      <w:sz w:val="21"/>
      <w:szCs w:val="21"/>
      <w:u w:val="none"/>
    </w:rPr>
  </w:style>
  <w:style w:type="character" w:customStyle="1" w:styleId="72">
    <w:name w:val="font11"/>
    <w:basedOn w:val="26"/>
    <w:qFormat/>
    <w:uiPriority w:val="0"/>
    <w:rPr>
      <w:rFonts w:hint="default" w:ascii="Times New Roman" w:hAnsi="Times New Roman" w:cs="Times New Roman"/>
      <w:color w:val="000000"/>
      <w:sz w:val="20"/>
      <w:szCs w:val="20"/>
      <w:u w:val="none"/>
    </w:rPr>
  </w:style>
  <w:style w:type="character" w:customStyle="1" w:styleId="73">
    <w:name w:val="font31"/>
    <w:basedOn w:val="26"/>
    <w:qFormat/>
    <w:uiPriority w:val="0"/>
    <w:rPr>
      <w:rFonts w:hint="default" w:ascii="Times New Roman" w:hAnsi="Times New Roman" w:cs="Times New Roman"/>
      <w:color w:val="000000"/>
      <w:sz w:val="20"/>
      <w:szCs w:val="20"/>
      <w:u w:val="none"/>
    </w:rPr>
  </w:style>
  <w:style w:type="character" w:customStyle="1" w:styleId="74">
    <w:name w:val="font111"/>
    <w:basedOn w:val="26"/>
    <w:qFormat/>
    <w:uiPriority w:val="0"/>
    <w:rPr>
      <w:rFonts w:hint="eastAsia" w:ascii="宋体" w:hAnsi="宋体" w:eastAsia="宋体" w:cs="宋体"/>
      <w:color w:val="000000"/>
      <w:sz w:val="22"/>
      <w:szCs w:val="22"/>
      <w:u w:val="none"/>
      <w:vertAlign w:val="superscript"/>
    </w:rPr>
  </w:style>
  <w:style w:type="character" w:customStyle="1" w:styleId="75">
    <w:name w:val="font121"/>
    <w:basedOn w:val="26"/>
    <w:qFormat/>
    <w:uiPriority w:val="0"/>
    <w:rPr>
      <w:rFonts w:ascii="BatangChe" w:hAnsi="BatangChe" w:eastAsia="BatangChe" w:cs="BatangChe"/>
      <w:color w:val="000000"/>
      <w:sz w:val="22"/>
      <w:szCs w:val="22"/>
      <w:u w:val="none"/>
    </w:rPr>
  </w:style>
  <w:style w:type="character" w:customStyle="1" w:styleId="76">
    <w:name w:val="font101"/>
    <w:basedOn w:val="26"/>
    <w:qFormat/>
    <w:uiPriority w:val="0"/>
    <w:rPr>
      <w:rFonts w:hint="eastAsia" w:ascii="BatangChe" w:hAnsi="BatangChe" w:eastAsia="BatangChe" w:cs="BatangChe"/>
      <w:color w:val="000000"/>
      <w:sz w:val="22"/>
      <w:szCs w:val="22"/>
      <w:u w:val="none"/>
    </w:rPr>
  </w:style>
  <w:style w:type="paragraph" w:customStyle="1" w:styleId="77">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列出段落3"/>
    <w:basedOn w:val="1"/>
    <w:qFormat/>
    <w:uiPriority w:val="34"/>
    <w:pPr>
      <w:ind w:firstLine="420" w:firstLineChars="200"/>
    </w:pPr>
    <w:rPr>
      <w:rFonts w:cs="Times New Roman"/>
      <w:szCs w:val="22"/>
    </w:rPr>
  </w:style>
  <w:style w:type="character" w:customStyle="1" w:styleId="79">
    <w:name w:val="font161"/>
    <w:basedOn w:val="26"/>
    <w:qFormat/>
    <w:uiPriority w:val="0"/>
    <w:rPr>
      <w:rFonts w:hint="eastAsia" w:ascii="宋体" w:hAnsi="宋体" w:eastAsia="宋体" w:cs="宋体"/>
      <w:b/>
      <w:color w:val="000000"/>
      <w:sz w:val="24"/>
      <w:szCs w:val="24"/>
      <w:u w:val="none"/>
    </w:rPr>
  </w:style>
  <w:style w:type="character" w:customStyle="1" w:styleId="80">
    <w:name w:val="font191"/>
    <w:basedOn w:val="26"/>
    <w:qFormat/>
    <w:uiPriority w:val="0"/>
    <w:rPr>
      <w:rFonts w:hint="default" w:ascii="Times New Roman" w:hAnsi="Times New Roman" w:cs="Times New Roman"/>
      <w:color w:val="000000"/>
      <w:sz w:val="22"/>
      <w:szCs w:val="22"/>
      <w:u w:val="none"/>
    </w:rPr>
  </w:style>
  <w:style w:type="character" w:customStyle="1" w:styleId="81">
    <w:name w:val="font151"/>
    <w:basedOn w:val="26"/>
    <w:qFormat/>
    <w:uiPriority w:val="0"/>
    <w:rPr>
      <w:rFonts w:hint="eastAsia" w:ascii="宋体" w:hAnsi="宋体" w:eastAsia="宋体" w:cs="宋体"/>
      <w:color w:val="000000"/>
      <w:sz w:val="22"/>
      <w:szCs w:val="22"/>
      <w:u w:val="none"/>
    </w:rPr>
  </w:style>
  <w:style w:type="character" w:customStyle="1" w:styleId="82">
    <w:name w:val="font131"/>
    <w:basedOn w:val="26"/>
    <w:qFormat/>
    <w:uiPriority w:val="0"/>
    <w:rPr>
      <w:rFonts w:hint="default" w:ascii="Times New Roman" w:hAnsi="Times New Roman" w:cs="Times New Roman"/>
      <w:color w:val="000000"/>
      <w:sz w:val="20"/>
      <w:szCs w:val="20"/>
      <w:u w:val="none"/>
    </w:rPr>
  </w:style>
  <w:style w:type="character" w:customStyle="1" w:styleId="83">
    <w:name w:val="font201"/>
    <w:basedOn w:val="26"/>
    <w:qFormat/>
    <w:uiPriority w:val="0"/>
    <w:rPr>
      <w:rFonts w:hint="eastAsia" w:ascii="宋体" w:hAnsi="宋体" w:eastAsia="宋体" w:cs="宋体"/>
      <w:color w:val="000000"/>
      <w:sz w:val="20"/>
      <w:szCs w:val="20"/>
      <w:u w:val="none"/>
    </w:rPr>
  </w:style>
  <w:style w:type="character" w:customStyle="1" w:styleId="84">
    <w:name w:val="font171"/>
    <w:basedOn w:val="26"/>
    <w:qFormat/>
    <w:uiPriority w:val="0"/>
    <w:rPr>
      <w:rFonts w:hint="default" w:ascii="Times New Roman" w:hAnsi="Times New Roman" w:cs="Times New Roman"/>
      <w:color w:val="000000"/>
      <w:sz w:val="20"/>
      <w:szCs w:val="20"/>
      <w:u w:val="none"/>
    </w:rPr>
  </w:style>
  <w:style w:type="character" w:customStyle="1" w:styleId="85">
    <w:name w:val="font212"/>
    <w:basedOn w:val="26"/>
    <w:qFormat/>
    <w:uiPriority w:val="0"/>
    <w:rPr>
      <w:rFonts w:hint="eastAsia" w:ascii="宋体" w:hAnsi="宋体" w:eastAsia="宋体" w:cs="宋体"/>
      <w:color w:val="000000"/>
      <w:sz w:val="24"/>
      <w:szCs w:val="24"/>
      <w:u w:val="none"/>
    </w:rPr>
  </w:style>
  <w:style w:type="character" w:customStyle="1" w:styleId="86">
    <w:name w:val="font221"/>
    <w:basedOn w:val="26"/>
    <w:qFormat/>
    <w:uiPriority w:val="0"/>
    <w:rPr>
      <w:rFonts w:hint="eastAsia" w:ascii="宋体" w:hAnsi="宋体" w:eastAsia="宋体" w:cs="宋体"/>
      <w:color w:val="000000"/>
      <w:sz w:val="21"/>
      <w:szCs w:val="21"/>
      <w:u w:val="none"/>
    </w:rPr>
  </w:style>
  <w:style w:type="character" w:customStyle="1" w:styleId="87">
    <w:name w:val="font181"/>
    <w:basedOn w:val="26"/>
    <w:qFormat/>
    <w:uiPriority w:val="0"/>
    <w:rPr>
      <w:rFonts w:hint="default" w:ascii="Times New Roman" w:hAnsi="Times New Roman" w:cs="Times New Roman"/>
      <w:color w:val="000000"/>
      <w:sz w:val="21"/>
      <w:szCs w:val="21"/>
      <w:u w:val="none"/>
    </w:rPr>
  </w:style>
  <w:style w:type="character" w:customStyle="1" w:styleId="88">
    <w:name w:val="font231"/>
    <w:basedOn w:val="26"/>
    <w:qFormat/>
    <w:uiPriority w:val="0"/>
    <w:rPr>
      <w:rFonts w:hint="eastAsia" w:ascii="宋体" w:hAnsi="宋体" w:eastAsia="宋体" w:cs="宋体"/>
      <w:b/>
      <w:color w:val="000000"/>
      <w:sz w:val="20"/>
      <w:szCs w:val="20"/>
      <w:u w:val="none"/>
    </w:rPr>
  </w:style>
  <w:style w:type="paragraph" w:styleId="8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90">
    <w:name w:val="a"/>
    <w:basedOn w:val="1"/>
    <w:qFormat/>
    <w:uiPriority w:val="0"/>
    <w:pPr>
      <w:spacing w:before="100" w:beforeAutospacing="1" w:after="100" w:afterAutospacing="1"/>
      <w:jc w:val="left"/>
    </w:pPr>
    <w:rPr>
      <w:rFonts w:ascii="宋体" w:hAnsi="宋体" w:cs="宋体"/>
      <w:kern w:val="0"/>
      <w:sz w:val="24"/>
      <w:szCs w:val="24"/>
    </w:rPr>
  </w:style>
  <w:style w:type="character" w:customStyle="1" w:styleId="91">
    <w:name w:val="文档结构图 字符"/>
    <w:basedOn w:val="26"/>
    <w:link w:val="8"/>
    <w:semiHidden/>
    <w:qFormat/>
    <w:uiPriority w:val="99"/>
    <w:rPr>
      <w:rFonts w:ascii="宋体" w:hAnsi="Calibri" w:cs="Calibri"/>
      <w:kern w:val="2"/>
      <w:sz w:val="18"/>
      <w:szCs w:val="18"/>
    </w:rPr>
  </w:style>
  <w:style w:type="paragraph" w:styleId="92">
    <w:name w:val="No Spacing"/>
    <w:qFormat/>
    <w:uiPriority w:val="0"/>
    <w:pPr>
      <w:widowControl w:val="0"/>
      <w:jc w:val="both"/>
    </w:pPr>
    <w:rPr>
      <w:rFonts w:ascii="Calibri" w:hAnsi="Calibri" w:eastAsia="宋体" w:cs="Times New Roman"/>
      <w:lang w:val="en-US" w:eastAsia="zh-CN" w:bidi="ar-SA"/>
    </w:rPr>
  </w:style>
  <w:style w:type="paragraph" w:customStyle="1" w:styleId="93">
    <w:name w:val="Table Paragraph"/>
    <w:basedOn w:val="1"/>
    <w:qFormat/>
    <w:uiPriority w:val="1"/>
  </w:style>
  <w:style w:type="character" w:customStyle="1" w:styleId="94">
    <w:name w:val="cfdate"/>
    <w:basedOn w:val="26"/>
    <w:qFormat/>
    <w:uiPriority w:val="0"/>
    <w:rPr>
      <w:color w:val="333333"/>
      <w:sz w:val="18"/>
      <w:szCs w:val="18"/>
    </w:rPr>
  </w:style>
  <w:style w:type="character" w:customStyle="1" w:styleId="95">
    <w:name w:val="redfilenumber"/>
    <w:basedOn w:val="26"/>
    <w:qFormat/>
    <w:uiPriority w:val="0"/>
    <w:rPr>
      <w:color w:val="BA2636"/>
      <w:sz w:val="18"/>
      <w:szCs w:val="18"/>
    </w:rPr>
  </w:style>
  <w:style w:type="character" w:customStyle="1" w:styleId="96">
    <w:name w:val="gjfg"/>
    <w:basedOn w:val="26"/>
    <w:qFormat/>
    <w:uiPriority w:val="0"/>
  </w:style>
  <w:style w:type="character" w:customStyle="1" w:styleId="97">
    <w:name w:val="displayarti"/>
    <w:basedOn w:val="26"/>
    <w:qFormat/>
    <w:uiPriority w:val="0"/>
    <w:rPr>
      <w:color w:val="FFFFFF"/>
      <w:shd w:val="clear" w:color="auto" w:fill="A00000"/>
    </w:rPr>
  </w:style>
  <w:style w:type="character" w:customStyle="1" w:styleId="98">
    <w:name w:val="redfilefwwh"/>
    <w:basedOn w:val="26"/>
    <w:qFormat/>
    <w:uiPriority w:val="0"/>
    <w:rPr>
      <w:color w:val="BA2636"/>
      <w:sz w:val="18"/>
      <w:szCs w:val="18"/>
    </w:rPr>
  </w:style>
  <w:style w:type="character" w:customStyle="1" w:styleId="99">
    <w:name w:val="qxdate"/>
    <w:basedOn w:val="26"/>
    <w:qFormat/>
    <w:uiPriority w:val="0"/>
    <w:rPr>
      <w:color w:val="333333"/>
      <w:sz w:val="18"/>
      <w:szCs w:val="18"/>
    </w:rPr>
  </w:style>
  <w:style w:type="paragraph" w:customStyle="1" w:styleId="10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3EA496-9B27-481D-938B-C6C9C86CBD18}">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1</Pages>
  <Words>5969</Words>
  <Characters>34028</Characters>
  <Lines>283</Lines>
  <Paragraphs>79</Paragraphs>
  <TotalTime>11</TotalTime>
  <ScaleCrop>false</ScaleCrop>
  <LinksUpToDate>false</LinksUpToDate>
  <CharactersWithSpaces>39918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2020-06-03T10:19:00Z</dcterms:created>
  <dc:creator>Administrator</dc:creator>
  <cp:lastModifiedBy>@南方艳阳</cp:lastModifiedBy>
  <cp:lastPrinted>2020-06-28T09:16:00Z</cp:lastPrinted>
  <dcterms:modified xsi:type="dcterms:W3CDTF">2022-07-12T09:53:36Z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07C73F3A36384B7191ABEC39F4E116E4</vt:lpwstr>
  </property>
</Properties>
</file>