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 w:val="left" w:pos="5145"/>
        </w:tabs>
        <w:spacing w:line="360" w:lineRule="auto"/>
        <w:ind w:firstLine="141" w:firstLineChars="50"/>
        <w:rPr>
          <w:rFonts w:hint="default" w:ascii="仿宋" w:hAnsi="仿宋" w:eastAsia="仿宋" w:cs="仿宋"/>
          <w:b/>
          <w:color w:val="auto"/>
          <w:sz w:val="28"/>
          <w:szCs w:val="28"/>
          <w:highlight w:val="none"/>
          <w:lang w:val="en-US" w:eastAsia="zh-CN"/>
        </w:rPr>
      </w:pPr>
      <w:bookmarkStart w:id="0" w:name="_Toc268"/>
      <w:bookmarkStart w:id="1" w:name="_Toc495908398"/>
      <w:bookmarkStart w:id="2" w:name="_Toc21955"/>
      <w:bookmarkStart w:id="3" w:name="_Toc519156735"/>
      <w:r>
        <w:rPr>
          <w:rFonts w:hint="eastAsia" w:ascii="仿宋" w:hAnsi="仿宋" w:eastAsia="仿宋" w:cs="仿宋"/>
          <w:b/>
          <w:color w:val="auto"/>
          <w:sz w:val="28"/>
          <w:szCs w:val="28"/>
          <w:highlight w:val="none"/>
        </w:rPr>
        <w:t>项目编号:</w:t>
      </w:r>
      <w:r>
        <w:rPr>
          <w:rFonts w:hint="eastAsia" w:ascii="仿宋" w:hAnsi="仿宋" w:eastAsia="仿宋" w:cs="仿宋"/>
          <w:b/>
          <w:color w:val="auto"/>
          <w:sz w:val="28"/>
          <w:szCs w:val="28"/>
          <w:highlight w:val="none"/>
          <w:u w:val="none"/>
          <w:lang w:eastAsia="zh-CN"/>
        </w:rPr>
        <w:t>DRZB2022-ZC-1</w:t>
      </w:r>
      <w:r>
        <w:rPr>
          <w:rFonts w:hint="eastAsia" w:ascii="仿宋" w:hAnsi="仿宋" w:eastAsia="仿宋" w:cs="仿宋"/>
          <w:b/>
          <w:color w:val="auto"/>
          <w:sz w:val="28"/>
          <w:szCs w:val="28"/>
          <w:highlight w:val="none"/>
          <w:u w:val="none"/>
          <w:lang w:val="en-US" w:eastAsia="zh-CN"/>
        </w:rPr>
        <w:t>34</w:t>
      </w:r>
    </w:p>
    <w:p>
      <w:pPr>
        <w:tabs>
          <w:tab w:val="left" w:pos="5145"/>
        </w:tabs>
        <w:spacing w:line="360" w:lineRule="auto"/>
        <w:jc w:val="center"/>
        <w:rPr>
          <w:rFonts w:hint="eastAsia" w:ascii="仿宋" w:hAnsi="仿宋" w:eastAsia="仿宋" w:cs="仿宋"/>
          <w:b/>
          <w:bCs/>
          <w:color w:val="auto"/>
          <w:sz w:val="52"/>
          <w:szCs w:val="52"/>
          <w:highlight w:val="none"/>
          <w:u w:val="none"/>
          <w:lang w:val="en-US" w:eastAsia="zh-CN"/>
        </w:rPr>
      </w:pPr>
    </w:p>
    <w:p>
      <w:pPr>
        <w:pStyle w:val="5"/>
        <w:rPr>
          <w:rFonts w:hint="eastAsia" w:ascii="仿宋" w:hAnsi="仿宋" w:eastAsia="仿宋" w:cs="仿宋"/>
          <w:b/>
          <w:bCs/>
          <w:color w:val="auto"/>
          <w:sz w:val="52"/>
          <w:szCs w:val="52"/>
          <w:highlight w:val="none"/>
          <w:u w:val="none"/>
          <w:lang w:val="en-US" w:eastAsia="zh-CN"/>
        </w:rPr>
      </w:pPr>
    </w:p>
    <w:p>
      <w:pPr>
        <w:pStyle w:val="5"/>
        <w:rPr>
          <w:rFonts w:hint="eastAsia" w:ascii="仿宋" w:hAnsi="仿宋" w:eastAsia="仿宋" w:cs="仿宋"/>
          <w:b/>
          <w:bCs/>
          <w:color w:val="auto"/>
          <w:sz w:val="52"/>
          <w:szCs w:val="52"/>
          <w:highlight w:val="none"/>
          <w:u w:val="none"/>
          <w:lang w:val="en-US" w:eastAsia="zh-CN"/>
        </w:rPr>
      </w:pPr>
    </w:p>
    <w:p>
      <w:pPr>
        <w:jc w:val="center"/>
        <w:rPr>
          <w:rFonts w:hint="eastAsia" w:ascii="仿宋" w:hAnsi="仿宋" w:eastAsia="仿宋" w:cs="仿宋"/>
          <w:color w:val="auto"/>
          <w:sz w:val="22"/>
          <w:szCs w:val="28"/>
          <w:highlight w:val="none"/>
        </w:rPr>
      </w:pPr>
      <w:r>
        <w:rPr>
          <w:rFonts w:hint="eastAsia" w:ascii="仿宋" w:hAnsi="仿宋" w:eastAsia="仿宋" w:cs="仿宋"/>
          <w:b/>
          <w:bCs/>
          <w:color w:val="auto"/>
          <w:sz w:val="52"/>
          <w:szCs w:val="52"/>
          <w:highlight w:val="none"/>
          <w:u w:val="none"/>
          <w:lang w:val="en-US" w:eastAsia="zh-CN"/>
        </w:rPr>
        <w:t>陕西省工业和信息化厅2022年“一带一路”汽车产业发展国际论坛项目</w:t>
      </w:r>
    </w:p>
    <w:p>
      <w:pPr>
        <w:pStyle w:val="10"/>
        <w:rPr>
          <w:rFonts w:hint="eastAsia" w:ascii="仿宋" w:hAnsi="仿宋" w:eastAsia="仿宋" w:cs="仿宋"/>
          <w:color w:val="auto"/>
          <w:sz w:val="28"/>
          <w:szCs w:val="28"/>
          <w:highlight w:val="none"/>
        </w:rPr>
      </w:pPr>
    </w:p>
    <w:p>
      <w:pPr>
        <w:rPr>
          <w:rFonts w:hint="eastAsia" w:ascii="仿宋" w:hAnsi="仿宋" w:eastAsia="仿宋" w:cs="仿宋"/>
          <w:sz w:val="22"/>
          <w:szCs w:val="28"/>
          <w:highlight w:val="none"/>
        </w:rPr>
      </w:pPr>
    </w:p>
    <w:p>
      <w:pPr>
        <w:rPr>
          <w:rFonts w:hint="eastAsia" w:ascii="仿宋" w:hAnsi="仿宋" w:eastAsia="仿宋" w:cs="仿宋"/>
          <w:color w:val="auto"/>
          <w:sz w:val="22"/>
          <w:szCs w:val="28"/>
          <w:highlight w:val="none"/>
        </w:rPr>
      </w:pPr>
    </w:p>
    <w:p>
      <w:pPr>
        <w:pStyle w:val="4"/>
        <w:jc w:val="both"/>
        <w:rPr>
          <w:rFonts w:hint="eastAsia" w:ascii="仿宋" w:hAnsi="仿宋" w:eastAsia="仿宋" w:cs="仿宋"/>
          <w:color w:val="auto"/>
          <w:sz w:val="32"/>
          <w:szCs w:val="36"/>
          <w:highlight w:val="none"/>
        </w:rPr>
      </w:pPr>
    </w:p>
    <w:p>
      <w:pPr>
        <w:tabs>
          <w:tab w:val="left" w:pos="5145"/>
        </w:tabs>
        <w:spacing w:line="360" w:lineRule="auto"/>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竞争性磋商文件</w:t>
      </w:r>
    </w:p>
    <w:p>
      <w:pPr>
        <w:tabs>
          <w:tab w:val="left" w:pos="5145"/>
        </w:tabs>
        <w:spacing w:line="360" w:lineRule="auto"/>
        <w:jc w:val="center"/>
        <w:rPr>
          <w:rFonts w:hint="eastAsia" w:ascii="仿宋" w:hAnsi="仿宋" w:eastAsia="仿宋" w:cs="仿宋"/>
          <w:color w:val="auto"/>
          <w:sz w:val="28"/>
          <w:szCs w:val="28"/>
          <w:highlight w:val="none"/>
        </w:rPr>
      </w:pPr>
    </w:p>
    <w:p>
      <w:pPr>
        <w:pStyle w:val="4"/>
        <w:rPr>
          <w:rFonts w:hint="eastAsia" w:ascii="仿宋" w:hAnsi="仿宋" w:eastAsia="仿宋" w:cs="仿宋"/>
          <w:color w:val="auto"/>
          <w:sz w:val="32"/>
          <w:szCs w:val="36"/>
          <w:highlight w:val="none"/>
        </w:rPr>
      </w:pPr>
    </w:p>
    <w:p>
      <w:pPr>
        <w:tabs>
          <w:tab w:val="left" w:pos="5145"/>
        </w:tabs>
        <w:spacing w:line="360" w:lineRule="auto"/>
        <w:jc w:val="center"/>
        <w:rPr>
          <w:rFonts w:hint="eastAsia" w:ascii="仿宋" w:hAnsi="仿宋" w:eastAsia="仿宋" w:cs="仿宋"/>
          <w:b/>
          <w:color w:val="auto"/>
          <w:sz w:val="32"/>
          <w:szCs w:val="32"/>
          <w:highlight w:val="none"/>
        </w:rPr>
      </w:pPr>
    </w:p>
    <w:p>
      <w:pPr>
        <w:tabs>
          <w:tab w:val="left" w:pos="5145"/>
        </w:tabs>
        <w:spacing w:line="360" w:lineRule="auto"/>
        <w:jc w:val="center"/>
        <w:rPr>
          <w:rFonts w:hint="eastAsia" w:ascii="仿宋" w:hAnsi="仿宋" w:eastAsia="仿宋" w:cs="仿宋"/>
          <w:b/>
          <w:color w:val="auto"/>
          <w:sz w:val="32"/>
          <w:szCs w:val="32"/>
          <w:highlight w:val="none"/>
        </w:rPr>
      </w:pPr>
    </w:p>
    <w:p>
      <w:pPr>
        <w:pStyle w:val="10"/>
        <w:rPr>
          <w:rFonts w:hint="eastAsia" w:ascii="仿宋" w:hAnsi="仿宋" w:eastAsia="仿宋" w:cs="仿宋"/>
          <w:sz w:val="28"/>
          <w:szCs w:val="28"/>
          <w:highlight w:val="none"/>
        </w:rPr>
      </w:pPr>
    </w:p>
    <w:p>
      <w:pPr>
        <w:spacing w:line="8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陕西德仁招标有限公司</w:t>
      </w:r>
    </w:p>
    <w:p>
      <w:pPr>
        <w:spacing w:line="800" w:lineRule="exact"/>
        <w:jc w:val="center"/>
        <w:rPr>
          <w:rFonts w:hint="eastAsia" w:ascii="仿宋" w:hAnsi="仿宋" w:eastAsia="仿宋" w:cs="仿宋"/>
          <w:b/>
          <w:color w:val="auto"/>
          <w:sz w:val="40"/>
          <w:szCs w:val="40"/>
          <w:highlight w:val="none"/>
        </w:rPr>
        <w:sectPr>
          <w:headerReference r:id="rId5" w:type="default"/>
          <w:pgSz w:w="11906" w:h="16838"/>
          <w:pgMar w:top="1440" w:right="1417" w:bottom="1440" w:left="1587" w:header="850" w:footer="992" w:gutter="0"/>
          <w:pgNumType w:fmt="numberInDash" w:start="1"/>
          <w:cols w:space="0" w:num="1"/>
          <w:titlePg/>
          <w:docGrid w:linePitch="312" w:charSpace="0"/>
        </w:sectPr>
      </w:pPr>
      <w:r>
        <w:rPr>
          <w:rFonts w:hint="eastAsia" w:ascii="仿宋" w:hAnsi="仿宋" w:eastAsia="仿宋" w:cs="仿宋"/>
          <w:b/>
          <w:bCs/>
          <w:color w:val="auto"/>
          <w:sz w:val="36"/>
          <w:szCs w:val="36"/>
          <w:highlight w:val="none"/>
        </w:rPr>
        <w:t>二</w:t>
      </w:r>
      <w:r>
        <w:rPr>
          <w:rFonts w:hint="eastAsia" w:ascii="仿宋" w:hAnsi="仿宋" w:eastAsia="仿宋" w:cs="仿宋"/>
          <w:b/>
          <w:bCs/>
          <w:color w:val="auto"/>
          <w:sz w:val="36"/>
          <w:szCs w:val="36"/>
          <w:highlight w:val="none"/>
          <w:lang w:val="en-US" w:eastAsia="zh-CN"/>
        </w:rPr>
        <w:t>〇</w:t>
      </w:r>
      <w:r>
        <w:rPr>
          <w:rFonts w:hint="eastAsia" w:ascii="仿宋" w:hAnsi="仿宋" w:eastAsia="仿宋" w:cs="仿宋"/>
          <w:b/>
          <w:bCs/>
          <w:color w:val="auto"/>
          <w:sz w:val="36"/>
          <w:szCs w:val="36"/>
          <w:highlight w:val="none"/>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五</w:t>
      </w:r>
      <w:r>
        <w:rPr>
          <w:rFonts w:hint="eastAsia" w:ascii="仿宋" w:hAnsi="仿宋" w:eastAsia="仿宋" w:cs="仿宋"/>
          <w:b/>
          <w:bCs/>
          <w:color w:val="auto"/>
          <w:sz w:val="36"/>
          <w:szCs w:val="36"/>
          <w:highlight w:val="none"/>
        </w:rPr>
        <w:t>月</w:t>
      </w:r>
    </w:p>
    <w:p>
      <w:pPr>
        <w:tabs>
          <w:tab w:val="left" w:pos="2530"/>
          <w:tab w:val="center" w:pos="4513"/>
        </w:tabs>
        <w:snapToGrid w:val="0"/>
        <w:spacing w:line="360" w:lineRule="auto"/>
        <w:jc w:val="center"/>
        <w:rPr>
          <w:rFonts w:hint="eastAsia" w:ascii="仿宋" w:hAnsi="仿宋" w:eastAsia="仿宋" w:cs="仿宋"/>
          <w:b/>
          <w:bCs/>
          <w:sz w:val="44"/>
          <w:szCs w:val="44"/>
          <w:highlight w:val="none"/>
        </w:rPr>
      </w:pPr>
      <w:r>
        <w:rPr>
          <w:rFonts w:hint="eastAsia" w:ascii="仿宋" w:hAnsi="仿宋" w:eastAsia="仿宋" w:cs="仿宋"/>
          <w:b/>
          <w:bCs/>
          <w:sz w:val="56"/>
          <w:szCs w:val="56"/>
          <w:highlight w:val="none"/>
        </w:rPr>
        <w:t>目    录</w:t>
      </w:r>
    </w:p>
    <w:p>
      <w:pPr>
        <w:pStyle w:val="18"/>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TOC \o "1-2" \h \u </w:instrText>
      </w:r>
      <w:r>
        <w:rPr>
          <w:rFonts w:hint="eastAsia" w:ascii="仿宋" w:hAnsi="仿宋" w:eastAsia="仿宋" w:cs="仿宋"/>
          <w:sz w:val="32"/>
          <w:szCs w:val="32"/>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_Toc26036 </w:instrText>
      </w:r>
      <w:r>
        <w:rPr>
          <w:rFonts w:hint="eastAsia" w:ascii="仿宋" w:hAnsi="仿宋" w:eastAsia="仿宋" w:cs="仿宋"/>
          <w:sz w:val="28"/>
          <w:szCs w:val="28"/>
          <w:highlight w:val="none"/>
        </w:rPr>
        <w:fldChar w:fldCharType="separate"/>
      </w:r>
      <w:r>
        <w:rPr>
          <w:rFonts w:hint="eastAsia" w:ascii="仿宋" w:hAnsi="仿宋" w:eastAsia="仿宋" w:cs="仿宋"/>
          <w:bCs/>
          <w:kern w:val="2"/>
          <w:sz w:val="28"/>
          <w:szCs w:val="28"/>
          <w:highlight w:val="none"/>
          <w:lang w:val="en-US" w:eastAsia="zh-CN" w:bidi="ar-SA"/>
        </w:rPr>
        <w:t>第一章  竞争性磋商公告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_Toc26036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_Toc30927 </w:instrText>
      </w:r>
      <w:r>
        <w:rPr>
          <w:rFonts w:hint="eastAsia" w:ascii="仿宋" w:hAnsi="仿宋" w:eastAsia="仿宋" w:cs="仿宋"/>
          <w:sz w:val="28"/>
          <w:szCs w:val="28"/>
          <w:highlight w:val="none"/>
        </w:rPr>
        <w:fldChar w:fldCharType="separate"/>
      </w:r>
      <w:r>
        <w:rPr>
          <w:rFonts w:hint="eastAsia" w:ascii="仿宋" w:hAnsi="仿宋" w:eastAsia="仿宋" w:cs="仿宋"/>
          <w:bCs/>
          <w:kern w:val="2"/>
          <w:sz w:val="28"/>
          <w:szCs w:val="28"/>
          <w:highlight w:val="none"/>
          <w:lang w:val="en-US" w:eastAsia="zh-CN" w:bidi="ar-SA"/>
        </w:rPr>
        <w:t>第二章  磋商供应商须知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_Toc30927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- 5 -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_Toc2152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名词解释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_Toc2152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- 12 -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_Toc25299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磋商供应商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_Toc25299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- 12 -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_Toc19484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磋商文件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_Toc19484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- 14 -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_Toc10771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四</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磋商要求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_Toc10771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- 15 -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_Toc30826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五</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磋商响应文件封装、递交</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_Toc30826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- 18 -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_Toc29603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六</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磋商</w:t>
      </w:r>
      <w:r>
        <w:rPr>
          <w:rFonts w:hint="eastAsia" w:ascii="仿宋" w:hAnsi="仿宋" w:eastAsia="仿宋" w:cs="仿宋"/>
          <w:sz w:val="28"/>
          <w:szCs w:val="28"/>
          <w:highlight w:val="none"/>
          <w:lang w:val="en-US" w:eastAsia="zh-CN"/>
        </w:rPr>
        <w:t>与评审</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_Toc29603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- 20 -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_Toc12908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七</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确定成交人、成交通知与签约</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_Toc12908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- 21 -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_Toc31527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八、其他事项</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_Toc31527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- 21 -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_Toc3681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九</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成交服务费</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_Toc3681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- 22 -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_Toc22117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十</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质疑</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_Toc22117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- 22 -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_Toc23409 </w:instrText>
      </w:r>
      <w:r>
        <w:rPr>
          <w:rFonts w:hint="eastAsia" w:ascii="仿宋" w:hAnsi="仿宋" w:eastAsia="仿宋" w:cs="仿宋"/>
          <w:sz w:val="28"/>
          <w:szCs w:val="28"/>
          <w:highlight w:val="none"/>
        </w:rPr>
        <w:fldChar w:fldCharType="separate"/>
      </w:r>
      <w:r>
        <w:rPr>
          <w:rFonts w:hint="eastAsia" w:ascii="仿宋" w:hAnsi="仿宋" w:eastAsia="仿宋" w:cs="仿宋"/>
          <w:bCs/>
          <w:kern w:val="2"/>
          <w:sz w:val="28"/>
          <w:szCs w:val="28"/>
          <w:highlight w:val="none"/>
          <w:lang w:val="en-US" w:eastAsia="zh-CN" w:bidi="ar-SA"/>
        </w:rPr>
        <w:t>第三章  磋商要求及说明</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_Toc23409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- 25 -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_Toc20085 </w:instrText>
      </w:r>
      <w:r>
        <w:rPr>
          <w:rFonts w:hint="eastAsia" w:ascii="仿宋" w:hAnsi="仿宋" w:eastAsia="仿宋" w:cs="仿宋"/>
          <w:sz w:val="28"/>
          <w:szCs w:val="28"/>
          <w:highlight w:val="none"/>
        </w:rPr>
        <w:fldChar w:fldCharType="separate"/>
      </w:r>
      <w:r>
        <w:rPr>
          <w:rFonts w:hint="eastAsia" w:ascii="仿宋" w:hAnsi="仿宋" w:eastAsia="仿宋" w:cs="仿宋"/>
          <w:bCs/>
          <w:kern w:val="2"/>
          <w:sz w:val="28"/>
          <w:szCs w:val="28"/>
          <w:highlight w:val="none"/>
          <w:lang w:val="en-US" w:eastAsia="zh-CN" w:bidi="ar-SA"/>
        </w:rPr>
        <w:t>第四章  商务及合同主要条款</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_Toc20085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- 25 -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_Toc25245 </w:instrText>
      </w:r>
      <w:r>
        <w:rPr>
          <w:rFonts w:hint="eastAsia" w:ascii="仿宋" w:hAnsi="仿宋" w:eastAsia="仿宋" w:cs="仿宋"/>
          <w:sz w:val="28"/>
          <w:szCs w:val="28"/>
          <w:highlight w:val="none"/>
        </w:rPr>
        <w:fldChar w:fldCharType="separate"/>
      </w:r>
      <w:r>
        <w:rPr>
          <w:rFonts w:hint="eastAsia" w:ascii="仿宋" w:hAnsi="仿宋" w:eastAsia="仿宋" w:cs="仿宋"/>
          <w:bCs/>
          <w:kern w:val="2"/>
          <w:sz w:val="28"/>
          <w:szCs w:val="28"/>
          <w:highlight w:val="none"/>
          <w:lang w:val="en-US" w:eastAsia="zh-CN" w:bidi="ar-SA"/>
        </w:rPr>
        <w:t>第五章  评审办法</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_Toc25245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- 36 -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902"/>
        </w:tabs>
        <w:kinsoku/>
        <w:wordWrap/>
        <w:overflowPunct/>
        <w:topLinePunct w:val="0"/>
        <w:autoSpaceDE/>
        <w:autoSpaceDN/>
        <w:bidi w:val="0"/>
        <w:adjustRightInd/>
        <w:snapToGrid/>
        <w:spacing w:line="480" w:lineRule="auto"/>
        <w:textAlignment w:val="auto"/>
        <w:rPr>
          <w:rFonts w:hint="eastAsia" w:ascii="仿宋" w:hAnsi="仿宋" w:eastAsia="仿宋" w:cs="仿宋"/>
          <w:sz w:val="22"/>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_Toc17274 </w:instrText>
      </w:r>
      <w:r>
        <w:rPr>
          <w:rFonts w:hint="eastAsia" w:ascii="仿宋" w:hAnsi="仿宋" w:eastAsia="仿宋" w:cs="仿宋"/>
          <w:sz w:val="28"/>
          <w:szCs w:val="28"/>
          <w:highlight w:val="none"/>
        </w:rPr>
        <w:fldChar w:fldCharType="separate"/>
      </w:r>
      <w:r>
        <w:rPr>
          <w:rFonts w:hint="eastAsia" w:ascii="仿宋" w:hAnsi="仿宋" w:eastAsia="仿宋" w:cs="仿宋"/>
          <w:bCs/>
          <w:kern w:val="2"/>
          <w:sz w:val="28"/>
          <w:szCs w:val="28"/>
          <w:highlight w:val="none"/>
          <w:lang w:val="en-US" w:eastAsia="zh-CN" w:bidi="ar-SA"/>
        </w:rPr>
        <w:t>第六章  竞争性磋商响应文件格式</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_Toc17274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- 45 -</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1"/>
        <w:keepNext w:val="0"/>
        <w:keepLines w:val="0"/>
        <w:pageBreakBefore w:val="0"/>
        <w:widowControl w:val="0"/>
        <w:tabs>
          <w:tab w:val="right" w:leader="hyphen" w:pos="9016"/>
        </w:tabs>
        <w:kinsoku/>
        <w:wordWrap/>
        <w:overflowPunct/>
        <w:topLinePunct w:val="0"/>
        <w:autoSpaceDE/>
        <w:autoSpaceDN/>
        <w:bidi w:val="0"/>
        <w:adjustRightInd/>
        <w:snapToGrid/>
        <w:spacing w:line="480" w:lineRule="auto"/>
        <w:ind w:left="0" w:leftChars="0"/>
        <w:jc w:val="center"/>
        <w:textAlignment w:val="auto"/>
        <w:rPr>
          <w:rFonts w:hint="eastAsia" w:ascii="仿宋" w:hAnsi="仿宋" w:eastAsia="仿宋" w:cs="仿宋"/>
          <w:sz w:val="32"/>
          <w:szCs w:val="32"/>
          <w:highlight w:val="none"/>
        </w:rPr>
      </w:pPr>
      <w:r>
        <w:rPr>
          <w:rFonts w:hint="eastAsia" w:ascii="仿宋" w:hAnsi="仿宋" w:eastAsia="仿宋" w:cs="仿宋"/>
          <w:sz w:val="22"/>
          <w:szCs w:val="32"/>
          <w:highlight w:val="none"/>
        </w:rPr>
        <w:fldChar w:fldCharType="end"/>
      </w:r>
    </w:p>
    <w:p>
      <w:pPr>
        <w:rPr>
          <w:rFonts w:hint="eastAsia" w:ascii="仿宋" w:hAnsi="仿宋" w:eastAsia="仿宋" w:cs="仿宋"/>
          <w:sz w:val="22"/>
          <w:szCs w:val="28"/>
          <w:highlight w:val="none"/>
        </w:rPr>
      </w:pPr>
    </w:p>
    <w:p>
      <w:pPr>
        <w:tabs>
          <w:tab w:val="center" w:pos="4451"/>
        </w:tabs>
        <w:jc w:val="left"/>
        <w:rPr>
          <w:rFonts w:hint="eastAsia" w:ascii="仿宋" w:hAnsi="仿宋" w:eastAsia="仿宋" w:cs="仿宋"/>
          <w:sz w:val="22"/>
          <w:szCs w:val="28"/>
          <w:highlight w:val="none"/>
        </w:rPr>
        <w:sectPr>
          <w:headerReference r:id="rId7" w:type="first"/>
          <w:headerReference r:id="rId6" w:type="default"/>
          <w:footerReference r:id="rId8" w:type="default"/>
          <w:pgSz w:w="11906" w:h="16838"/>
          <w:pgMar w:top="1440" w:right="1417" w:bottom="1440" w:left="1587" w:header="850" w:footer="992" w:gutter="0"/>
          <w:pgNumType w:fmt="numberInDash" w:start="1"/>
          <w:cols w:space="0" w:num="1"/>
          <w:titlePg/>
          <w:docGrid w:type="lines" w:linePitch="312" w:charSpace="0"/>
        </w:sectPr>
      </w:pPr>
      <w:r>
        <w:rPr>
          <w:rFonts w:hint="eastAsia" w:ascii="仿宋" w:hAnsi="仿宋" w:eastAsia="仿宋" w:cs="仿宋"/>
          <w:sz w:val="22"/>
          <w:szCs w:val="28"/>
          <w:highlight w:val="none"/>
        </w:rPr>
        <w:tab/>
      </w:r>
    </w:p>
    <w:bookmarkEnd w:id="0"/>
    <w:bookmarkEnd w:id="1"/>
    <w:bookmarkEnd w:id="2"/>
    <w:bookmarkEnd w:id="3"/>
    <w:p>
      <w:pPr>
        <w:jc w:val="center"/>
        <w:outlineLvl w:val="0"/>
        <w:rPr>
          <w:rFonts w:hint="eastAsia" w:ascii="仿宋" w:hAnsi="仿宋" w:eastAsia="仿宋" w:cs="仿宋"/>
          <w:b/>
          <w:bCs/>
          <w:color w:val="auto"/>
          <w:kern w:val="2"/>
          <w:sz w:val="36"/>
          <w:szCs w:val="36"/>
          <w:highlight w:val="none"/>
          <w:lang w:val="en-US" w:eastAsia="zh-CN" w:bidi="ar-SA"/>
        </w:rPr>
      </w:pPr>
      <w:bookmarkStart w:id="4" w:name="_Toc26036"/>
      <w:bookmarkStart w:id="5" w:name="_Toc519156736"/>
      <w:bookmarkStart w:id="6" w:name="_Toc28842"/>
      <w:bookmarkStart w:id="7" w:name="_Toc495908399"/>
      <w:bookmarkStart w:id="8" w:name="_Toc26933"/>
      <w:bookmarkStart w:id="9" w:name="_Toc2990"/>
      <w:bookmarkStart w:id="10" w:name="_Toc8474"/>
      <w:r>
        <w:rPr>
          <w:rFonts w:hint="eastAsia" w:ascii="仿宋" w:hAnsi="仿宋" w:eastAsia="仿宋" w:cs="仿宋"/>
          <w:b/>
          <w:bCs/>
          <w:color w:val="auto"/>
          <w:kern w:val="2"/>
          <w:sz w:val="36"/>
          <w:szCs w:val="36"/>
          <w:highlight w:val="none"/>
          <w:lang w:val="en-US" w:eastAsia="zh-CN" w:bidi="ar-SA"/>
        </w:rPr>
        <w:t>第一章  竞争性磋商公告</w:t>
      </w:r>
      <w:bookmarkEnd w:id="4"/>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center"/>
        <w:rPr>
          <w:rFonts w:hint="eastAsia" w:ascii="仿宋" w:hAnsi="仿宋" w:eastAsia="仿宋" w:cs="仿宋"/>
          <w:b/>
          <w:bCs/>
          <w:i w:val="0"/>
          <w:iCs w:val="0"/>
          <w:caps w:val="0"/>
          <w:color w:val="auto"/>
          <w:spacing w:val="0"/>
          <w:sz w:val="28"/>
          <w:szCs w:val="28"/>
          <w:highlight w:val="none"/>
        </w:rPr>
      </w:pPr>
      <w:r>
        <w:rPr>
          <w:rFonts w:hint="eastAsia" w:ascii="仿宋" w:hAnsi="仿宋" w:eastAsia="仿宋" w:cs="仿宋"/>
          <w:b/>
          <w:bCs/>
          <w:i w:val="0"/>
          <w:iCs w:val="0"/>
          <w:caps w:val="0"/>
          <w:color w:val="auto"/>
          <w:spacing w:val="0"/>
          <w:kern w:val="0"/>
          <w:sz w:val="28"/>
          <w:szCs w:val="28"/>
          <w:highlight w:val="none"/>
          <w:lang w:val="en-US" w:eastAsia="zh-CN" w:bidi="ar"/>
        </w:rPr>
        <w:t>陕西省工业和信息化厅2022年“一带一路”汽车产业发展国际论坛项目竞争性磋商公告</w:t>
      </w:r>
    </w:p>
    <w:p>
      <w:pPr>
        <w:pStyle w:val="8"/>
        <w:keepNext w:val="0"/>
        <w:keepLines w:val="0"/>
        <w:widowControl/>
        <w:suppressLineNumbers w:val="0"/>
        <w:pBdr>
          <w:top w:val="single" w:color="auto" w:sz="4" w:space="0"/>
          <w:left w:val="single" w:color="auto" w:sz="4" w:space="0"/>
          <w:bottom w:val="single" w:color="auto" w:sz="4" w:space="0"/>
          <w:right w:val="single" w:color="auto" w:sz="4" w:space="0"/>
        </w:pBdr>
        <w:wordWrap w:val="0"/>
        <w:spacing w:before="150" w:beforeAutospacing="0" w:after="15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项目概况</w:t>
      </w:r>
    </w:p>
    <w:p>
      <w:pPr>
        <w:pStyle w:val="23"/>
        <w:keepNext w:val="0"/>
        <w:keepLines w:val="0"/>
        <w:widowControl/>
        <w:suppressLineNumbers w:val="0"/>
        <w:pBdr>
          <w:top w:val="single" w:color="auto" w:sz="4" w:space="0"/>
          <w:left w:val="single" w:color="auto" w:sz="4" w:space="0"/>
          <w:bottom w:val="single" w:color="auto" w:sz="4" w:space="0"/>
          <w:right w:val="single" w:color="auto" w:sz="4" w:space="0"/>
        </w:pBdr>
        <w:wordWrap w:val="0"/>
        <w:spacing w:before="150" w:beforeAutospacing="0" w:after="15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lang w:eastAsia="zh-CN"/>
        </w:rPr>
        <w:t>陕西省工业和信息化厅2022年“一带一路”汽车产业发展国际论坛项目</w:t>
      </w:r>
      <w:r>
        <w:rPr>
          <w:rFonts w:hint="eastAsia" w:ascii="仿宋" w:hAnsi="仿宋" w:eastAsia="仿宋" w:cs="仿宋"/>
          <w:i w:val="0"/>
          <w:iCs w:val="0"/>
          <w:caps w:val="0"/>
          <w:color w:val="auto"/>
          <w:spacing w:val="0"/>
          <w:sz w:val="24"/>
          <w:szCs w:val="24"/>
          <w:highlight w:val="none"/>
        </w:rPr>
        <w:t>采购项目的潜在供应商应在西安市高新区沣惠南路20号华晶商务广场B座2301室获取采购文件，并于 </w:t>
      </w:r>
      <w:r>
        <w:rPr>
          <w:rFonts w:hint="eastAsia" w:ascii="仿宋" w:hAnsi="仿宋" w:eastAsia="仿宋" w:cs="仿宋"/>
          <w:i w:val="0"/>
          <w:iCs w:val="0"/>
          <w:caps w:val="0"/>
          <w:color w:val="auto"/>
          <w:spacing w:val="0"/>
          <w:sz w:val="24"/>
          <w:szCs w:val="24"/>
          <w:highlight w:val="none"/>
        </w:rPr>
        <w:t>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17</w:t>
      </w:r>
      <w:r>
        <w:rPr>
          <w:rFonts w:hint="eastAsia" w:ascii="仿宋" w:hAnsi="仿宋" w:eastAsia="仿宋" w:cs="仿宋"/>
          <w:i w:val="0"/>
          <w:iCs w:val="0"/>
          <w:caps w:val="0"/>
          <w:color w:val="auto"/>
          <w:spacing w:val="0"/>
          <w:sz w:val="24"/>
          <w:szCs w:val="24"/>
          <w:highlight w:val="none"/>
        </w:rPr>
        <w:t xml:space="preserve">日 </w:t>
      </w:r>
      <w:r>
        <w:rPr>
          <w:rFonts w:hint="eastAsia" w:ascii="仿宋" w:hAnsi="仿宋" w:eastAsia="仿宋" w:cs="仿宋"/>
          <w:i w:val="0"/>
          <w:iCs w:val="0"/>
          <w:caps w:val="0"/>
          <w:color w:val="auto"/>
          <w:spacing w:val="0"/>
          <w:sz w:val="24"/>
          <w:szCs w:val="24"/>
          <w:highlight w:val="none"/>
          <w:lang w:val="en-US" w:eastAsia="zh-CN"/>
        </w:rPr>
        <w:t>09</w:t>
      </w:r>
      <w:r>
        <w:rPr>
          <w:rFonts w:hint="eastAsia" w:ascii="仿宋" w:hAnsi="仿宋" w:eastAsia="仿宋" w:cs="仿宋"/>
          <w:i w:val="0"/>
          <w:iCs w:val="0"/>
          <w:caps w:val="0"/>
          <w:color w:val="auto"/>
          <w:spacing w:val="0"/>
          <w:sz w:val="24"/>
          <w:szCs w:val="24"/>
          <w:highlight w:val="none"/>
        </w:rPr>
        <w:t>时</w:t>
      </w:r>
      <w:r>
        <w:rPr>
          <w:rFonts w:hint="eastAsia" w:ascii="仿宋" w:hAnsi="仿宋" w:eastAsia="仿宋" w:cs="仿宋"/>
          <w:i w:val="0"/>
          <w:iCs w:val="0"/>
          <w:caps w:val="0"/>
          <w:color w:val="auto"/>
          <w:spacing w:val="0"/>
          <w:sz w:val="24"/>
          <w:szCs w:val="24"/>
          <w:highlight w:val="none"/>
          <w:lang w:val="en-US" w:eastAsia="zh-CN"/>
        </w:rPr>
        <w:t>3</w:t>
      </w:r>
      <w:r>
        <w:rPr>
          <w:rFonts w:hint="eastAsia" w:ascii="仿宋" w:hAnsi="仿宋" w:eastAsia="仿宋" w:cs="仿宋"/>
          <w:i w:val="0"/>
          <w:iCs w:val="0"/>
          <w:caps w:val="0"/>
          <w:color w:val="auto"/>
          <w:spacing w:val="0"/>
          <w:sz w:val="24"/>
          <w:szCs w:val="24"/>
          <w:highlight w:val="none"/>
        </w:rPr>
        <w:t>0分</w:t>
      </w:r>
      <w:r>
        <w:rPr>
          <w:rFonts w:hint="eastAsia" w:ascii="仿宋" w:hAnsi="仿宋" w:eastAsia="仿宋" w:cs="仿宋"/>
          <w:i w:val="0"/>
          <w:iCs w:val="0"/>
          <w:caps w:val="0"/>
          <w:color w:val="auto"/>
          <w:spacing w:val="0"/>
          <w:sz w:val="24"/>
          <w:szCs w:val="24"/>
          <w:highlight w:val="none"/>
        </w:rPr>
        <w:t>（北京时间）前提交响应文件。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一、项目基本情况</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项目编号：</w:t>
      </w:r>
      <w:r>
        <w:rPr>
          <w:rFonts w:hint="eastAsia" w:ascii="仿宋" w:hAnsi="仿宋" w:eastAsia="仿宋" w:cs="仿宋"/>
          <w:i w:val="0"/>
          <w:iCs w:val="0"/>
          <w:caps w:val="0"/>
          <w:color w:val="auto"/>
          <w:spacing w:val="0"/>
          <w:sz w:val="24"/>
          <w:szCs w:val="24"/>
          <w:highlight w:val="none"/>
          <w:lang w:eastAsia="zh-CN"/>
        </w:rPr>
        <w:t>DRZB2022-ZC-134</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rPr>
        <w:t>项目名称：</w:t>
      </w:r>
      <w:r>
        <w:rPr>
          <w:rFonts w:hint="eastAsia" w:ascii="仿宋" w:hAnsi="仿宋" w:eastAsia="仿宋" w:cs="仿宋"/>
          <w:i w:val="0"/>
          <w:iCs w:val="0"/>
          <w:caps w:val="0"/>
          <w:color w:val="auto"/>
          <w:spacing w:val="0"/>
          <w:sz w:val="24"/>
          <w:szCs w:val="24"/>
          <w:highlight w:val="none"/>
          <w:lang w:eastAsia="zh-CN"/>
        </w:rPr>
        <w:t>陕西省工业和信息化厅2022年“一带一路”汽车产业发展国际论坛项目</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采购方式：竞争性磋商</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预算金额：</w:t>
      </w:r>
      <w:r>
        <w:rPr>
          <w:rFonts w:hint="eastAsia" w:ascii="仿宋" w:hAnsi="仿宋" w:eastAsia="仿宋" w:cs="仿宋"/>
          <w:i w:val="0"/>
          <w:iCs w:val="0"/>
          <w:caps w:val="0"/>
          <w:color w:val="auto"/>
          <w:spacing w:val="0"/>
          <w:sz w:val="24"/>
          <w:szCs w:val="24"/>
          <w:highlight w:val="none"/>
          <w:lang w:val="en-US" w:eastAsia="zh-CN"/>
        </w:rPr>
        <w:t>950</w:t>
      </w:r>
      <w:r>
        <w:rPr>
          <w:rFonts w:hint="eastAsia" w:ascii="仿宋" w:hAnsi="仿宋" w:eastAsia="仿宋" w:cs="仿宋"/>
          <w:i w:val="0"/>
          <w:iCs w:val="0"/>
          <w:caps w:val="0"/>
          <w:color w:val="auto"/>
          <w:spacing w:val="0"/>
          <w:sz w:val="24"/>
          <w:szCs w:val="24"/>
          <w:highlight w:val="none"/>
        </w:rPr>
        <w:t>,000.00元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采购需求：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合同包1(</w:t>
      </w:r>
      <w:r>
        <w:rPr>
          <w:rFonts w:hint="eastAsia" w:ascii="仿宋" w:hAnsi="仿宋" w:eastAsia="仿宋" w:cs="仿宋"/>
          <w:i w:val="0"/>
          <w:iCs w:val="0"/>
          <w:caps w:val="0"/>
          <w:color w:val="auto"/>
          <w:spacing w:val="0"/>
          <w:sz w:val="24"/>
          <w:szCs w:val="24"/>
          <w:highlight w:val="none"/>
          <w:lang w:eastAsia="zh-CN"/>
        </w:rPr>
        <w:t>陕西省工业和信息化厅2022年“一带一路”汽车产业发展国际论坛项目</w:t>
      </w:r>
      <w:r>
        <w:rPr>
          <w:rFonts w:hint="eastAsia" w:ascii="仿宋" w:hAnsi="仿宋" w:eastAsia="仿宋" w:cs="仿宋"/>
          <w:i w:val="0"/>
          <w:iCs w:val="0"/>
          <w:caps w:val="0"/>
          <w:color w:val="auto"/>
          <w:spacing w:val="0"/>
          <w:sz w:val="24"/>
          <w:szCs w:val="24"/>
          <w:highlight w:val="none"/>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合同包预算金额：</w:t>
      </w:r>
      <w:r>
        <w:rPr>
          <w:rFonts w:hint="eastAsia" w:ascii="仿宋" w:hAnsi="仿宋" w:eastAsia="仿宋" w:cs="仿宋"/>
          <w:i w:val="0"/>
          <w:iCs w:val="0"/>
          <w:caps w:val="0"/>
          <w:color w:val="auto"/>
          <w:spacing w:val="0"/>
          <w:sz w:val="24"/>
          <w:szCs w:val="24"/>
          <w:highlight w:val="none"/>
          <w:lang w:eastAsia="zh-CN"/>
        </w:rPr>
        <w:t>950000.00</w:t>
      </w:r>
      <w:r>
        <w:rPr>
          <w:rFonts w:hint="eastAsia" w:ascii="仿宋" w:hAnsi="仿宋" w:eastAsia="仿宋" w:cs="仿宋"/>
          <w:i w:val="0"/>
          <w:iCs w:val="0"/>
          <w:caps w:val="0"/>
          <w:color w:val="auto"/>
          <w:spacing w:val="0"/>
          <w:sz w:val="24"/>
          <w:szCs w:val="24"/>
          <w:highlight w:val="none"/>
        </w:rPr>
        <w:t>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合同包最高限价：</w:t>
      </w:r>
      <w:r>
        <w:rPr>
          <w:rFonts w:hint="eastAsia" w:ascii="仿宋" w:hAnsi="仿宋" w:eastAsia="仿宋" w:cs="仿宋"/>
          <w:i w:val="0"/>
          <w:iCs w:val="0"/>
          <w:caps w:val="0"/>
          <w:color w:val="auto"/>
          <w:spacing w:val="0"/>
          <w:sz w:val="24"/>
          <w:szCs w:val="24"/>
          <w:highlight w:val="none"/>
          <w:lang w:eastAsia="zh-CN"/>
        </w:rPr>
        <w:t>950000.00</w:t>
      </w:r>
      <w:r>
        <w:rPr>
          <w:rFonts w:hint="eastAsia" w:ascii="仿宋" w:hAnsi="仿宋" w:eastAsia="仿宋" w:cs="仿宋"/>
          <w:i w:val="0"/>
          <w:iCs w:val="0"/>
          <w:caps w:val="0"/>
          <w:color w:val="auto"/>
          <w:spacing w:val="0"/>
          <w:sz w:val="24"/>
          <w:szCs w:val="24"/>
          <w:highlight w:val="none"/>
        </w:rPr>
        <w:t>元</w:t>
      </w:r>
    </w:p>
    <w:tbl>
      <w:tblPr>
        <w:tblStyle w:val="27"/>
        <w:tblW w:w="4997"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2"/>
        <w:gridCol w:w="1108"/>
        <w:gridCol w:w="2717"/>
        <w:gridCol w:w="722"/>
        <w:gridCol w:w="1095"/>
        <w:gridCol w:w="1322"/>
        <w:gridCol w:w="13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74" w:hRule="atLeast"/>
          <w:tblHeader/>
          <w:jc w:val="center"/>
        </w:trPr>
        <w:tc>
          <w:tcPr>
            <w:tcW w:w="5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6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15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3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数量（单位）</w:t>
            </w:r>
          </w:p>
        </w:tc>
        <w:tc>
          <w:tcPr>
            <w:tcW w:w="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78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3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8" w:hRule="atLeast"/>
          <w:jc w:val="center"/>
        </w:trPr>
        <w:tc>
          <w:tcPr>
            <w:tcW w:w="5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6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i w:val="0"/>
                <w:iCs w:val="0"/>
                <w:caps w:val="0"/>
                <w:color w:val="auto"/>
                <w:spacing w:val="0"/>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
              </w:rPr>
              <w:t>其他会展服务</w:t>
            </w:r>
          </w:p>
        </w:tc>
        <w:tc>
          <w:tcPr>
            <w:tcW w:w="15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仿宋" w:hAnsi="仿宋" w:eastAsia="仿宋" w:cs="仿宋"/>
                <w:i w:val="0"/>
                <w:iCs w:val="0"/>
                <w:caps w:val="0"/>
                <w:color w:val="auto"/>
                <w:spacing w:val="0"/>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2022年“一带一路”汽车产业发展国际论坛</w:t>
            </w:r>
          </w:p>
        </w:tc>
        <w:tc>
          <w:tcPr>
            <w:tcW w:w="3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1(项)</w:t>
            </w:r>
          </w:p>
        </w:tc>
        <w:tc>
          <w:tcPr>
            <w:tcW w:w="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详见采购文件</w:t>
            </w:r>
          </w:p>
        </w:tc>
        <w:tc>
          <w:tcPr>
            <w:tcW w:w="78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950000.00</w:t>
            </w:r>
          </w:p>
        </w:tc>
        <w:tc>
          <w:tcPr>
            <w:tcW w:w="3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950000.00</w:t>
            </w:r>
          </w:p>
        </w:tc>
      </w:tr>
    </w:tbl>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本合同包不接受联合体投标</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合同履行期限：</w:t>
      </w:r>
      <w:r>
        <w:rPr>
          <w:rFonts w:hint="eastAsia" w:ascii="仿宋_GB2312" w:hAnsi="仿宋_GB2312" w:eastAsia="仿宋_GB2312" w:cs="仿宋_GB2312"/>
          <w:sz w:val="24"/>
          <w:highlight w:val="none"/>
        </w:rPr>
        <w:t>合同签订之日起至20</w:t>
      </w:r>
      <w:r>
        <w:rPr>
          <w:rFonts w:hint="eastAsia" w:ascii="仿宋_GB2312" w:hAnsi="仿宋_GB2312" w:eastAsia="仿宋_GB2312" w:cs="仿宋_GB2312"/>
          <w:sz w:val="24"/>
          <w:highlight w:val="none"/>
          <w:lang w:val="en-US" w:eastAsia="zh-CN"/>
        </w:rPr>
        <w:t>22</w:t>
      </w:r>
      <w:r>
        <w:rPr>
          <w:rFonts w:hint="eastAsia" w:ascii="仿宋_GB2312" w:hAnsi="仿宋_GB2312" w:eastAsia="仿宋_GB2312" w:cs="仿宋_GB2312"/>
          <w:sz w:val="24"/>
          <w:highlight w:val="none"/>
        </w:rPr>
        <w:t>年</w:t>
      </w:r>
      <w:r>
        <w:rPr>
          <w:rFonts w:hint="eastAsia" w:ascii="仿宋" w:hAnsi="仿宋" w:eastAsia="仿宋"/>
          <w:color w:val="0D0D0D"/>
          <w:sz w:val="24"/>
          <w:szCs w:val="24"/>
          <w:highlight w:val="none"/>
        </w:rPr>
        <w:t>11月30日</w:t>
      </w:r>
      <w:r>
        <w:rPr>
          <w:rFonts w:hint="eastAsia" w:ascii="仿宋" w:hAnsi="仿宋" w:eastAsia="仿宋" w:cs="仿宋"/>
          <w:kern w:val="0"/>
          <w:sz w:val="24"/>
          <w:szCs w:val="24"/>
          <w:highlight w:val="none"/>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二、申请人的资格要求：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1.满足《中华人民共和国政府釆购法》第二十二条规定;</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2.落实政府采购政策需满足的资格要求：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合同包1(</w:t>
      </w:r>
      <w:r>
        <w:rPr>
          <w:rFonts w:hint="eastAsia" w:ascii="仿宋" w:hAnsi="仿宋" w:eastAsia="仿宋" w:cs="仿宋"/>
          <w:i w:val="0"/>
          <w:iCs w:val="0"/>
          <w:caps w:val="0"/>
          <w:color w:val="auto"/>
          <w:spacing w:val="0"/>
          <w:sz w:val="24"/>
          <w:szCs w:val="24"/>
          <w:highlight w:val="none"/>
          <w:lang w:eastAsia="zh-CN"/>
        </w:rPr>
        <w:t>陕西省工业和信息化厅2022年“一带一路”汽车产业发展国际论坛项目</w:t>
      </w:r>
      <w:r>
        <w:rPr>
          <w:rFonts w:hint="eastAsia" w:ascii="仿宋" w:hAnsi="仿宋" w:eastAsia="仿宋" w:cs="仿宋"/>
          <w:i w:val="0"/>
          <w:iCs w:val="0"/>
          <w:caps w:val="0"/>
          <w:color w:val="auto"/>
          <w:spacing w:val="0"/>
          <w:sz w:val="24"/>
          <w:szCs w:val="24"/>
          <w:highlight w:val="none"/>
        </w:rPr>
        <w:t>)落实政府采购政策需满足的资格要求如下:</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财政部、司法部关于政府采购支持监狱企业发展有关问题的通知》（财库〔2014〕68号）；（5）残疾人福利性单位应符合《财政部、民政部、中国残疾人联合会关于促进残疾人就业政府采购政策的通知》（财库〔2017〕141号）；（6）陕西省财政厅关于印发《陕西省中小企业政府采购信用融资办法》（陕财办采〔2018〕23号）；（7）《财政部发展改革委生态环境部市场监管总局关于调整优化节能产品、环境标志产品政府采购执行机制的通知》（财库〔2019〕9号）；（8）《财政部 农业农村部 国家乡村振兴局关于运用政府采购政策支持乡村产业振兴的通知》（财库〔2021〕19号）；（9）《市场监督总局关于发布参与实施政府采购节能产品、环境标志产品认证机构名录的公告》—2019年第16号；（10）《政府采购促进中小企业发展管办法》（财库〔2020〕46号）；（11）其他需要落实的政府采购政策。</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3.本项目的特定资格要求：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合同包1(</w:t>
      </w:r>
      <w:r>
        <w:rPr>
          <w:rFonts w:hint="eastAsia" w:ascii="仿宋" w:hAnsi="仿宋" w:eastAsia="仿宋" w:cs="仿宋"/>
          <w:i w:val="0"/>
          <w:iCs w:val="0"/>
          <w:caps w:val="0"/>
          <w:color w:val="auto"/>
          <w:spacing w:val="0"/>
          <w:sz w:val="24"/>
          <w:szCs w:val="24"/>
          <w:highlight w:val="none"/>
          <w:lang w:eastAsia="zh-CN"/>
        </w:rPr>
        <w:t>陕西省工业和信息化厅2022年“一带一路”汽车产业发展国际论坛项目</w:t>
      </w:r>
      <w:r>
        <w:rPr>
          <w:rFonts w:hint="eastAsia" w:ascii="仿宋" w:hAnsi="仿宋" w:eastAsia="仿宋" w:cs="仿宋"/>
          <w:i w:val="0"/>
          <w:iCs w:val="0"/>
          <w:caps w:val="0"/>
          <w:color w:val="auto"/>
          <w:spacing w:val="0"/>
          <w:sz w:val="24"/>
          <w:szCs w:val="24"/>
          <w:highlight w:val="none"/>
        </w:rPr>
        <w:t>)特定资格要求如下:</w:t>
      </w:r>
    </w:p>
    <w:p>
      <w:pPr>
        <w:pStyle w:val="23"/>
        <w:shd w:val="clear" w:color="auto" w:fill="FFFFFF"/>
        <w:spacing w:beforeAutospacing="0" w:afterAutospacing="0" w:line="360" w:lineRule="auto"/>
        <w:ind w:firstLine="420"/>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lang w:val="en-US" w:eastAsia="zh-CN"/>
        </w:rPr>
        <w:t>1</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rPr>
        <w:t>法定代表人直接参加磋商的，须出具法人身份证；法定代表人授权代表参加磋商的，须出具法定代表人授权书及授权代表身份证；（</w:t>
      </w:r>
      <w:r>
        <w:rPr>
          <w:rFonts w:hint="eastAsia" w:ascii="仿宋" w:hAnsi="仿宋" w:eastAsia="仿宋" w:cs="仿宋"/>
          <w:i w:val="0"/>
          <w:iCs w:val="0"/>
          <w:caps w:val="0"/>
          <w:color w:val="auto"/>
          <w:spacing w:val="0"/>
          <w:sz w:val="24"/>
          <w:szCs w:val="24"/>
          <w:highlight w:val="none"/>
          <w:lang w:val="en-US" w:eastAsia="zh-CN"/>
        </w:rPr>
        <w:t>2</w:t>
      </w:r>
      <w:r>
        <w:rPr>
          <w:rFonts w:hint="eastAsia" w:ascii="仿宋" w:hAnsi="仿宋" w:eastAsia="仿宋" w:cs="仿宋"/>
          <w:i w:val="0"/>
          <w:iCs w:val="0"/>
          <w:caps w:val="0"/>
          <w:color w:val="auto"/>
          <w:spacing w:val="0"/>
          <w:sz w:val="24"/>
          <w:szCs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lang w:val="en-US" w:eastAsia="zh-CN"/>
        </w:rPr>
        <w:t>3</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r>
        <w:rPr>
          <w:rFonts w:hint="eastAsia" w:ascii="仿宋" w:hAnsi="仿宋" w:eastAsia="仿宋" w:cs="仿宋"/>
          <w:i w:val="0"/>
          <w:iCs w:val="0"/>
          <w:caps w:val="0"/>
          <w:color w:val="auto"/>
          <w:spacing w:val="0"/>
          <w:sz w:val="24"/>
          <w:szCs w:val="24"/>
          <w:highlight w:val="none"/>
        </w:rPr>
        <w:t>（</w:t>
      </w:r>
      <w:r>
        <w:rPr>
          <w:rFonts w:hint="eastAsia" w:ascii="仿宋" w:hAnsi="仿宋" w:eastAsia="仿宋" w:cs="仿宋"/>
          <w:i w:val="0"/>
          <w:iCs w:val="0"/>
          <w:caps w:val="0"/>
          <w:color w:val="auto"/>
          <w:spacing w:val="0"/>
          <w:sz w:val="24"/>
          <w:szCs w:val="24"/>
          <w:highlight w:val="none"/>
          <w:lang w:val="en-US" w:eastAsia="zh-CN"/>
        </w:rPr>
        <w:t>4</w:t>
      </w:r>
      <w:r>
        <w:rPr>
          <w:rFonts w:hint="eastAsia" w:ascii="仿宋" w:hAnsi="仿宋" w:eastAsia="仿宋" w:cs="仿宋"/>
          <w:i w:val="0"/>
          <w:iCs w:val="0"/>
          <w:caps w:val="0"/>
          <w:color w:val="auto"/>
          <w:spacing w:val="0"/>
          <w:sz w:val="24"/>
          <w:szCs w:val="24"/>
          <w:highlight w:val="none"/>
        </w:rPr>
        <w:t>）</w:t>
      </w:r>
      <w:r>
        <w:rPr>
          <w:rFonts w:hint="eastAsia" w:ascii="仿宋" w:hAnsi="仿宋" w:eastAsia="仿宋" w:cs="仿宋"/>
          <w:highlight w:val="none"/>
        </w:rPr>
        <w:t>磋商保证金缴纳凭证；</w:t>
      </w:r>
      <w:r>
        <w:rPr>
          <w:rFonts w:hint="eastAsia" w:ascii="仿宋" w:hAnsi="仿宋" w:eastAsia="仿宋" w:cs="仿宋"/>
          <w:highlight w:val="none"/>
          <w:lang w:eastAsia="zh-CN"/>
        </w:rPr>
        <w:t>（</w:t>
      </w:r>
      <w:r>
        <w:rPr>
          <w:rFonts w:hint="eastAsia" w:ascii="仿宋" w:hAnsi="仿宋" w:eastAsia="仿宋" w:cs="仿宋"/>
          <w:highlight w:val="none"/>
          <w:lang w:val="en-US" w:eastAsia="zh-CN"/>
        </w:rPr>
        <w:t>5</w:t>
      </w:r>
      <w:r>
        <w:rPr>
          <w:rFonts w:hint="eastAsia" w:ascii="仿宋" w:hAnsi="仿宋" w:eastAsia="仿宋" w:cs="仿宋"/>
          <w:highlight w:val="none"/>
          <w:lang w:eastAsia="zh-CN"/>
        </w:rPr>
        <w:t>）</w:t>
      </w:r>
      <w:r>
        <w:rPr>
          <w:rFonts w:hint="eastAsia" w:ascii="仿宋" w:hAnsi="仿宋" w:eastAsia="仿宋" w:cs="仿宋"/>
          <w:i w:val="0"/>
          <w:iCs w:val="0"/>
          <w:caps w:val="0"/>
          <w:color w:val="auto"/>
          <w:spacing w:val="0"/>
          <w:sz w:val="24"/>
          <w:szCs w:val="24"/>
          <w:highlight w:val="none"/>
        </w:rPr>
        <w:t>本项目不接受联合体磋商</w:t>
      </w:r>
      <w:r>
        <w:rPr>
          <w:rFonts w:hint="eastAsia" w:ascii="仿宋" w:hAnsi="仿宋" w:eastAsia="仿宋" w:cs="仿宋"/>
          <w:i w:val="0"/>
          <w:iCs w:val="0"/>
          <w:caps w:val="0"/>
          <w:color w:val="auto"/>
          <w:spacing w:val="0"/>
          <w:sz w:val="24"/>
          <w:szCs w:val="24"/>
          <w:highlight w:val="no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三、获取采购文件</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时间：</w:t>
      </w:r>
      <w:r>
        <w:rPr>
          <w:rFonts w:hint="eastAsia" w:ascii="仿宋" w:hAnsi="仿宋" w:eastAsia="仿宋" w:cs="仿宋"/>
          <w:i w:val="0"/>
          <w:iCs w:val="0"/>
          <w:caps w:val="0"/>
          <w:color w:val="auto"/>
          <w:spacing w:val="0"/>
          <w:sz w:val="24"/>
          <w:szCs w:val="24"/>
          <w:highlight w:val="none"/>
        </w:rPr>
        <w:t> 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日 至 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 xml:space="preserve">13 </w:t>
      </w:r>
      <w:r>
        <w:rPr>
          <w:rFonts w:hint="eastAsia" w:ascii="仿宋" w:hAnsi="仿宋" w:eastAsia="仿宋" w:cs="仿宋"/>
          <w:i w:val="0"/>
          <w:iCs w:val="0"/>
          <w:caps w:val="0"/>
          <w:color w:val="auto"/>
          <w:spacing w:val="0"/>
          <w:sz w:val="24"/>
          <w:szCs w:val="24"/>
          <w:highlight w:val="none"/>
        </w:rPr>
        <w:t>日 ，每天</w:t>
      </w:r>
      <w:r>
        <w:rPr>
          <w:rFonts w:hint="eastAsia" w:ascii="仿宋" w:hAnsi="仿宋" w:eastAsia="仿宋" w:cs="仿宋"/>
          <w:i w:val="0"/>
          <w:iCs w:val="0"/>
          <w:caps w:val="0"/>
          <w:color w:val="auto"/>
          <w:spacing w:val="0"/>
          <w:sz w:val="24"/>
          <w:szCs w:val="24"/>
          <w:highlight w:val="none"/>
        </w:rPr>
        <w:t>上午 09:00:00 至 12:00:00 ，下午 1</w:t>
      </w:r>
      <w:r>
        <w:rPr>
          <w:rFonts w:hint="eastAsia" w:ascii="仿宋" w:hAnsi="仿宋" w:eastAsia="仿宋" w:cs="仿宋"/>
          <w:i w:val="0"/>
          <w:iCs w:val="0"/>
          <w:caps w:val="0"/>
          <w:color w:val="auto"/>
          <w:spacing w:val="0"/>
          <w:sz w:val="24"/>
          <w:szCs w:val="24"/>
          <w:highlight w:val="none"/>
          <w:lang w:val="en-US" w:eastAsia="zh-CN"/>
        </w:rPr>
        <w:t>4</w:t>
      </w:r>
      <w:r>
        <w:rPr>
          <w:rFonts w:hint="eastAsia" w:ascii="仿宋" w:hAnsi="仿宋" w:eastAsia="仿宋" w:cs="仿宋"/>
          <w:i w:val="0"/>
          <w:iCs w:val="0"/>
          <w:caps w:val="0"/>
          <w:color w:val="auto"/>
          <w:spacing w:val="0"/>
          <w:sz w:val="24"/>
          <w:szCs w:val="24"/>
          <w:highlight w:val="none"/>
        </w:rPr>
        <w:t>:00:00 至 17:00:00 （北京时间,法定节假日除外）</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地点：西安市高新区沣惠南路20号华晶商务广场B座2301室</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方式：现场获取</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售价： </w:t>
      </w:r>
      <w:r>
        <w:rPr>
          <w:rFonts w:hint="eastAsia" w:ascii="仿宋" w:hAnsi="仿宋" w:eastAsia="仿宋" w:cs="仿宋"/>
          <w:i w:val="0"/>
          <w:iCs w:val="0"/>
          <w:caps w:val="0"/>
          <w:color w:val="auto"/>
          <w:spacing w:val="0"/>
          <w:sz w:val="24"/>
          <w:szCs w:val="24"/>
          <w:highlight w:val="none"/>
          <w:lang w:val="en-US" w:eastAsia="zh-CN"/>
        </w:rPr>
        <w:t>500元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四、响应文件提交</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截止时间： </w:t>
      </w:r>
      <w:r>
        <w:rPr>
          <w:rFonts w:hint="eastAsia" w:ascii="仿宋" w:hAnsi="仿宋" w:eastAsia="仿宋" w:cs="仿宋"/>
          <w:i w:val="0"/>
          <w:iCs w:val="0"/>
          <w:caps w:val="0"/>
          <w:color w:val="auto"/>
          <w:spacing w:val="0"/>
          <w:sz w:val="24"/>
          <w:szCs w:val="24"/>
          <w:highlight w:val="none"/>
        </w:rPr>
        <w:t>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17</w:t>
      </w:r>
      <w:r>
        <w:rPr>
          <w:rFonts w:hint="eastAsia" w:ascii="仿宋" w:hAnsi="仿宋" w:eastAsia="仿宋" w:cs="仿宋"/>
          <w:i w:val="0"/>
          <w:iCs w:val="0"/>
          <w:caps w:val="0"/>
          <w:color w:val="auto"/>
          <w:spacing w:val="0"/>
          <w:sz w:val="24"/>
          <w:szCs w:val="24"/>
          <w:highlight w:val="none"/>
        </w:rPr>
        <w:t xml:space="preserve">日 </w:t>
      </w:r>
      <w:r>
        <w:rPr>
          <w:rFonts w:hint="eastAsia" w:ascii="仿宋" w:hAnsi="仿宋" w:eastAsia="仿宋" w:cs="仿宋"/>
          <w:i w:val="0"/>
          <w:iCs w:val="0"/>
          <w:caps w:val="0"/>
          <w:color w:val="auto"/>
          <w:spacing w:val="0"/>
          <w:sz w:val="24"/>
          <w:szCs w:val="24"/>
          <w:highlight w:val="none"/>
          <w:lang w:val="en-US" w:eastAsia="zh-CN"/>
        </w:rPr>
        <w:t>09</w:t>
      </w:r>
      <w:r>
        <w:rPr>
          <w:rFonts w:hint="eastAsia" w:ascii="仿宋" w:hAnsi="仿宋" w:eastAsia="仿宋" w:cs="仿宋"/>
          <w:i w:val="0"/>
          <w:iCs w:val="0"/>
          <w:caps w:val="0"/>
          <w:color w:val="auto"/>
          <w:spacing w:val="0"/>
          <w:sz w:val="24"/>
          <w:szCs w:val="24"/>
          <w:highlight w:val="none"/>
        </w:rPr>
        <w:t>时</w:t>
      </w:r>
      <w:r>
        <w:rPr>
          <w:rFonts w:hint="eastAsia" w:ascii="仿宋" w:hAnsi="仿宋" w:eastAsia="仿宋" w:cs="仿宋"/>
          <w:i w:val="0"/>
          <w:iCs w:val="0"/>
          <w:caps w:val="0"/>
          <w:color w:val="auto"/>
          <w:spacing w:val="0"/>
          <w:sz w:val="24"/>
          <w:szCs w:val="24"/>
          <w:highlight w:val="none"/>
          <w:lang w:val="en-US" w:eastAsia="zh-CN"/>
        </w:rPr>
        <w:t>3</w:t>
      </w:r>
      <w:r>
        <w:rPr>
          <w:rFonts w:hint="eastAsia" w:ascii="仿宋" w:hAnsi="仿宋" w:eastAsia="仿宋" w:cs="仿宋"/>
          <w:i w:val="0"/>
          <w:iCs w:val="0"/>
          <w:caps w:val="0"/>
          <w:color w:val="auto"/>
          <w:spacing w:val="0"/>
          <w:sz w:val="24"/>
          <w:szCs w:val="24"/>
          <w:highlight w:val="none"/>
        </w:rPr>
        <w:t>0分00秒 </w:t>
      </w:r>
      <w:r>
        <w:rPr>
          <w:rFonts w:hint="eastAsia" w:ascii="仿宋" w:hAnsi="仿宋" w:eastAsia="仿宋" w:cs="仿宋"/>
          <w:i w:val="0"/>
          <w:iCs w:val="0"/>
          <w:caps w:val="0"/>
          <w:color w:val="auto"/>
          <w:spacing w:val="0"/>
          <w:sz w:val="24"/>
          <w:szCs w:val="24"/>
          <w:highlight w:val="none"/>
        </w:rPr>
        <w:t>（北京时间）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地点：西安市高新区沣惠南路20号华晶商务广场B座2301室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五、开启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时间： </w:t>
      </w:r>
      <w:r>
        <w:rPr>
          <w:rFonts w:hint="eastAsia" w:ascii="仿宋" w:hAnsi="仿宋" w:eastAsia="仿宋" w:cs="仿宋"/>
          <w:i w:val="0"/>
          <w:iCs w:val="0"/>
          <w:caps w:val="0"/>
          <w:color w:val="auto"/>
          <w:spacing w:val="0"/>
          <w:sz w:val="24"/>
          <w:szCs w:val="24"/>
          <w:highlight w:val="none"/>
        </w:rPr>
        <w:t> 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17</w:t>
      </w:r>
      <w:r>
        <w:rPr>
          <w:rFonts w:hint="eastAsia" w:ascii="仿宋" w:hAnsi="仿宋" w:eastAsia="仿宋" w:cs="仿宋"/>
          <w:i w:val="0"/>
          <w:iCs w:val="0"/>
          <w:caps w:val="0"/>
          <w:color w:val="auto"/>
          <w:spacing w:val="0"/>
          <w:sz w:val="24"/>
          <w:szCs w:val="24"/>
          <w:highlight w:val="none"/>
        </w:rPr>
        <w:t xml:space="preserve">日 </w:t>
      </w:r>
      <w:r>
        <w:rPr>
          <w:rFonts w:hint="eastAsia" w:ascii="仿宋" w:hAnsi="仿宋" w:eastAsia="仿宋" w:cs="仿宋"/>
          <w:i w:val="0"/>
          <w:iCs w:val="0"/>
          <w:caps w:val="0"/>
          <w:color w:val="auto"/>
          <w:spacing w:val="0"/>
          <w:sz w:val="24"/>
          <w:szCs w:val="24"/>
          <w:highlight w:val="none"/>
          <w:lang w:val="en-US" w:eastAsia="zh-CN"/>
        </w:rPr>
        <w:t>09</w:t>
      </w:r>
      <w:r>
        <w:rPr>
          <w:rFonts w:hint="eastAsia" w:ascii="仿宋" w:hAnsi="仿宋" w:eastAsia="仿宋" w:cs="仿宋"/>
          <w:i w:val="0"/>
          <w:iCs w:val="0"/>
          <w:caps w:val="0"/>
          <w:color w:val="auto"/>
          <w:spacing w:val="0"/>
          <w:sz w:val="24"/>
          <w:szCs w:val="24"/>
          <w:highlight w:val="none"/>
        </w:rPr>
        <w:t>时</w:t>
      </w:r>
      <w:r>
        <w:rPr>
          <w:rFonts w:hint="eastAsia" w:ascii="仿宋" w:hAnsi="仿宋" w:eastAsia="仿宋" w:cs="仿宋"/>
          <w:i w:val="0"/>
          <w:iCs w:val="0"/>
          <w:caps w:val="0"/>
          <w:color w:val="auto"/>
          <w:spacing w:val="0"/>
          <w:sz w:val="24"/>
          <w:szCs w:val="24"/>
          <w:highlight w:val="none"/>
          <w:lang w:val="en-US" w:eastAsia="zh-CN"/>
        </w:rPr>
        <w:t>3</w:t>
      </w:r>
      <w:r>
        <w:rPr>
          <w:rFonts w:hint="eastAsia" w:ascii="仿宋" w:hAnsi="仿宋" w:eastAsia="仿宋" w:cs="仿宋"/>
          <w:i w:val="0"/>
          <w:iCs w:val="0"/>
          <w:caps w:val="0"/>
          <w:color w:val="auto"/>
          <w:spacing w:val="0"/>
          <w:sz w:val="24"/>
          <w:szCs w:val="24"/>
          <w:highlight w:val="none"/>
        </w:rPr>
        <w:t>0分00秒 （北</w:t>
      </w:r>
      <w:r>
        <w:rPr>
          <w:rFonts w:hint="eastAsia" w:ascii="仿宋" w:hAnsi="仿宋" w:eastAsia="仿宋" w:cs="仿宋"/>
          <w:i w:val="0"/>
          <w:iCs w:val="0"/>
          <w:caps w:val="0"/>
          <w:color w:val="auto"/>
          <w:spacing w:val="0"/>
          <w:sz w:val="24"/>
          <w:szCs w:val="24"/>
          <w:highlight w:val="none"/>
        </w:rPr>
        <w:t>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地点：西安市高新区沣惠南路20号华晶商务广场B座2301室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六、公告期限</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自本公告发布之日起3个工作日。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七、其他补充事宜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lang w:eastAsia="zh-CN"/>
        </w:rPr>
      </w:pPr>
      <w:r>
        <w:rPr>
          <w:rFonts w:hint="eastAsia" w:ascii="仿宋" w:hAnsi="仿宋" w:eastAsia="仿宋" w:cs="仿宋"/>
          <w:b/>
          <w:bCs/>
          <w:i w:val="0"/>
          <w:iCs w:val="0"/>
          <w:caps w:val="0"/>
          <w:color w:val="auto"/>
          <w:spacing w:val="0"/>
          <w:sz w:val="24"/>
          <w:szCs w:val="24"/>
          <w:highlight w:val="none"/>
          <w:shd w:val="clear" w:fill="FFFFFF"/>
        </w:rPr>
        <w:t>1、购买采购文件时需携带经办人单位介绍信、身份证原件及复印件加盖公章，上午：9:00-12:00，下午14:00-17:00，节假日休息</w:t>
      </w:r>
      <w:r>
        <w:rPr>
          <w:rFonts w:hint="eastAsia" w:ascii="仿宋" w:hAnsi="仿宋" w:eastAsia="仿宋" w:cs="仿宋"/>
          <w:b/>
          <w:bCs/>
          <w:i w:val="0"/>
          <w:iCs w:val="0"/>
          <w:caps w:val="0"/>
          <w:color w:val="auto"/>
          <w:spacing w:val="0"/>
          <w:sz w:val="24"/>
          <w:szCs w:val="24"/>
          <w:highlight w:val="none"/>
          <w:shd w:val="clear" w:fill="FFFFFF"/>
          <w:lang w:eastAsia="zh-CN"/>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b/>
          <w:bCs/>
          <w:i w:val="0"/>
          <w:iCs w:val="0"/>
          <w:caps w:val="0"/>
          <w:color w:val="auto"/>
          <w:spacing w:val="0"/>
          <w:sz w:val="24"/>
          <w:szCs w:val="24"/>
          <w:highlight w:val="none"/>
          <w:shd w:val="clear" w:fill="FFFFFF"/>
        </w:rPr>
        <w:t>2、请供应商按照陕西省财政厅关于政府采购供应商注册登记有关事项的通知中的要求，通过陕西省政府采购网注册登记入库。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30"/>
          <w:rFonts w:hint="eastAsia" w:ascii="仿宋" w:hAnsi="仿宋" w:eastAsia="仿宋" w:cs="仿宋"/>
          <w:b/>
          <w:bCs/>
          <w:i w:val="0"/>
          <w:iCs w:val="0"/>
          <w:caps w:val="0"/>
          <w:color w:val="auto"/>
          <w:spacing w:val="0"/>
          <w:sz w:val="24"/>
          <w:szCs w:val="24"/>
          <w:highlight w:val="none"/>
        </w:rPr>
        <w:t>八、凡对本次采购提出询问，请按以下方式联系。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1.釆购人信息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rPr>
        <w:t>名称：</w:t>
      </w:r>
      <w:r>
        <w:rPr>
          <w:rFonts w:hint="eastAsia" w:ascii="仿宋" w:hAnsi="仿宋" w:eastAsia="仿宋" w:cs="仿宋"/>
          <w:i w:val="0"/>
          <w:iCs w:val="0"/>
          <w:caps w:val="0"/>
          <w:color w:val="333333"/>
          <w:spacing w:val="0"/>
          <w:sz w:val="24"/>
          <w:szCs w:val="24"/>
          <w:highlight w:val="none"/>
          <w:shd w:val="clear" w:color="auto" w:fill="FFFFFF"/>
          <w:lang w:eastAsia="zh-CN"/>
        </w:rPr>
        <w:t>陕西省工业和信息化厅</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地址：</w:t>
      </w:r>
      <w:r>
        <w:rPr>
          <w:rFonts w:hint="eastAsia" w:ascii="仿宋" w:hAnsi="仿宋" w:eastAsia="仿宋" w:cs="仿宋"/>
          <w:kern w:val="0"/>
          <w:sz w:val="24"/>
          <w:szCs w:val="24"/>
          <w:highlight w:val="none"/>
          <w:lang w:eastAsia="zh-CN"/>
        </w:rPr>
        <w:t>陕西省西安市新城区新城大院前大楼</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联系方式</w:t>
      </w:r>
      <w:r>
        <w:rPr>
          <w:rFonts w:hint="eastAsia" w:ascii="仿宋" w:hAnsi="仿宋" w:eastAsia="仿宋" w:cs="仿宋"/>
          <w:i w:val="0"/>
          <w:iCs w:val="0"/>
          <w:caps w:val="0"/>
          <w:color w:val="auto"/>
          <w:spacing w:val="0"/>
          <w:sz w:val="24"/>
          <w:szCs w:val="24"/>
          <w:highlight w:val="none"/>
          <w:lang w:eastAsia="zh-CN"/>
        </w:rPr>
        <w:t>：029-63918518</w:t>
      </w:r>
      <w:r>
        <w:rPr>
          <w:rFonts w:hint="eastAsia" w:ascii="仿宋" w:hAnsi="仿宋" w:eastAsia="仿宋" w:cs="仿宋"/>
          <w:i w:val="0"/>
          <w:iCs w:val="0"/>
          <w:caps w:val="0"/>
          <w:color w:val="auto"/>
          <w:spacing w:val="0"/>
          <w:sz w:val="24"/>
          <w:szCs w:val="24"/>
          <w:highlight w:val="none"/>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2.釆购代理机构信息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名称：陕西德仁招标有限公司</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地址：西安市高新区沣惠南路20号华晶商务广场B座2301室</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联系方式：</w:t>
      </w:r>
      <w:r>
        <w:rPr>
          <w:rFonts w:hint="eastAsia" w:ascii="仿宋" w:hAnsi="仿宋" w:eastAsia="仿宋" w:cs="仿宋"/>
          <w:i w:val="0"/>
          <w:iCs w:val="0"/>
          <w:caps w:val="0"/>
          <w:color w:val="333333"/>
          <w:spacing w:val="0"/>
          <w:sz w:val="24"/>
          <w:szCs w:val="24"/>
          <w:highlight w:val="none"/>
          <w:shd w:val="clear" w:color="auto" w:fill="FFFFFF"/>
        </w:rPr>
        <w:t>029-85565073</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3.项目联系方式</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项目联系人：</w:t>
      </w:r>
      <w:r>
        <w:rPr>
          <w:rFonts w:hint="eastAsia" w:ascii="仿宋" w:hAnsi="仿宋" w:eastAsia="仿宋" w:cs="仿宋"/>
          <w:i w:val="0"/>
          <w:iCs w:val="0"/>
          <w:caps w:val="0"/>
          <w:color w:val="auto"/>
          <w:spacing w:val="0"/>
          <w:sz w:val="24"/>
          <w:szCs w:val="24"/>
          <w:highlight w:val="none"/>
          <w:lang w:val="en-US" w:eastAsia="zh-CN"/>
        </w:rPr>
        <w:t>胡晓均、张涛</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电话：</w:t>
      </w:r>
      <w:r>
        <w:rPr>
          <w:rFonts w:hint="eastAsia" w:ascii="仿宋" w:hAnsi="仿宋" w:eastAsia="仿宋" w:cs="仿宋"/>
          <w:i w:val="0"/>
          <w:iCs w:val="0"/>
          <w:caps w:val="0"/>
          <w:color w:val="333333"/>
          <w:spacing w:val="0"/>
          <w:sz w:val="24"/>
          <w:szCs w:val="24"/>
          <w:highlight w:val="none"/>
          <w:shd w:val="clear" w:color="auto" w:fill="FFFFFF"/>
        </w:rPr>
        <w:t>029-85565073</w:t>
      </w:r>
    </w:p>
    <w:p>
      <w:pPr>
        <w:rPr>
          <w:rFonts w:hint="eastAsia" w:ascii="仿宋" w:hAnsi="仿宋" w:eastAsia="仿宋" w:cs="仿宋"/>
          <w:b/>
          <w:bCs/>
          <w:color w:val="auto"/>
          <w:kern w:val="2"/>
          <w:sz w:val="36"/>
          <w:szCs w:val="36"/>
          <w:highlight w:val="none"/>
          <w:lang w:val="en-US" w:eastAsia="zh-CN" w:bidi="ar-SA"/>
        </w:rPr>
      </w:pPr>
      <w:bookmarkStart w:id="11" w:name="_Toc30927"/>
      <w:r>
        <w:rPr>
          <w:rFonts w:hint="eastAsia" w:ascii="仿宋" w:hAnsi="仿宋" w:eastAsia="仿宋" w:cs="仿宋"/>
          <w:b/>
          <w:bCs/>
          <w:color w:val="auto"/>
          <w:kern w:val="2"/>
          <w:sz w:val="36"/>
          <w:szCs w:val="36"/>
          <w:highlight w:val="none"/>
          <w:lang w:val="en-US" w:eastAsia="zh-CN" w:bidi="ar-SA"/>
        </w:rPr>
        <w:br w:type="page"/>
      </w:r>
    </w:p>
    <w:p>
      <w:pPr>
        <w:jc w:val="center"/>
        <w:outlineLvl w:val="0"/>
        <w:rPr>
          <w:rFonts w:hint="eastAsia" w:ascii="仿宋" w:hAnsi="仿宋" w:eastAsia="仿宋" w:cs="仿宋"/>
          <w:b/>
          <w:bCs/>
          <w:color w:val="auto"/>
          <w:kern w:val="2"/>
          <w:sz w:val="36"/>
          <w:szCs w:val="36"/>
          <w:highlight w:val="none"/>
          <w:lang w:val="en-US" w:eastAsia="zh-CN" w:bidi="ar-SA"/>
        </w:rPr>
      </w:pPr>
      <w:r>
        <w:rPr>
          <w:rFonts w:hint="eastAsia" w:ascii="仿宋" w:hAnsi="仿宋" w:eastAsia="仿宋" w:cs="仿宋"/>
          <w:b/>
          <w:bCs/>
          <w:color w:val="auto"/>
          <w:kern w:val="2"/>
          <w:sz w:val="36"/>
          <w:szCs w:val="36"/>
          <w:highlight w:val="none"/>
          <w:lang w:val="en-US" w:eastAsia="zh-CN" w:bidi="ar-SA"/>
        </w:rPr>
        <w:t>第二章  磋商供应商须知</w:t>
      </w:r>
      <w:bookmarkEnd w:id="5"/>
      <w:bookmarkEnd w:id="6"/>
      <w:bookmarkEnd w:id="7"/>
      <w:bookmarkEnd w:id="8"/>
      <w:bookmarkEnd w:id="9"/>
      <w:bookmarkEnd w:id="10"/>
      <w:bookmarkEnd w:id="11"/>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须知前附表</w:t>
      </w:r>
    </w:p>
    <w:tbl>
      <w:tblPr>
        <w:tblStyle w:val="27"/>
        <w:tblW w:w="9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173"/>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94"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2173"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条款名称</w:t>
            </w:r>
          </w:p>
        </w:tc>
        <w:tc>
          <w:tcPr>
            <w:tcW w:w="6981"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2173" w:type="dxa"/>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采购人</w:t>
            </w:r>
          </w:p>
        </w:tc>
        <w:tc>
          <w:tcPr>
            <w:tcW w:w="6981" w:type="dxa"/>
            <w:vAlign w:val="center"/>
          </w:tcPr>
          <w:p>
            <w:pPr>
              <w:spacing w:line="360" w:lineRule="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名  称：</w:t>
            </w:r>
            <w:r>
              <w:rPr>
                <w:rFonts w:hint="eastAsia" w:ascii="仿宋" w:hAnsi="仿宋" w:eastAsia="仿宋" w:cs="仿宋"/>
                <w:kern w:val="0"/>
                <w:sz w:val="24"/>
                <w:szCs w:val="24"/>
                <w:highlight w:val="none"/>
                <w:lang w:eastAsia="zh-CN"/>
              </w:rPr>
              <w:t>陕西省工业和信息化厅</w:t>
            </w:r>
          </w:p>
          <w:p>
            <w:pPr>
              <w:spacing w:line="360" w:lineRule="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地  址：</w:t>
            </w:r>
            <w:r>
              <w:rPr>
                <w:rFonts w:hint="eastAsia" w:ascii="仿宋" w:hAnsi="仿宋" w:eastAsia="仿宋" w:cs="仿宋"/>
                <w:kern w:val="0"/>
                <w:sz w:val="24"/>
                <w:szCs w:val="24"/>
                <w:highlight w:val="none"/>
                <w:lang w:eastAsia="zh-CN"/>
              </w:rPr>
              <w:t>陕西省西安市新城区新城大院前大楼</w:t>
            </w:r>
          </w:p>
          <w:p>
            <w:pPr>
              <w:spacing w:line="396"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val="en-US" w:eastAsia="zh-CN"/>
              </w:rPr>
              <w:t>张老师</w:t>
            </w:r>
          </w:p>
          <w:p>
            <w:pPr>
              <w:spacing w:line="396"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电</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话：029-63918518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w:t>
            </w:r>
          </w:p>
        </w:tc>
        <w:tc>
          <w:tcPr>
            <w:tcW w:w="2173" w:type="dxa"/>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w:t>
            </w:r>
          </w:p>
        </w:tc>
        <w:tc>
          <w:tcPr>
            <w:tcW w:w="6981" w:type="dxa"/>
            <w:vAlign w:val="center"/>
          </w:tcPr>
          <w:p>
            <w:pPr>
              <w:spacing w:line="360" w:lineRule="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名  称：陕西德仁招标有限公司</w:t>
            </w:r>
          </w:p>
          <w:p>
            <w:pPr>
              <w:spacing w:line="360" w:lineRule="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地  址：西安市高新区沣惠南路20号华晶商务广场B座1幢2301室</w:t>
            </w:r>
          </w:p>
          <w:p>
            <w:pPr>
              <w:spacing w:line="360" w:lineRule="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eastAsia="zh-CN"/>
              </w:rPr>
              <w:t>联系人：胡晓均、张涛</w:t>
            </w:r>
          </w:p>
          <w:p>
            <w:pPr>
              <w:spacing w:line="360" w:lineRule="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电  话：029-85565073</w:t>
            </w:r>
          </w:p>
          <w:p>
            <w:pPr>
              <w:spacing w:line="360" w:lineRule="auto"/>
              <w:rPr>
                <w:rFonts w:hint="default"/>
                <w:highlight w:val="none"/>
                <w:lang w:val="en-US" w:eastAsia="zh-CN"/>
              </w:rPr>
            </w:pPr>
            <w:r>
              <w:rPr>
                <w:rFonts w:hint="eastAsia" w:ascii="仿宋" w:hAnsi="仿宋" w:eastAsia="仿宋" w:cs="仿宋"/>
                <w:kern w:val="0"/>
                <w:sz w:val="24"/>
                <w:szCs w:val="24"/>
                <w:highlight w:val="none"/>
                <w:lang w:val="en-US" w:eastAsia="zh-CN"/>
              </w:rPr>
              <w:t>邮箱：huxiaojun@sxdrzb.cn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3</w:t>
            </w:r>
          </w:p>
        </w:tc>
        <w:tc>
          <w:tcPr>
            <w:tcW w:w="2173" w:type="dxa"/>
            <w:vAlign w:val="center"/>
          </w:tcPr>
          <w:p>
            <w:pPr>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项目属性</w:t>
            </w:r>
          </w:p>
        </w:tc>
        <w:tc>
          <w:tcPr>
            <w:tcW w:w="6981" w:type="dxa"/>
            <w:vAlign w:val="center"/>
          </w:tcPr>
          <w:p>
            <w:pPr>
              <w:pStyle w:val="23"/>
              <w:spacing w:before="0" w:beforeAutospacing="0" w:after="0" w:afterAutospacing="0" w:line="360" w:lineRule="auto"/>
              <w:rPr>
                <w:rFonts w:hint="eastAsia" w:ascii="仿宋" w:hAnsi="仿宋" w:eastAsia="仿宋" w:cs="仿宋"/>
                <w:sz w:val="24"/>
                <w:szCs w:val="24"/>
                <w:highlight w:val="none"/>
              </w:rPr>
            </w:pPr>
            <w:r>
              <w:rPr>
                <w:rFonts w:hint="eastAsia" w:ascii="仿宋" w:hAnsi="仿宋" w:eastAsia="仿宋" w:cs="仿宋"/>
                <w:kern w:val="2"/>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4</w:t>
            </w:r>
          </w:p>
        </w:tc>
        <w:tc>
          <w:tcPr>
            <w:tcW w:w="2173" w:type="dxa"/>
            <w:vAlign w:val="center"/>
          </w:tcPr>
          <w:p>
            <w:pPr>
              <w:pStyle w:val="13"/>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采购标的所属行业</w:t>
            </w:r>
          </w:p>
        </w:tc>
        <w:tc>
          <w:tcPr>
            <w:tcW w:w="6981" w:type="dxa"/>
            <w:vAlign w:val="center"/>
          </w:tcPr>
          <w:p>
            <w:pPr>
              <w:pStyle w:val="23"/>
              <w:spacing w:before="0" w:beforeAutospacing="0" w:after="0" w:afterAutospacing="0" w:line="360" w:lineRule="auto"/>
              <w:rPr>
                <w:rFonts w:hint="eastAsia" w:ascii="仿宋" w:hAnsi="仿宋" w:eastAsia="仿宋" w:cs="仿宋"/>
                <w:sz w:val="24"/>
                <w:szCs w:val="24"/>
                <w:highlight w:val="none"/>
              </w:rPr>
            </w:pPr>
            <w:r>
              <w:rPr>
                <w:rFonts w:hint="eastAsia" w:ascii="仿宋" w:hAnsi="仿宋" w:eastAsia="仿宋" w:cs="仿宋"/>
                <w:kern w:val="2"/>
                <w:sz w:val="24"/>
                <w:szCs w:val="24"/>
                <w:highlight w:val="none"/>
                <w:lang w:val="en-US" w:eastAsia="zh-CN" w:bidi="ar-SA"/>
              </w:rPr>
              <w:t>其他会展服务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5</w:t>
            </w:r>
          </w:p>
        </w:tc>
        <w:tc>
          <w:tcPr>
            <w:tcW w:w="2173" w:type="dxa"/>
            <w:vAlign w:val="center"/>
          </w:tcPr>
          <w:p>
            <w:pPr>
              <w:pStyle w:val="13"/>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是否为专门面向中小企业采购</w:t>
            </w:r>
          </w:p>
        </w:tc>
        <w:tc>
          <w:tcPr>
            <w:tcW w:w="6981" w:type="dxa"/>
            <w:vAlign w:val="center"/>
          </w:tcPr>
          <w:p>
            <w:pPr>
              <w:pStyle w:val="13"/>
              <w:spacing w:line="500" w:lineRule="exact"/>
              <w:jc w:val="left"/>
              <w:rPr>
                <w:rFonts w:hint="eastAsia" w:ascii="仿宋" w:hAnsi="仿宋" w:eastAsia="仿宋" w:cs="仿宋"/>
                <w:sz w:val="24"/>
                <w:szCs w:val="24"/>
                <w:highlight w:val="none"/>
                <w:lang w:eastAsia="zh-CN"/>
              </w:rPr>
            </w:pPr>
            <w:r>
              <w:rPr>
                <w:rFonts w:hint="eastAsia" w:ascii="仿宋" w:hAnsi="仿宋" w:eastAsia="仿宋" w:cs="仿宋"/>
                <w:kern w:val="0"/>
                <w:sz w:val="24"/>
                <w:szCs w:val="24"/>
                <w:highlight w:val="none"/>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6</w:t>
            </w:r>
          </w:p>
        </w:tc>
        <w:tc>
          <w:tcPr>
            <w:tcW w:w="2173" w:type="dxa"/>
            <w:vAlign w:val="center"/>
          </w:tcPr>
          <w:p>
            <w:pPr>
              <w:pStyle w:val="13"/>
              <w:spacing w:line="500" w:lineRule="exact"/>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中小企业信用融资</w:t>
            </w:r>
          </w:p>
        </w:tc>
        <w:tc>
          <w:tcPr>
            <w:tcW w:w="6981" w:type="dxa"/>
            <w:vAlign w:val="center"/>
          </w:tcPr>
          <w:p>
            <w:pPr>
              <w:spacing w:line="500" w:lineRule="exact"/>
              <w:rPr>
                <w:rFonts w:ascii="仿宋" w:hAnsi="仿宋" w:eastAsia="仿宋" w:cs="仿宋"/>
                <w:kern w:val="0"/>
                <w:sz w:val="24"/>
                <w:szCs w:val="24"/>
                <w:highlight w:val="none"/>
              </w:rPr>
            </w:pPr>
            <w:r>
              <w:rPr>
                <w:rFonts w:hint="eastAsia" w:ascii="仿宋" w:hAnsi="仿宋" w:eastAsia="仿宋" w:cs="仿宋"/>
                <w:kern w:val="0"/>
                <w:sz w:val="24"/>
                <w:szCs w:val="24"/>
                <w:highlight w:val="none"/>
              </w:rPr>
              <w:t>1、陕西省财政厅关于加快推进我省中小企业政府采购信用融资工作的通知-陕财办采〔2020〕15 号</w:t>
            </w:r>
          </w:p>
          <w:p>
            <w:pPr>
              <w:spacing w:line="500" w:lineRule="exact"/>
              <w:rPr>
                <w:rFonts w:ascii="仿宋" w:hAnsi="仿宋" w:eastAsia="仿宋" w:cs="仿宋"/>
                <w:kern w:val="0"/>
                <w:sz w:val="24"/>
                <w:szCs w:val="24"/>
                <w:highlight w:val="none"/>
              </w:rPr>
            </w:pPr>
            <w:r>
              <w:rPr>
                <w:rFonts w:hint="eastAsia" w:ascii="仿宋" w:hAnsi="仿宋" w:eastAsia="仿宋" w:cs="仿宋"/>
                <w:kern w:val="0"/>
                <w:sz w:val="24"/>
                <w:szCs w:val="24"/>
                <w:highlight w:val="none"/>
              </w:rPr>
              <w:t>2、陕西省财政厅关于印发《陕西省中小企业政府采购信用融资办法》（陕财办采〔2018〕23号）</w:t>
            </w:r>
          </w:p>
          <w:p>
            <w:pPr>
              <w:pStyle w:val="13"/>
              <w:spacing w:line="500" w:lineRule="exact"/>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具体情况，可登录“陕西省政府采购网-陕西省政府采购信用融资平台”查看详情。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7</w:t>
            </w:r>
          </w:p>
        </w:tc>
        <w:tc>
          <w:tcPr>
            <w:tcW w:w="2173" w:type="dxa"/>
            <w:vAlign w:val="center"/>
          </w:tcPr>
          <w:p>
            <w:pPr>
              <w:pageBreakBefore w:val="0"/>
              <w:kinsoku/>
              <w:wordWrap/>
              <w:overflowPunct/>
              <w:topLinePunct w:val="0"/>
              <w:bidi w:val="0"/>
              <w:snapToGrid/>
              <w:spacing w:line="50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rPr>
              <w:t>资金来源</w:t>
            </w:r>
          </w:p>
        </w:tc>
        <w:tc>
          <w:tcPr>
            <w:tcW w:w="6981" w:type="dxa"/>
            <w:vAlign w:val="center"/>
          </w:tcPr>
          <w:p>
            <w:pPr>
              <w:pageBreakBefore w:val="0"/>
              <w:kinsoku/>
              <w:wordWrap/>
              <w:overflowPunct/>
              <w:topLinePunct w:val="0"/>
              <w:bidi w:val="0"/>
              <w:snapToGrid/>
              <w:spacing w:line="500" w:lineRule="exact"/>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8</w:t>
            </w:r>
          </w:p>
        </w:tc>
        <w:tc>
          <w:tcPr>
            <w:tcW w:w="2173" w:type="dxa"/>
            <w:vAlign w:val="center"/>
          </w:tcPr>
          <w:p>
            <w:pPr>
              <w:spacing w:line="396" w:lineRule="exact"/>
              <w:jc w:val="center"/>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资金落实情况</w:t>
            </w:r>
          </w:p>
        </w:tc>
        <w:tc>
          <w:tcPr>
            <w:tcW w:w="6981" w:type="dxa"/>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9</w:t>
            </w:r>
          </w:p>
        </w:tc>
        <w:tc>
          <w:tcPr>
            <w:tcW w:w="2173" w:type="dxa"/>
            <w:vAlign w:val="center"/>
          </w:tcPr>
          <w:p>
            <w:pPr>
              <w:spacing w:line="396" w:lineRule="exact"/>
              <w:jc w:val="center"/>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rPr>
              <w:t>采购内容</w:t>
            </w:r>
          </w:p>
        </w:tc>
        <w:tc>
          <w:tcPr>
            <w:tcW w:w="6981" w:type="dxa"/>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预算金额：95万元</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kern w:val="0"/>
                <w:sz w:val="24"/>
                <w:szCs w:val="24"/>
                <w:highlight w:val="none"/>
                <w:lang w:val="en-US" w:eastAsia="zh-CN" w:bidi="ar-SA"/>
              </w:rPr>
              <w:t>详见竞争性磋商文件第三部分磋商要求及说明。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10</w:t>
            </w:r>
          </w:p>
        </w:tc>
        <w:tc>
          <w:tcPr>
            <w:tcW w:w="2173" w:type="dxa"/>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服务期</w:t>
            </w:r>
          </w:p>
        </w:tc>
        <w:tc>
          <w:tcPr>
            <w:tcW w:w="6981"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_GB2312" w:hAnsi="仿宋_GB2312" w:eastAsia="仿宋_GB2312" w:cs="仿宋_GB2312"/>
                <w:sz w:val="24"/>
                <w:highlight w:val="none"/>
              </w:rPr>
              <w:t>合同签订之日起至20</w:t>
            </w:r>
            <w:r>
              <w:rPr>
                <w:rFonts w:hint="eastAsia" w:ascii="仿宋_GB2312" w:hAnsi="仿宋_GB2312" w:eastAsia="仿宋_GB2312" w:cs="仿宋_GB2312"/>
                <w:sz w:val="24"/>
                <w:highlight w:val="none"/>
                <w:lang w:val="en-US" w:eastAsia="zh-CN"/>
              </w:rPr>
              <w:t>22</w:t>
            </w:r>
            <w:r>
              <w:rPr>
                <w:rFonts w:hint="eastAsia" w:ascii="仿宋_GB2312" w:hAnsi="仿宋_GB2312" w:eastAsia="仿宋_GB2312" w:cs="仿宋_GB2312"/>
                <w:sz w:val="24"/>
                <w:highlight w:val="none"/>
              </w:rPr>
              <w:t>年</w:t>
            </w:r>
            <w:r>
              <w:rPr>
                <w:rFonts w:hint="eastAsia" w:ascii="仿宋" w:hAnsi="仿宋" w:eastAsia="仿宋"/>
                <w:color w:val="0D0D0D"/>
                <w:sz w:val="24"/>
                <w:szCs w:val="24"/>
                <w:highlight w:val="none"/>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11</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质量标准</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u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2173" w:type="dxa"/>
            <w:vAlign w:val="center"/>
          </w:tcPr>
          <w:p>
            <w:pPr>
              <w:pStyle w:val="13"/>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现场踏勘</w:t>
            </w:r>
          </w:p>
        </w:tc>
        <w:tc>
          <w:tcPr>
            <w:tcW w:w="6981" w:type="dxa"/>
            <w:vAlign w:val="center"/>
          </w:tcPr>
          <w:p>
            <w:pPr>
              <w:pStyle w:val="13"/>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13</w:t>
            </w:r>
          </w:p>
        </w:tc>
        <w:tc>
          <w:tcPr>
            <w:tcW w:w="2173" w:type="dxa"/>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分包</w:t>
            </w:r>
            <w:r>
              <w:rPr>
                <w:rFonts w:hint="eastAsia" w:ascii="仿宋" w:hAnsi="仿宋" w:eastAsia="仿宋" w:cs="仿宋"/>
                <w:color w:val="auto"/>
                <w:sz w:val="24"/>
                <w:szCs w:val="24"/>
                <w:highlight w:val="none"/>
                <w:lang w:val="en-US" w:eastAsia="zh-CN"/>
              </w:rPr>
              <w:t>/转包</w:t>
            </w:r>
          </w:p>
        </w:tc>
        <w:tc>
          <w:tcPr>
            <w:tcW w:w="6981" w:type="dxa"/>
            <w:vAlign w:val="center"/>
          </w:tcPr>
          <w:p>
            <w:pPr>
              <w:spacing w:line="396" w:lineRule="exact"/>
              <w:jc w:val="left"/>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14</w:t>
            </w:r>
          </w:p>
        </w:tc>
        <w:tc>
          <w:tcPr>
            <w:tcW w:w="217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采购资金的支付方式和时间</w:t>
            </w:r>
          </w:p>
        </w:tc>
        <w:tc>
          <w:tcPr>
            <w:tcW w:w="6981"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1)结算单位：银行转账，由采购人负责结算。在付款前，供应商必须开具与合同金额相应的发票给采购人，附详细清</w:t>
            </w:r>
            <w:r>
              <w:rPr>
                <w:rFonts w:hint="eastAsia" w:ascii="仿宋" w:hAnsi="仿宋" w:eastAsia="仿宋" w:cs="仿宋"/>
                <w:color w:val="auto"/>
                <w:sz w:val="24"/>
                <w:szCs w:val="24"/>
                <w:highlight w:val="none"/>
                <w:lang w:val="en-US" w:eastAsia="zh-CN"/>
              </w:rPr>
              <w:t>单</w:t>
            </w:r>
            <w:r>
              <w:rPr>
                <w:rFonts w:hint="eastAsia" w:ascii="仿宋" w:hAnsi="仿宋" w:eastAsia="仿宋" w:cs="仿宋"/>
                <w:color w:val="auto"/>
                <w:sz w:val="24"/>
                <w:szCs w:val="24"/>
                <w:highlight w:val="none"/>
              </w:rPr>
              <w:t>。</w:t>
            </w:r>
          </w:p>
          <w:p>
            <w:pPr>
              <w:pStyle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2)付款方式:</w:t>
            </w:r>
          </w:p>
          <w:p>
            <w:pPr>
              <w:spacing w:line="500" w:lineRule="exact"/>
              <w:ind w:left="1" w:firstLine="480" w:firstLineChars="200"/>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合同签订后，乙方向甲方开具合同金额的全额增值税专用发票，甲方收到发票后的15个工作日内支付全额款项（付款金额与合同金额一致）。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15</w:t>
            </w:r>
          </w:p>
        </w:tc>
        <w:tc>
          <w:tcPr>
            <w:tcW w:w="217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p>
          <w:p>
            <w:pPr>
              <w:spacing w:line="396"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资质</w:t>
            </w:r>
            <w:r>
              <w:rPr>
                <w:rFonts w:hint="eastAsia" w:ascii="仿宋" w:hAnsi="仿宋" w:eastAsia="仿宋" w:cs="仿宋"/>
                <w:color w:val="auto"/>
                <w:sz w:val="24"/>
                <w:szCs w:val="24"/>
                <w:highlight w:val="none"/>
                <w:lang w:val="en-US" w:eastAsia="zh-CN"/>
              </w:rPr>
              <w:t>证明资料</w:t>
            </w:r>
          </w:p>
        </w:tc>
        <w:tc>
          <w:tcPr>
            <w:tcW w:w="6981" w:type="dxa"/>
            <w:vAlign w:val="center"/>
          </w:tcPr>
          <w:p>
            <w:pPr>
              <w:pStyle w:val="23"/>
              <w:shd w:val="clear" w:color="auto" w:fill="FFFFFF"/>
              <w:spacing w:beforeAutospacing="0" w:afterAutospacing="0" w:line="360" w:lineRule="auto"/>
              <w:ind w:firstLine="480" w:firstLineChars="200"/>
              <w:rPr>
                <w:rFonts w:ascii="仿宋" w:hAnsi="仿宋" w:eastAsia="仿宋" w:cs="仿宋"/>
                <w:highlight w:val="none"/>
              </w:rPr>
            </w:pPr>
            <w:r>
              <w:rPr>
                <w:rFonts w:hint="eastAsia" w:ascii="仿宋" w:hAnsi="仿宋" w:eastAsia="仿宋" w:cs="仿宋"/>
                <w:highlight w:val="none"/>
              </w:rPr>
              <w:t xml:space="preserve">1、具有独立承担民事责任能力的法人、其他组织或自然人，提供合法有效的统一社会信用代码营业执照；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2、财务状况报告：提供具有财务审计资质单位出具的（2020 年或 2021 年）年度财务报告或磋商前六个月内其基本账户银行出具的资信证明;其他组织和自然人提供银行出具的资信证明或财务报表；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3、社会保障资金缴纳证明：提供磋商截止时间前六个月内已缴存的任意时段的社会保障资金缴存单据或社保机构开具的社会保险参保缴费情况证明；依法不需要缴纳社会保障资金的应提供相关文件证明；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4、税收缴纳证明：提供磋商</w:t>
            </w:r>
            <w:r>
              <w:rPr>
                <w:rFonts w:hint="eastAsia" w:ascii="仿宋" w:hAnsi="仿宋" w:eastAsia="仿宋" w:cs="仿宋"/>
                <w:highlight w:val="none"/>
                <w:lang w:val="en-US" w:eastAsia="zh-CN"/>
              </w:rPr>
              <w:t>截</w:t>
            </w:r>
            <w:r>
              <w:rPr>
                <w:rFonts w:hint="eastAsia" w:ascii="仿宋" w:hAnsi="仿宋" w:eastAsia="仿宋" w:cs="仿宋"/>
                <w:highlight w:val="none"/>
              </w:rPr>
              <w:t xml:space="preserve">止时间前六个月内已缴纳任意时段完税凭证或税务机关开具的完税证明（任意税种）；其他组织提供磋商截止时间前六个月内缴纳税收的凭据；依法免税的应提供相关文件证明；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5、提供具有履行本合同所必需的专业技术能力的声明；</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6、参加本次政府采购活动前3年内在经营活动中没有重大违纪，以及未被列入失信被执行人、重大税收违法案件当事人名单、政府采购严重违法失信行为记录名单的书面声明；</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7、法定代表人直接参加磋商的，须出具法人身份证,并与营业执照上信息一致；法定代表人授权代表参加磋商的，须出具法定代表人授权书及授权代表身份证； </w:t>
            </w:r>
          </w:p>
          <w:p>
            <w:pPr>
              <w:pStyle w:val="23"/>
              <w:shd w:val="clear" w:color="auto" w:fill="FFFFFF"/>
              <w:spacing w:beforeAutospacing="0" w:afterAutospacing="0" w:line="360" w:lineRule="auto"/>
              <w:ind w:firstLine="420"/>
              <w:rPr>
                <w:rFonts w:hint="eastAsia" w:ascii="仿宋" w:hAnsi="仿宋" w:eastAsia="仿宋" w:cs="仿宋"/>
                <w:highlight w:val="none"/>
              </w:rPr>
            </w:pPr>
            <w:r>
              <w:rPr>
                <w:rFonts w:hint="eastAsia" w:ascii="仿宋" w:hAnsi="仿宋" w:eastAsia="仿宋" w:cs="仿宋"/>
                <w:highlight w:val="none"/>
              </w:rPr>
              <w:t>8、磋商保证金缴纳凭证；</w:t>
            </w:r>
          </w:p>
          <w:p>
            <w:pPr>
              <w:pStyle w:val="23"/>
              <w:shd w:val="clear" w:color="auto" w:fill="FFFFFF"/>
              <w:spacing w:beforeAutospacing="0" w:afterAutospacing="0" w:line="360" w:lineRule="auto"/>
              <w:ind w:firstLine="420"/>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以代理机构现场查询为准）</w:t>
            </w:r>
          </w:p>
          <w:p>
            <w:pPr>
              <w:spacing w:line="46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备注：</w:t>
            </w:r>
          </w:p>
          <w:p>
            <w:pPr>
              <w:spacing w:line="4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1、所有资质证件的复印件必须加盖单位公章附在磋商响应文件中。</w:t>
            </w:r>
          </w:p>
          <w:p>
            <w:pPr>
              <w:pStyle w:val="23"/>
              <w:pageBreakBefore w:val="0"/>
              <w:shd w:val="clear" w:color="auto" w:fill="FFFFFF"/>
              <w:kinsoku/>
              <w:wordWrap/>
              <w:overflowPunct/>
              <w:topLinePunct w:val="0"/>
              <w:bidi w:val="0"/>
              <w:snapToGrid/>
              <w:spacing w:beforeAutospacing="0" w:afterAutospacing="0" w:line="500" w:lineRule="exact"/>
              <w:textAlignment w:val="auto"/>
              <w:rPr>
                <w:rFonts w:hint="eastAsia" w:eastAsia="楷体_GB2312"/>
                <w:highlight w:val="none"/>
                <w:lang w:val="en-US" w:eastAsia="zh-CN"/>
              </w:rPr>
            </w:pPr>
            <w:r>
              <w:rPr>
                <w:rFonts w:hint="eastAsia" w:ascii="仿宋" w:hAnsi="仿宋" w:eastAsia="仿宋" w:cs="仿宋"/>
                <w:b/>
                <w:bCs/>
                <w:color w:val="auto"/>
                <w:sz w:val="24"/>
                <w:highlight w:val="none"/>
              </w:rPr>
              <w:t>2、上述资格证明文件为必备资格，缺项按无效</w:t>
            </w:r>
            <w:r>
              <w:rPr>
                <w:rFonts w:hint="eastAsia" w:ascii="仿宋" w:hAnsi="仿宋" w:eastAsia="仿宋" w:cs="仿宋"/>
                <w:b/>
                <w:bCs/>
                <w:color w:val="auto"/>
                <w:sz w:val="24"/>
                <w:highlight w:val="none"/>
                <w:lang w:val="en-US" w:eastAsia="zh-CN"/>
              </w:rPr>
              <w:t>响应</w:t>
            </w:r>
            <w:r>
              <w:rPr>
                <w:rFonts w:hint="eastAsia" w:ascii="仿宋" w:hAnsi="仿宋" w:eastAsia="仿宋" w:cs="仿宋"/>
                <w:b/>
                <w:bCs/>
                <w:color w:val="auto"/>
                <w:sz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16</w:t>
            </w:r>
          </w:p>
        </w:tc>
        <w:tc>
          <w:tcPr>
            <w:tcW w:w="217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联合体竞争性</w:t>
            </w:r>
          </w:p>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w:t>
            </w:r>
          </w:p>
        </w:tc>
        <w:tc>
          <w:tcPr>
            <w:tcW w:w="6981"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17</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前答疑会</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18</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供应商提出询问和质疑的时间</w:t>
            </w:r>
          </w:p>
        </w:tc>
        <w:tc>
          <w:tcPr>
            <w:tcW w:w="6981" w:type="dxa"/>
            <w:vAlign w:val="center"/>
          </w:tcPr>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已经购买</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文件的供应商对</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文件有询问或者质疑的，可以在知道或者知其权益受到损害之日起七个工作日内，以书面形式向采购人、采购代理机构提出。在此之后提出的询问和质疑均为无效，采购代理机构不予受理</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19</w:t>
            </w:r>
          </w:p>
        </w:tc>
        <w:tc>
          <w:tcPr>
            <w:tcW w:w="2173"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采购代理机构答疑的时间</w:t>
            </w:r>
          </w:p>
        </w:tc>
        <w:tc>
          <w:tcPr>
            <w:tcW w:w="6981"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对于供应商在规定时间内依法提出的询问和质疑，采购代理机构将在三个工作日内答复询问，七个工作日内答复质疑。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20</w:t>
            </w:r>
          </w:p>
        </w:tc>
        <w:tc>
          <w:tcPr>
            <w:tcW w:w="2173"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磋商有效期</w:t>
            </w:r>
          </w:p>
        </w:tc>
        <w:tc>
          <w:tcPr>
            <w:tcW w:w="6981"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90日历天（自磋商截止之日算起）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21</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报价要求</w:t>
            </w:r>
          </w:p>
        </w:tc>
        <w:tc>
          <w:tcPr>
            <w:tcW w:w="6981" w:type="dxa"/>
            <w:vAlign w:val="center"/>
          </w:tcPr>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总价及分项报价</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1）报价应包含完成该项目工作所发生的全部费用以及</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利润、税金和政策性文件规定及合同包含的所有风险、责任等一切费用；</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必须对所投项目全部内容进行完整报价，并列出明细及价格组成。采购人不接受（将拒绝）只对项目部分内容进行报价的</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22</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是否允许</w:t>
            </w:r>
          </w:p>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备选</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方案</w:t>
            </w:r>
          </w:p>
        </w:tc>
        <w:tc>
          <w:tcPr>
            <w:tcW w:w="6981" w:type="dxa"/>
            <w:vAlign w:val="center"/>
          </w:tcPr>
          <w:p>
            <w:pPr>
              <w:pageBreakBefore w:val="0"/>
              <w:kinsoku/>
              <w:wordWrap/>
              <w:overflowPunct/>
              <w:topLinePunct w:val="0"/>
              <w:bidi w:val="0"/>
              <w:snapToGrid/>
              <w:spacing w:line="500" w:lineRule="exact"/>
              <w:ind w:left="360" w:leftChars="0" w:hanging="360" w:hangingChars="15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23</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履约保证金</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24</w:t>
            </w:r>
          </w:p>
        </w:tc>
        <w:tc>
          <w:tcPr>
            <w:tcW w:w="2173" w:type="dxa"/>
            <w:vAlign w:val="center"/>
          </w:tcPr>
          <w:p>
            <w:pPr>
              <w:spacing w:line="360" w:lineRule="auto"/>
              <w:jc w:val="center"/>
              <w:rPr>
                <w:rFonts w:hint="eastAsia" w:ascii="仿宋" w:hAnsi="仿宋" w:eastAsia="仿宋" w:cs="仿宋"/>
                <w:kern w:val="0"/>
                <w:sz w:val="24"/>
                <w:szCs w:val="24"/>
                <w:highlight w:val="none"/>
              </w:rPr>
            </w:pPr>
            <w:r>
              <w:rPr>
                <w:rFonts w:hint="eastAsia" w:ascii="仿宋" w:hAnsi="仿宋" w:eastAsia="仿宋" w:cs="仿宋"/>
                <w:color w:val="auto"/>
                <w:sz w:val="24"/>
                <w:szCs w:val="24"/>
                <w:highlight w:val="none"/>
              </w:rPr>
              <w:t>磋商保证金</w:t>
            </w:r>
          </w:p>
        </w:tc>
        <w:tc>
          <w:tcPr>
            <w:tcW w:w="6981" w:type="dxa"/>
            <w:vAlign w:val="center"/>
          </w:tcPr>
          <w:p>
            <w:pPr>
              <w:spacing w:line="500" w:lineRule="exact"/>
              <w:rPr>
                <w:rFonts w:ascii="仿宋" w:hAnsi="仿宋" w:eastAsia="仿宋" w:cs="仿宋"/>
                <w:sz w:val="24"/>
                <w:highlight w:val="none"/>
              </w:rPr>
            </w:pPr>
            <w:r>
              <w:rPr>
                <w:rFonts w:hint="eastAsia" w:ascii="仿宋" w:hAnsi="仿宋" w:eastAsia="仿宋" w:cs="仿宋"/>
                <w:sz w:val="24"/>
                <w:highlight w:val="none"/>
              </w:rPr>
              <w:t>1、本项目的磋商保证金为：人民币</w:t>
            </w:r>
            <w:r>
              <w:rPr>
                <w:rFonts w:hint="eastAsia" w:ascii="仿宋" w:hAnsi="仿宋" w:eastAsia="仿宋" w:cs="仿宋"/>
                <w:sz w:val="24"/>
                <w:highlight w:val="none"/>
                <w:u w:val="single"/>
                <w:lang w:val="en-US" w:eastAsia="zh-CN"/>
              </w:rPr>
              <w:t>壹万捌仟元整</w:t>
            </w:r>
            <w:r>
              <w:rPr>
                <w:rFonts w:hint="eastAsia" w:ascii="仿宋" w:hAnsi="仿宋" w:eastAsia="仿宋" w:cs="仿宋"/>
                <w:sz w:val="24"/>
                <w:highlight w:val="none"/>
              </w:rPr>
              <w:t>（小写：¥</w:t>
            </w:r>
            <w:r>
              <w:rPr>
                <w:rFonts w:hint="eastAsia" w:ascii="仿宋" w:hAnsi="仿宋" w:eastAsia="仿宋" w:cs="仿宋"/>
                <w:sz w:val="24"/>
                <w:highlight w:val="none"/>
                <w:u w:val="single"/>
                <w:lang w:val="en-US" w:eastAsia="zh-CN"/>
              </w:rPr>
              <w:t>180</w:t>
            </w:r>
            <w:r>
              <w:rPr>
                <w:rFonts w:hint="eastAsia" w:ascii="仿宋" w:hAnsi="仿宋" w:eastAsia="仿宋" w:cs="仿宋"/>
                <w:sz w:val="24"/>
                <w:highlight w:val="none"/>
                <w:u w:val="single"/>
              </w:rPr>
              <w:t>00.00</w:t>
            </w:r>
            <w:r>
              <w:rPr>
                <w:rFonts w:hint="eastAsia" w:ascii="仿宋" w:hAnsi="仿宋" w:eastAsia="仿宋" w:cs="仿宋"/>
                <w:sz w:val="24"/>
                <w:highlight w:val="none"/>
              </w:rPr>
              <w:t>）；</w:t>
            </w:r>
          </w:p>
          <w:p>
            <w:pPr>
              <w:spacing w:line="500" w:lineRule="exact"/>
              <w:rPr>
                <w:rFonts w:ascii="仿宋" w:hAnsi="仿宋" w:eastAsia="仿宋" w:cs="仿宋"/>
                <w:sz w:val="24"/>
                <w:highlight w:val="none"/>
              </w:rPr>
            </w:pPr>
            <w:r>
              <w:rPr>
                <w:rFonts w:hint="eastAsia" w:ascii="仿宋" w:hAnsi="仿宋" w:eastAsia="仿宋" w:cs="仿宋"/>
                <w:sz w:val="24"/>
                <w:highlight w:val="none"/>
              </w:rPr>
              <w:t>2、交纳方式：磋商保证金应当以网银、支票、汇票、本票等非现金形式提交。</w:t>
            </w:r>
          </w:p>
          <w:p>
            <w:pPr>
              <w:spacing w:line="500" w:lineRule="exact"/>
              <w:rPr>
                <w:rFonts w:ascii="仿宋" w:hAnsi="仿宋" w:eastAsia="仿宋" w:cs="仿宋"/>
                <w:sz w:val="24"/>
                <w:highlight w:val="none"/>
              </w:rPr>
            </w:pPr>
            <w:r>
              <w:rPr>
                <w:rFonts w:hint="eastAsia" w:ascii="仿宋" w:hAnsi="仿宋" w:eastAsia="仿宋" w:cs="仿宋"/>
                <w:sz w:val="24"/>
                <w:highlight w:val="none"/>
              </w:rPr>
              <w:t>3、交纳截止时间：磋商截止时间前到达指定账户。</w:t>
            </w:r>
          </w:p>
          <w:p>
            <w:pPr>
              <w:spacing w:line="500" w:lineRule="exact"/>
              <w:rPr>
                <w:rFonts w:ascii="仿宋" w:hAnsi="仿宋" w:eastAsia="仿宋" w:cs="仿宋"/>
                <w:sz w:val="24"/>
                <w:highlight w:val="none"/>
              </w:rPr>
            </w:pPr>
            <w:r>
              <w:rPr>
                <w:rFonts w:hint="eastAsia" w:ascii="仿宋" w:hAnsi="仿宋" w:eastAsia="仿宋" w:cs="仿宋"/>
                <w:sz w:val="24"/>
                <w:highlight w:val="none"/>
              </w:rPr>
              <w:t>4、以转账方式交纳磋商保证金须注明项目</w:t>
            </w:r>
            <w:r>
              <w:rPr>
                <w:rFonts w:hint="eastAsia" w:ascii="仿宋" w:hAnsi="仿宋" w:eastAsia="仿宋" w:cs="仿宋"/>
                <w:b/>
                <w:bCs/>
                <w:sz w:val="24"/>
                <w:highlight w:val="none"/>
              </w:rPr>
              <w:t>编号+用途</w:t>
            </w:r>
            <w:r>
              <w:rPr>
                <w:rFonts w:hint="eastAsia" w:ascii="仿宋" w:hAnsi="仿宋" w:eastAsia="仿宋" w:cs="仿宋"/>
                <w:sz w:val="24"/>
                <w:highlight w:val="none"/>
              </w:rPr>
              <w:t>便于采购代理机构财务部查询登记。</w:t>
            </w:r>
          </w:p>
          <w:p>
            <w:pPr>
              <w:spacing w:line="500" w:lineRule="exact"/>
              <w:jc w:val="left"/>
              <w:rPr>
                <w:rFonts w:ascii="仿宋" w:hAnsi="仿宋" w:eastAsia="仿宋" w:cs="仿宋"/>
                <w:sz w:val="24"/>
                <w:highlight w:val="none"/>
              </w:rPr>
            </w:pPr>
            <w:r>
              <w:rPr>
                <w:rFonts w:hint="eastAsia" w:ascii="仿宋" w:hAnsi="仿宋" w:eastAsia="仿宋" w:cs="仿宋"/>
                <w:sz w:val="24"/>
                <w:highlight w:val="none"/>
              </w:rPr>
              <w:t>户    名：陕西德仁招标有限公司</w:t>
            </w:r>
          </w:p>
          <w:p>
            <w:pPr>
              <w:spacing w:line="500" w:lineRule="exact"/>
              <w:rPr>
                <w:rFonts w:ascii="仿宋" w:hAnsi="仿宋" w:eastAsia="仿宋" w:cs="仿宋"/>
                <w:sz w:val="24"/>
                <w:highlight w:val="none"/>
              </w:rPr>
            </w:pPr>
            <w:r>
              <w:rPr>
                <w:rFonts w:hint="eastAsia" w:ascii="仿宋" w:hAnsi="仿宋" w:eastAsia="仿宋" w:cs="仿宋"/>
                <w:sz w:val="24"/>
                <w:highlight w:val="none"/>
              </w:rPr>
              <w:t xml:space="preserve">开户银行：建设银行西安含光南路支行 </w:t>
            </w:r>
          </w:p>
          <w:p>
            <w:pPr>
              <w:spacing w:line="500" w:lineRule="exact"/>
              <w:rPr>
                <w:rFonts w:ascii="仿宋" w:hAnsi="仿宋" w:eastAsia="仿宋" w:cs="仿宋"/>
                <w:sz w:val="24"/>
                <w:highlight w:val="none"/>
              </w:rPr>
            </w:pPr>
            <w:r>
              <w:rPr>
                <w:rFonts w:hint="eastAsia" w:ascii="仿宋" w:hAnsi="仿宋" w:eastAsia="仿宋" w:cs="仿宋"/>
                <w:sz w:val="24"/>
                <w:highlight w:val="none"/>
              </w:rPr>
              <w:t xml:space="preserve">账    号：6105 0172 6500 0000 0081 </w:t>
            </w:r>
          </w:p>
          <w:p>
            <w:pPr>
              <w:spacing w:line="500" w:lineRule="exact"/>
              <w:rPr>
                <w:rFonts w:ascii="仿宋" w:hAnsi="仿宋" w:eastAsia="仿宋" w:cs="仿宋"/>
                <w:b/>
                <w:bCs/>
                <w:sz w:val="24"/>
                <w:highlight w:val="none"/>
              </w:rPr>
            </w:pPr>
            <w:r>
              <w:rPr>
                <w:rFonts w:hint="eastAsia" w:ascii="仿宋" w:hAnsi="仿宋" w:eastAsia="仿宋" w:cs="仿宋"/>
                <w:b/>
                <w:bCs/>
                <w:sz w:val="24"/>
                <w:highlight w:val="none"/>
              </w:rPr>
              <w:t>采购代理机构公司财务室电话：029-89588150</w:t>
            </w:r>
          </w:p>
          <w:p>
            <w:pPr>
              <w:pStyle w:val="82"/>
              <w:ind w:left="0" w:leftChars="0" w:firstLine="0" w:firstLineChars="0"/>
              <w:rPr>
                <w:rFonts w:hint="default" w:ascii="仿宋" w:hAnsi="仿宋" w:eastAsia="仿宋" w:cs="仿宋"/>
                <w:kern w:val="0"/>
                <w:sz w:val="24"/>
                <w:szCs w:val="24"/>
                <w:highlight w:val="none"/>
                <w:lang w:val="en-US" w:eastAsia="zh-CN"/>
              </w:rPr>
            </w:pPr>
            <w:r>
              <w:rPr>
                <w:rFonts w:hint="eastAsia" w:ascii="仿宋" w:hAnsi="仿宋" w:eastAsia="仿宋" w:cs="仿宋"/>
                <w:sz w:val="24"/>
                <w:highlight w:val="none"/>
              </w:rPr>
              <w:t>重要提示：磋商保证金必须在磋商截止时间之前交纳方为有效。请供应商考虑资金在银行之间的转账要求和时间成本，确保在磋商截止时间之前采购代理机构上述指定的账户能收到所交的磋商保证金，供应商应将保证金缴纳凭证复印件加盖公章装订在响应文件（正、副本）中，凡响应文件中未附保证金缴纳凭证的供应商，视为非响应性磋商，其磋商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25</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kern w:val="0"/>
                <w:sz w:val="24"/>
                <w:szCs w:val="24"/>
                <w:highlight w:val="none"/>
              </w:rPr>
            </w:pPr>
            <w:r>
              <w:rPr>
                <w:rFonts w:hint="eastAsia" w:ascii="仿宋" w:hAnsi="仿宋" w:eastAsia="仿宋" w:cs="仿宋"/>
                <w:color w:val="auto"/>
                <w:sz w:val="24"/>
                <w:szCs w:val="24"/>
                <w:highlight w:val="none"/>
              </w:rPr>
              <w:t>信用查询</w:t>
            </w:r>
          </w:p>
        </w:tc>
        <w:tc>
          <w:tcPr>
            <w:tcW w:w="6981" w:type="dxa"/>
            <w:vAlign w:val="top"/>
          </w:tcPr>
          <w:p>
            <w:pPr>
              <w:pStyle w:val="13"/>
              <w:pageBreakBefore w:val="0"/>
              <w:kinsoku/>
              <w:wordWrap/>
              <w:overflowPunct/>
              <w:topLinePunct w:val="0"/>
              <w:bidi w:val="0"/>
              <w:snapToGrid/>
              <w:spacing w:line="500" w:lineRule="exact"/>
              <w:jc w:val="left"/>
              <w:textAlignment w:val="auto"/>
              <w:rPr>
                <w:rFonts w:hint="eastAsia" w:ascii="仿宋" w:hAnsi="仿宋" w:eastAsia="仿宋" w:cs="仿宋"/>
                <w:kern w:val="0"/>
                <w:sz w:val="24"/>
                <w:szCs w:val="24"/>
                <w:highlight w:val="none"/>
              </w:rPr>
            </w:pPr>
            <w:r>
              <w:rPr>
                <w:rFonts w:hint="eastAsia" w:ascii="仿宋" w:hAnsi="仿宋" w:eastAsia="仿宋" w:cs="仿宋"/>
                <w:color w:val="auto"/>
                <w:kern w:val="2"/>
                <w:sz w:val="24"/>
                <w:szCs w:val="24"/>
                <w:highlight w:val="none"/>
                <w:lang w:val="en-US" w:eastAsia="zh-CN" w:bidi="ar-SA"/>
              </w:rPr>
              <w:t>供应商通过“信用中国”网站(www.creditchina.gov.cn)和中国政府采购网(www.ccgp.gov.cn) 查询相关主体信用记录，查询节点应在采购文件发售期至磋商截止时间之间。（供应商可将“信用中国”网站“中国政府采购网”网页查询截图加盖供应商公章附在响应文件中，采购人、采购代理机构有权对各供应商信用记录情况进行甄别查询，并对查询结果予以截图留存，企业信用记录以现场甄别查询结果为准。对被列入失信被执行人、政府采购严重违法失信行为记录名单及其他不符合《中华人民共和国政府采购法》第二十二条规定条件的供应商，采购代理机构即视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26</w:t>
            </w:r>
          </w:p>
        </w:tc>
        <w:tc>
          <w:tcPr>
            <w:tcW w:w="2173" w:type="dxa"/>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投标人失信行为</w:t>
            </w:r>
          </w:p>
        </w:tc>
        <w:tc>
          <w:tcPr>
            <w:tcW w:w="6981" w:type="dxa"/>
            <w:vAlign w:val="center"/>
          </w:tcPr>
          <w:p>
            <w:pPr>
              <w:spacing w:line="36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投标人有《陕西省政府采购领域投标人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27</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签字或盖章要求</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磋商响应文件中要求盖章签字的地方，</w:t>
            </w:r>
            <w:r>
              <w:rPr>
                <w:rFonts w:hint="eastAsia" w:ascii="仿宋" w:hAnsi="仿宋" w:eastAsia="仿宋" w:cs="仿宋"/>
                <w:sz w:val="24"/>
                <w:highlight w:val="none"/>
              </w:rPr>
              <w:t>均应按</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文件要求签字或盖章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副本可以为正本的复印件。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28</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文件份数</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正本壹份，副本贰份，电子版（U盘）壹份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29</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电子版</w:t>
            </w:r>
            <w:r>
              <w:rPr>
                <w:rFonts w:hint="eastAsia" w:ascii="仿宋" w:hAnsi="仿宋" w:eastAsia="仿宋" w:cs="仿宋"/>
                <w:color w:val="auto"/>
                <w:sz w:val="24"/>
                <w:szCs w:val="24"/>
                <w:highlight w:val="none"/>
                <w:lang w:val="en-US" w:eastAsia="zh-CN"/>
              </w:rPr>
              <w:t>文件</w:t>
            </w:r>
            <w:r>
              <w:rPr>
                <w:rFonts w:hint="eastAsia" w:ascii="仿宋" w:hAnsi="仿宋" w:eastAsia="仿宋" w:cs="仿宋"/>
                <w:color w:val="auto"/>
                <w:sz w:val="24"/>
                <w:szCs w:val="24"/>
                <w:highlight w:val="none"/>
              </w:rPr>
              <w:t>要求</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格式和载体要求： </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val="0"/>
                <w:bCs w:val="0"/>
                <w:color w:val="auto"/>
                <w:sz w:val="24"/>
                <w:szCs w:val="24"/>
                <w:highlight w:val="none"/>
                <w:u w:val="none"/>
              </w:rPr>
              <w:t>供应商须另行提供与纸质</w:t>
            </w:r>
            <w:r>
              <w:rPr>
                <w:rFonts w:hint="eastAsia" w:ascii="仿宋" w:hAnsi="仿宋" w:eastAsia="仿宋" w:cs="仿宋"/>
                <w:b w:val="0"/>
                <w:bCs w:val="0"/>
                <w:color w:val="auto"/>
                <w:sz w:val="24"/>
                <w:szCs w:val="24"/>
                <w:highlight w:val="none"/>
                <w:u w:val="none"/>
                <w:lang w:val="en-US" w:eastAsia="zh-CN"/>
              </w:rPr>
              <w:t>响应</w:t>
            </w:r>
            <w:r>
              <w:rPr>
                <w:rFonts w:hint="eastAsia" w:ascii="仿宋" w:hAnsi="仿宋" w:eastAsia="仿宋" w:cs="仿宋"/>
                <w:b w:val="0"/>
                <w:bCs w:val="0"/>
                <w:color w:val="auto"/>
                <w:sz w:val="24"/>
                <w:szCs w:val="24"/>
                <w:highlight w:val="none"/>
                <w:u w:val="none"/>
              </w:rPr>
              <w:t>文件正本一致的Word格式</w:t>
            </w:r>
            <w:r>
              <w:rPr>
                <w:rFonts w:hint="eastAsia" w:ascii="仿宋" w:hAnsi="仿宋" w:eastAsia="仿宋" w:cs="仿宋"/>
                <w:b w:val="0"/>
                <w:bCs w:val="0"/>
                <w:color w:val="auto"/>
                <w:sz w:val="24"/>
                <w:szCs w:val="24"/>
                <w:highlight w:val="none"/>
                <w:u w:val="none"/>
                <w:lang w:val="en-US" w:eastAsia="zh-CN"/>
              </w:rPr>
              <w:t>及</w:t>
            </w:r>
            <w:r>
              <w:rPr>
                <w:rFonts w:hint="eastAsia" w:ascii="仿宋" w:hAnsi="仿宋" w:eastAsia="仿宋" w:cs="仿宋"/>
                <w:b/>
                <w:bCs/>
                <w:color w:val="auto"/>
                <w:sz w:val="24"/>
                <w:szCs w:val="24"/>
                <w:highlight w:val="none"/>
                <w:u w:val="none"/>
              </w:rPr>
              <w:t>PDF版本</w:t>
            </w: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盖章签字必须清楚</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的电子版</w:t>
            </w:r>
            <w:r>
              <w:rPr>
                <w:rFonts w:hint="eastAsia" w:ascii="仿宋" w:hAnsi="仿宋" w:eastAsia="仿宋" w:cs="仿宋"/>
                <w:b w:val="0"/>
                <w:bCs w:val="0"/>
                <w:color w:val="auto"/>
                <w:sz w:val="24"/>
                <w:szCs w:val="24"/>
                <w:highlight w:val="none"/>
                <w:u w:val="none"/>
                <w:lang w:val="en-US" w:eastAsia="zh-CN"/>
              </w:rPr>
              <w:t>响应</w:t>
            </w:r>
            <w:r>
              <w:rPr>
                <w:rFonts w:hint="eastAsia" w:ascii="仿宋" w:hAnsi="仿宋" w:eastAsia="仿宋" w:cs="仿宋"/>
                <w:b w:val="0"/>
                <w:bCs w:val="0"/>
                <w:color w:val="auto"/>
                <w:sz w:val="24"/>
                <w:szCs w:val="24"/>
                <w:highlight w:val="none"/>
                <w:u w:val="none"/>
              </w:rPr>
              <w:t>文件</w:t>
            </w:r>
            <w:r>
              <w:rPr>
                <w:rFonts w:hint="eastAsia" w:ascii="仿宋" w:hAnsi="仿宋" w:eastAsia="仿宋" w:cs="仿宋"/>
                <w:b w:val="0"/>
                <w:bCs w:val="0"/>
                <w:color w:val="auto"/>
                <w:sz w:val="24"/>
                <w:szCs w:val="24"/>
                <w:highlight w:val="none"/>
                <w:u w:val="none"/>
                <w:lang w:val="en-US" w:eastAsia="zh-CN"/>
              </w:rPr>
              <w:t>,电子文本与纸质不一致已纸质为准</w:t>
            </w:r>
            <w:r>
              <w:rPr>
                <w:rFonts w:hint="eastAsia" w:ascii="仿宋" w:hAnsi="仿宋" w:eastAsia="仿宋" w:cs="仿宋"/>
                <w:b w:val="0"/>
                <w:bCs w:val="0"/>
                <w:color w:val="auto"/>
                <w:sz w:val="24"/>
                <w:szCs w:val="24"/>
                <w:highlight w:val="none"/>
                <w:u w:val="none"/>
              </w:rPr>
              <w:t>；</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须保证</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文件的纸质文件与电子文档保持一致；</w:t>
            </w:r>
          </w:p>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U盘</w:t>
            </w:r>
            <w:r>
              <w:rPr>
                <w:rFonts w:hint="eastAsia" w:ascii="仿宋" w:hAnsi="仿宋" w:eastAsia="仿宋" w:cs="仿宋"/>
                <w:color w:val="auto"/>
                <w:sz w:val="24"/>
                <w:szCs w:val="24"/>
                <w:highlight w:val="none"/>
              </w:rPr>
              <w:t>表面需标明项目编号、</w:t>
            </w:r>
            <w:r>
              <w:rPr>
                <w:rFonts w:hint="eastAsia" w:ascii="仿宋" w:hAnsi="仿宋" w:eastAsia="仿宋" w:cs="仿宋"/>
                <w:color w:val="auto"/>
                <w:sz w:val="24"/>
                <w:szCs w:val="24"/>
                <w:highlight w:val="none"/>
                <w:lang w:val="en-US" w:eastAsia="zh-CN"/>
              </w:rPr>
              <w:t>供应商简称</w:t>
            </w:r>
            <w:r>
              <w:rPr>
                <w:rFonts w:hint="eastAsia" w:ascii="仿宋" w:hAnsi="仿宋" w:eastAsia="仿宋" w:cs="仿宋"/>
                <w:color w:val="auto"/>
                <w:sz w:val="24"/>
                <w:szCs w:val="24"/>
                <w:highlight w:val="none"/>
              </w:rPr>
              <w:t>等信息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便于与其他供应商U盘区分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30</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装订、包装、密封及标记要求</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ind w:left="315"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1）文件正、副本应分别装订成册，装订应牢固、不易拆散和换页，不得采用活页装订。</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2）密封包装方式（共3包）：</w:t>
            </w:r>
          </w:p>
          <w:p>
            <w:pPr>
              <w:pageBreakBefore w:val="0"/>
              <w:kinsoku/>
              <w:wordWrap/>
              <w:overflowPunct/>
              <w:topLinePunct w:val="0"/>
              <w:bidi w:val="0"/>
              <w:snapToGrid/>
              <w:spacing w:line="500" w:lineRule="exact"/>
              <w:ind w:left="634" w:leftChars="114"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文件正本一包密封。</w:t>
            </w:r>
          </w:p>
          <w:p>
            <w:pPr>
              <w:pageBreakBefore w:val="0"/>
              <w:kinsoku/>
              <w:wordWrap/>
              <w:overflowPunct/>
              <w:topLinePunct w:val="0"/>
              <w:bidi w:val="0"/>
              <w:snapToGrid/>
              <w:spacing w:line="500" w:lineRule="exact"/>
              <w:ind w:left="634" w:leftChars="114"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文件副本一包密封。</w:t>
            </w:r>
          </w:p>
          <w:p>
            <w:pPr>
              <w:pageBreakBefore w:val="0"/>
              <w:kinsoku/>
              <w:wordWrap/>
              <w:overflowPunct/>
              <w:topLinePunct w:val="0"/>
              <w:bidi w:val="0"/>
              <w:snapToGrid/>
              <w:spacing w:line="500" w:lineRule="exact"/>
              <w:ind w:left="634" w:leftChars="114"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文件电子版一包密封。</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3）封套上应写明：</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项目编号                       正</w:t>
            </w:r>
            <w:r>
              <w:rPr>
                <w:rFonts w:hint="eastAsia" w:ascii="仿宋" w:hAnsi="仿宋" w:eastAsia="仿宋" w:cs="仿宋"/>
                <w:color w:val="auto"/>
                <w:sz w:val="24"/>
                <w:szCs w:val="24"/>
                <w:highlight w:val="none"/>
                <w:lang w:val="en-US" w:eastAsia="zh-CN"/>
              </w:rPr>
              <w:t>本</w:t>
            </w:r>
            <w:r>
              <w:rPr>
                <w:rFonts w:hint="eastAsia" w:ascii="仿宋" w:hAnsi="仿宋" w:eastAsia="仿宋" w:cs="仿宋"/>
                <w:color w:val="auto"/>
                <w:sz w:val="24"/>
                <w:szCs w:val="24"/>
                <w:highlight w:val="none"/>
              </w:rPr>
              <w:t>/副</w:t>
            </w:r>
            <w:r>
              <w:rPr>
                <w:rFonts w:hint="eastAsia" w:ascii="仿宋" w:hAnsi="仿宋" w:eastAsia="仿宋" w:cs="仿宋"/>
                <w:color w:val="auto"/>
                <w:sz w:val="24"/>
                <w:szCs w:val="24"/>
                <w:highlight w:val="none"/>
                <w:lang w:val="en-US" w:eastAsia="zh-CN"/>
              </w:rPr>
              <w:t>本/电子版</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ageBreakBefore w:val="0"/>
              <w:kinsoku/>
              <w:wordWrap/>
              <w:overflowPunct/>
              <w:topLinePunct w:val="0"/>
              <w:bidi w:val="0"/>
              <w:snapToGrid/>
              <w:spacing w:line="500" w:lineRule="exact"/>
              <w:ind w:firstLine="2160" w:firstLineChars="9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w:t>
            </w:r>
          </w:p>
          <w:p>
            <w:pPr>
              <w:pageBreakBefore w:val="0"/>
              <w:kinsoku/>
              <w:wordWrap/>
              <w:overflowPunct/>
              <w:topLinePunct w:val="0"/>
              <w:bidi w:val="0"/>
              <w:snapToGrid/>
              <w:spacing w:line="500" w:lineRule="exact"/>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在    年  月  日 时  分前</w:t>
            </w:r>
            <w:r>
              <w:rPr>
                <w:rFonts w:hint="eastAsia" w:ascii="仿宋" w:hAnsi="仿宋" w:eastAsia="仿宋" w:cs="仿宋"/>
                <w:color w:val="auto"/>
                <w:sz w:val="24"/>
                <w:szCs w:val="24"/>
                <w:highlight w:val="none"/>
              </w:rPr>
              <w:t>不得开启</w:t>
            </w:r>
          </w:p>
          <w:p>
            <w:pPr>
              <w:pageBreakBefore w:val="0"/>
              <w:kinsoku/>
              <w:wordWrap/>
              <w:overflowPunct/>
              <w:topLinePunct w:val="0"/>
              <w:bidi w:val="0"/>
              <w:snapToGrid/>
              <w:spacing w:line="500" w:lineRule="exact"/>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供应商名称</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（公章）</w:t>
            </w:r>
          </w:p>
          <w:p>
            <w:pPr>
              <w:pageBreakBefore w:val="0"/>
              <w:kinsoku/>
              <w:wordWrap/>
              <w:overflowPunct/>
              <w:topLinePunct w:val="0"/>
              <w:bidi w:val="0"/>
              <w:snapToGrid/>
              <w:spacing w:line="500" w:lineRule="exact"/>
              <w:ind w:left="511" w:leftChars="213" w:firstLine="268" w:firstLineChars="112"/>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法定代表人或授权代表：</w:t>
            </w:r>
            <w:r>
              <w:rPr>
                <w:rFonts w:hint="eastAsia" w:ascii="仿宋" w:hAnsi="仿宋" w:eastAsia="仿宋" w:cs="仿宋"/>
                <w:color w:val="auto"/>
                <w:sz w:val="24"/>
                <w:szCs w:val="24"/>
                <w:highlight w:val="none"/>
                <w:u w:val="single"/>
              </w:rPr>
              <w:t xml:space="preserve">   （签字或盖章）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31</w:t>
            </w: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文件递交</w:t>
            </w:r>
            <w:r>
              <w:rPr>
                <w:rFonts w:hint="eastAsia" w:ascii="仿宋" w:hAnsi="仿宋" w:eastAsia="仿宋" w:cs="仿宋"/>
                <w:color w:val="auto"/>
                <w:sz w:val="24"/>
                <w:szCs w:val="24"/>
                <w:highlight w:val="none"/>
                <w:lang w:val="en-US" w:eastAsia="zh-CN"/>
              </w:rPr>
              <w:t>截止</w:t>
            </w:r>
            <w:r>
              <w:rPr>
                <w:rFonts w:hint="eastAsia" w:ascii="仿宋" w:hAnsi="仿宋" w:eastAsia="仿宋" w:cs="仿宋"/>
                <w:color w:val="auto"/>
                <w:sz w:val="24"/>
                <w:szCs w:val="24"/>
                <w:highlight w:val="none"/>
              </w:rPr>
              <w:t>时间和地点</w:t>
            </w:r>
          </w:p>
        </w:tc>
        <w:tc>
          <w:tcPr>
            <w:tcW w:w="69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06</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0分</w:t>
            </w:r>
          </w:p>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地点：</w:t>
            </w:r>
            <w:r>
              <w:rPr>
                <w:rFonts w:hint="eastAsia" w:ascii="仿宋" w:hAnsi="仿宋" w:eastAsia="仿宋" w:cs="仿宋"/>
                <w:sz w:val="24"/>
                <w:szCs w:val="24"/>
                <w:highlight w:val="none"/>
                <w:lang w:eastAsia="zh-CN"/>
              </w:rPr>
              <w:t>西安市高新区沣惠南路20号华晶商务广场B座2301室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32</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时间和地点</w:t>
            </w:r>
          </w:p>
        </w:tc>
        <w:tc>
          <w:tcPr>
            <w:tcW w:w="69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06</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0分</w:t>
            </w:r>
          </w:p>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地点：</w:t>
            </w:r>
            <w:r>
              <w:rPr>
                <w:rFonts w:hint="eastAsia" w:ascii="仿宋" w:hAnsi="仿宋" w:eastAsia="仿宋" w:cs="仿宋"/>
                <w:sz w:val="24"/>
                <w:szCs w:val="24"/>
                <w:highlight w:val="none"/>
                <w:lang w:eastAsia="zh-CN"/>
              </w:rPr>
              <w:t>西安市高新区沣惠南路20号华晶商务广场B座2301室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33</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是否退还磋商响应</w:t>
            </w:r>
          </w:p>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文件</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34</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w:t>
            </w:r>
            <w:r>
              <w:rPr>
                <w:rFonts w:hint="eastAsia" w:ascii="仿宋" w:hAnsi="仿宋" w:eastAsia="仿宋" w:cs="仿宋"/>
                <w:color w:val="auto"/>
                <w:sz w:val="24"/>
                <w:szCs w:val="24"/>
                <w:highlight w:val="none"/>
                <w:lang w:val="en-US" w:eastAsia="zh-CN"/>
              </w:rPr>
              <w:t>小组</w:t>
            </w:r>
            <w:r>
              <w:rPr>
                <w:rFonts w:hint="eastAsia" w:ascii="仿宋" w:hAnsi="仿宋" w:eastAsia="仿宋" w:cs="仿宋"/>
                <w:color w:val="auto"/>
                <w:sz w:val="24"/>
                <w:szCs w:val="24"/>
                <w:highlight w:val="none"/>
              </w:rPr>
              <w:t>的组建</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磋商小组构成：3人，其中项目采购人代表1人，专家2人；</w:t>
            </w:r>
          </w:p>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专家确定方式：从</w:t>
            </w:r>
            <w:r>
              <w:rPr>
                <w:rFonts w:hint="eastAsia" w:ascii="仿宋" w:hAnsi="仿宋" w:eastAsia="仿宋" w:cs="仿宋"/>
                <w:color w:val="auto"/>
                <w:sz w:val="24"/>
                <w:szCs w:val="24"/>
                <w:highlight w:val="none"/>
                <w:lang w:val="en-US" w:eastAsia="zh-CN"/>
              </w:rPr>
              <w:t>陕西省财政厅政府采购</w:t>
            </w:r>
            <w:r>
              <w:rPr>
                <w:rFonts w:hint="eastAsia" w:ascii="仿宋" w:hAnsi="仿宋" w:eastAsia="仿宋" w:cs="仿宋"/>
                <w:color w:val="auto"/>
                <w:sz w:val="24"/>
                <w:szCs w:val="24"/>
                <w:highlight w:val="none"/>
              </w:rPr>
              <w:t>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35</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是否授权磋商小组确定磋商供应商</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rPr>
              <w:t>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推荐</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名</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候选人</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36</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磋商报价次数、磋商程序和最终报价的产生原则</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本次磋商采用二次报价。</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磋商程序为：</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1.磋商小组对所有提交的响应文件进行评审；</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2.磋商小组所有成员集中与单一供应商分别进行磋商；</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3.供应商按照要求提交二次报价；</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4.磋商小组评审、推荐成交候选人。</w:t>
            </w:r>
          </w:p>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在磋商过程中，磋商小组可以根据磋商文件和磋商情况实质性变动采购需求中的技术、服务要求以及合同草案条款，二次报价为最终报价。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37</w:t>
            </w: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招标代理费</w:t>
            </w:r>
          </w:p>
        </w:tc>
        <w:tc>
          <w:tcPr>
            <w:tcW w:w="69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考国家计委颁布的《招标代理服务收费管理暂行办法》（计价格〔2002〕1980号）、发改办价格〔2003〕857号、发改价格〔2011〕534号及发改价格〔2015〕299号文件规定收取，由成交供应商在领取成交通知书之前向代理公司一次性付清招标代理服务费。</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银行户名：陕西德仁招标有限公司</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开户银行：招商银行股份有限公司西安城南支行</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账    号：1299 0904 6810 901</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 xml:space="preserve">联系人：苏会计  </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联系电话：029-89588150</w:t>
            </w:r>
          </w:p>
          <w:p>
            <w:pPr>
              <w:pStyle w:val="75"/>
              <w:rPr>
                <w:rFonts w:hint="eastAsia" w:ascii="仿宋" w:hAnsi="仿宋" w:eastAsia="仿宋" w:cs="仿宋"/>
                <w:sz w:val="24"/>
                <w:szCs w:val="24"/>
                <w:highlight w:val="none"/>
              </w:rPr>
            </w:pPr>
            <w:r>
              <w:rPr>
                <w:rFonts w:hint="eastAsia" w:ascii="仿宋" w:hAnsi="仿宋" w:eastAsia="仿宋" w:cs="仿宋"/>
                <w:b w:val="0"/>
                <w:bCs w:val="0"/>
                <w:color w:val="auto"/>
                <w:sz w:val="24"/>
                <w:szCs w:val="24"/>
                <w:highlight w:val="none"/>
                <w:lang w:val="en-US" w:eastAsia="zh-CN"/>
              </w:rPr>
              <w:t>邮箱：yangmengna@sxdrzb.cn</w:t>
            </w:r>
          </w:p>
        </w:tc>
      </w:tr>
    </w:tbl>
    <w:p>
      <w:pPr>
        <w:spacing w:line="400" w:lineRule="exact"/>
        <w:rPr>
          <w:rFonts w:hint="eastAsia" w:ascii="仿宋" w:hAnsi="仿宋" w:eastAsia="仿宋" w:cs="仿宋"/>
          <w:b/>
          <w:color w:val="auto"/>
          <w:sz w:val="32"/>
          <w:szCs w:val="32"/>
          <w:highlight w:val="none"/>
        </w:rPr>
      </w:pPr>
      <w:bookmarkStart w:id="12" w:name="_Toc32286"/>
      <w:bookmarkStart w:id="13" w:name="_Toc32045"/>
      <w:bookmarkStart w:id="14" w:name="_Toc519156737"/>
      <w:r>
        <w:rPr>
          <w:rFonts w:hint="eastAsia" w:ascii="仿宋" w:hAnsi="仿宋" w:eastAsia="仿宋" w:cs="仿宋"/>
          <w:b/>
          <w:color w:val="auto"/>
          <w:sz w:val="22"/>
          <w:szCs w:val="22"/>
          <w:highlight w:val="none"/>
        </w:rPr>
        <w:t>注：</w:t>
      </w:r>
      <w:r>
        <w:rPr>
          <w:rFonts w:hint="eastAsia" w:ascii="仿宋" w:hAnsi="仿宋" w:eastAsia="仿宋" w:cs="仿宋"/>
          <w:b/>
          <w:color w:val="auto"/>
          <w:sz w:val="22"/>
          <w:szCs w:val="22"/>
          <w:highlight w:val="none"/>
          <w:lang w:val="en-US" w:eastAsia="zh-CN"/>
        </w:rPr>
        <w:t>供应商</w:t>
      </w:r>
      <w:r>
        <w:rPr>
          <w:rFonts w:hint="eastAsia" w:ascii="仿宋" w:hAnsi="仿宋" w:eastAsia="仿宋" w:cs="仿宋"/>
          <w:b/>
          <w:color w:val="auto"/>
          <w:sz w:val="22"/>
          <w:szCs w:val="22"/>
          <w:highlight w:val="none"/>
        </w:rPr>
        <w:t>须知前附表与</w:t>
      </w:r>
      <w:r>
        <w:rPr>
          <w:rFonts w:hint="eastAsia" w:ascii="仿宋" w:hAnsi="仿宋" w:eastAsia="仿宋" w:cs="仿宋"/>
          <w:b/>
          <w:color w:val="auto"/>
          <w:sz w:val="22"/>
          <w:szCs w:val="22"/>
          <w:highlight w:val="none"/>
          <w:lang w:val="en-US" w:eastAsia="zh-CN"/>
        </w:rPr>
        <w:t>采购</w:t>
      </w:r>
      <w:r>
        <w:rPr>
          <w:rFonts w:hint="eastAsia" w:ascii="仿宋" w:hAnsi="仿宋" w:eastAsia="仿宋" w:cs="仿宋"/>
          <w:b/>
          <w:color w:val="auto"/>
          <w:sz w:val="22"/>
          <w:szCs w:val="22"/>
          <w:highlight w:val="none"/>
        </w:rPr>
        <w:t>文件正文对同一事项描述不一致的，以</w:t>
      </w:r>
      <w:r>
        <w:rPr>
          <w:rFonts w:hint="eastAsia" w:ascii="仿宋" w:hAnsi="仿宋" w:eastAsia="仿宋" w:cs="仿宋"/>
          <w:b/>
          <w:color w:val="auto"/>
          <w:sz w:val="22"/>
          <w:szCs w:val="22"/>
          <w:highlight w:val="none"/>
          <w:lang w:val="en-US" w:eastAsia="zh-CN"/>
        </w:rPr>
        <w:t>供应商</w:t>
      </w:r>
      <w:r>
        <w:rPr>
          <w:rFonts w:hint="eastAsia" w:ascii="仿宋" w:hAnsi="仿宋" w:eastAsia="仿宋" w:cs="仿宋"/>
          <w:b/>
          <w:color w:val="auto"/>
          <w:sz w:val="22"/>
          <w:szCs w:val="22"/>
          <w:highlight w:val="none"/>
        </w:rPr>
        <w:t>须知前附表为准</w:t>
      </w:r>
      <w:r>
        <w:rPr>
          <w:rFonts w:hint="eastAsia" w:ascii="仿宋" w:hAnsi="仿宋" w:eastAsia="仿宋" w:cs="仿宋"/>
          <w:b/>
          <w:color w:val="auto"/>
          <w:sz w:val="28"/>
          <w:szCs w:val="28"/>
          <w:highlight w:val="none"/>
        </w:rPr>
        <w:t>。</w:t>
      </w:r>
    </w:p>
    <w:p>
      <w:pPr>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bookmarkEnd w:id="12"/>
    <w:bookmarkEnd w:id="13"/>
    <w:bookmarkEnd w:id="14"/>
    <w:p>
      <w:pPr>
        <w:pStyle w:val="4"/>
        <w:bidi w:val="0"/>
        <w:rPr>
          <w:rFonts w:hint="eastAsia" w:ascii="仿宋" w:hAnsi="仿宋" w:eastAsia="仿宋" w:cs="仿宋"/>
          <w:color w:val="auto"/>
          <w:sz w:val="32"/>
          <w:szCs w:val="36"/>
          <w:highlight w:val="none"/>
        </w:rPr>
      </w:pPr>
      <w:bookmarkStart w:id="15" w:name="_Toc10488"/>
      <w:bookmarkStart w:id="16" w:name="_Toc2152"/>
      <w:bookmarkStart w:id="17" w:name="_Toc29597"/>
      <w:bookmarkStart w:id="18" w:name="_Toc26143"/>
      <w:bookmarkStart w:id="19" w:name="_Toc519156746"/>
      <w:r>
        <w:rPr>
          <w:rFonts w:hint="eastAsia" w:ascii="仿宋" w:hAnsi="仿宋" w:eastAsia="仿宋" w:cs="仿宋"/>
          <w:color w:val="auto"/>
          <w:sz w:val="32"/>
          <w:szCs w:val="36"/>
          <w:highlight w:val="none"/>
        </w:rPr>
        <w:t>一</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名词解释</w:t>
      </w:r>
      <w:bookmarkEnd w:id="15"/>
      <w:bookmarkEnd w:id="16"/>
    </w:p>
    <w:p>
      <w:pPr>
        <w:keepNext w:val="0"/>
        <w:keepLines w:val="0"/>
        <w:pageBreakBefore w:val="0"/>
        <w:widowControl w:val="0"/>
        <w:numPr>
          <w:ilvl w:val="0"/>
          <w:numId w:val="2"/>
        </w:numPr>
        <w:tabs>
          <w:tab w:val="left" w:pos="240"/>
          <w:tab w:val="clear" w:pos="840"/>
        </w:tabs>
        <w:kinsoku/>
        <w:wordWrap/>
        <w:overflowPunct/>
        <w:topLinePunct w:val="0"/>
        <w:autoSpaceDE/>
        <w:autoSpaceDN/>
        <w:bidi w:val="0"/>
        <w:adjustRightInd/>
        <w:snapToGrid/>
        <w:spacing w:line="460" w:lineRule="exact"/>
        <w:ind w:left="-137" w:leftChars="-57"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陕西省工业和信息化厅</w:t>
      </w:r>
    </w:p>
    <w:p>
      <w:pPr>
        <w:keepNext w:val="0"/>
        <w:keepLines w:val="0"/>
        <w:pageBreakBefore w:val="0"/>
        <w:widowControl w:val="0"/>
        <w:numPr>
          <w:ilvl w:val="0"/>
          <w:numId w:val="2"/>
        </w:numPr>
        <w:tabs>
          <w:tab w:val="left" w:pos="240"/>
          <w:tab w:val="clear" w:pos="840"/>
        </w:tabs>
        <w:kinsoku/>
        <w:wordWrap/>
        <w:overflowPunct/>
        <w:topLinePunct w:val="0"/>
        <w:autoSpaceDE/>
        <w:autoSpaceDN/>
        <w:bidi w:val="0"/>
        <w:adjustRightInd/>
        <w:snapToGrid/>
        <w:spacing w:line="460" w:lineRule="exact"/>
        <w:ind w:left="-137" w:leftChars="-57"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监督机构：政府采购监督管理部门及监察部门</w:t>
      </w:r>
    </w:p>
    <w:p>
      <w:pPr>
        <w:keepNext w:val="0"/>
        <w:keepLines w:val="0"/>
        <w:pageBreakBefore w:val="0"/>
        <w:widowControl w:val="0"/>
        <w:numPr>
          <w:ilvl w:val="0"/>
          <w:numId w:val="2"/>
        </w:numPr>
        <w:tabs>
          <w:tab w:val="left" w:pos="240"/>
          <w:tab w:val="clear" w:pos="840"/>
        </w:tabs>
        <w:kinsoku/>
        <w:wordWrap/>
        <w:overflowPunct/>
        <w:topLinePunct w:val="0"/>
        <w:autoSpaceDE/>
        <w:autoSpaceDN/>
        <w:bidi w:val="0"/>
        <w:adjustRightInd/>
        <w:snapToGrid/>
        <w:spacing w:line="460" w:lineRule="exact"/>
        <w:ind w:left="-137" w:leftChars="-57"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r>
        <w:rPr>
          <w:rFonts w:hint="eastAsia" w:ascii="仿宋" w:hAnsi="仿宋" w:eastAsia="仿宋" w:cs="仿宋"/>
          <w:color w:val="auto"/>
          <w:sz w:val="24"/>
          <w:szCs w:val="24"/>
          <w:highlight w:val="none"/>
          <w:lang w:val="en-US" w:eastAsia="zh-CN"/>
        </w:rPr>
        <w:t>陕西德仁招标有限公司</w:t>
      </w:r>
    </w:p>
    <w:p>
      <w:pPr>
        <w:keepNext w:val="0"/>
        <w:keepLines w:val="0"/>
        <w:pageBreakBefore w:val="0"/>
        <w:widowControl w:val="0"/>
        <w:numPr>
          <w:ilvl w:val="0"/>
          <w:numId w:val="2"/>
        </w:numPr>
        <w:tabs>
          <w:tab w:val="left" w:pos="240"/>
          <w:tab w:val="clear" w:pos="840"/>
        </w:tabs>
        <w:kinsoku/>
        <w:wordWrap/>
        <w:overflowPunct/>
        <w:topLinePunct w:val="0"/>
        <w:autoSpaceDE/>
        <w:autoSpaceDN/>
        <w:bidi w:val="0"/>
        <w:adjustRightInd/>
        <w:snapToGrid/>
        <w:spacing w:line="460" w:lineRule="exact"/>
        <w:ind w:left="-137" w:leftChars="-57"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磋商供应商：满足本次磋商要求具有相应资质和完成项目能力的供应商</w:t>
      </w:r>
    </w:p>
    <w:p>
      <w:pPr>
        <w:keepNext w:val="0"/>
        <w:keepLines w:val="0"/>
        <w:pageBreakBefore w:val="0"/>
        <w:widowControl w:val="0"/>
        <w:numPr>
          <w:ilvl w:val="0"/>
          <w:numId w:val="2"/>
        </w:numPr>
        <w:tabs>
          <w:tab w:val="left" w:pos="240"/>
          <w:tab w:val="clear" w:pos="840"/>
        </w:tabs>
        <w:kinsoku/>
        <w:wordWrap/>
        <w:overflowPunct/>
        <w:topLinePunct w:val="0"/>
        <w:autoSpaceDE/>
        <w:autoSpaceDN/>
        <w:bidi w:val="0"/>
        <w:adjustRightInd/>
        <w:snapToGrid/>
        <w:spacing w:line="460" w:lineRule="exact"/>
        <w:ind w:left="-137" w:leftChars="-57"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成交供应商：由磋商小组推荐经采购人确认的磋商供应商</w:t>
      </w:r>
    </w:p>
    <w:p>
      <w:pPr>
        <w:pStyle w:val="4"/>
        <w:bidi w:val="0"/>
        <w:rPr>
          <w:rFonts w:hint="eastAsia" w:ascii="仿宋" w:hAnsi="仿宋" w:eastAsia="仿宋" w:cs="仿宋"/>
          <w:color w:val="auto"/>
          <w:sz w:val="32"/>
          <w:szCs w:val="36"/>
          <w:highlight w:val="none"/>
        </w:rPr>
      </w:pPr>
      <w:bookmarkStart w:id="20" w:name="_Toc12414"/>
      <w:bookmarkStart w:id="21" w:name="_Toc13421"/>
      <w:bookmarkStart w:id="22" w:name="_Toc12298"/>
      <w:bookmarkStart w:id="23" w:name="_Toc7253"/>
      <w:bookmarkStart w:id="24" w:name="_Toc25299"/>
      <w:bookmarkStart w:id="25" w:name="_Toc519156738"/>
      <w:r>
        <w:rPr>
          <w:rFonts w:hint="eastAsia" w:ascii="仿宋" w:hAnsi="仿宋" w:eastAsia="仿宋" w:cs="仿宋"/>
          <w:color w:val="auto"/>
          <w:sz w:val="32"/>
          <w:szCs w:val="36"/>
          <w:highlight w:val="none"/>
        </w:rPr>
        <w:t>二</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磋商供应商</w:t>
      </w:r>
      <w:bookmarkEnd w:id="20"/>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1.合格磋商供应商</w:t>
      </w:r>
    </w:p>
    <w:p>
      <w:pPr>
        <w:keepNext w:val="0"/>
        <w:keepLines w:val="0"/>
        <w:pageBreakBefore w:val="0"/>
        <w:widowControl w:val="0"/>
        <w:kinsoku/>
        <w:wordWrap/>
        <w:overflowPunct/>
        <w:topLinePunct w:val="0"/>
        <w:autoSpaceDE/>
        <w:autoSpaceDN/>
        <w:bidi w:val="0"/>
        <w:adjustRightInd/>
        <w:snapToGrid/>
        <w:spacing w:line="460" w:lineRule="exact"/>
        <w:ind w:left="1130" w:leftChars="172" w:hanging="717" w:hangingChars="2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460" w:lineRule="exact"/>
        <w:ind w:left="1130" w:leftChars="172" w:hanging="717" w:hangingChars="2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60" w:lineRule="exact"/>
        <w:ind w:left="1130" w:leftChars="172" w:hanging="717" w:hangingChars="2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3）具有履行合同所必需的专业技术能力</w:t>
      </w:r>
    </w:p>
    <w:p>
      <w:pPr>
        <w:keepNext w:val="0"/>
        <w:keepLines w:val="0"/>
        <w:pageBreakBefore w:val="0"/>
        <w:widowControl w:val="0"/>
        <w:kinsoku/>
        <w:wordWrap/>
        <w:overflowPunct/>
        <w:topLinePunct w:val="0"/>
        <w:autoSpaceDE/>
        <w:autoSpaceDN/>
        <w:bidi w:val="0"/>
        <w:adjustRightInd/>
        <w:snapToGrid/>
        <w:spacing w:line="460" w:lineRule="exact"/>
        <w:ind w:left="1130" w:leftChars="172" w:hanging="717" w:hangingChars="2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60" w:lineRule="exact"/>
        <w:ind w:left="1130" w:leftChars="172" w:hanging="717" w:hangingChars="2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60" w:lineRule="exact"/>
        <w:ind w:left="1130" w:leftChars="172" w:hanging="717" w:hangingChars="2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6）法律、行政法规规定的其它条件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1.1单位负责人为同一人或者存在直接控股、管理关系的不同供应商，不得参加本项目同一合同项下的磋商响应。如果磋商供应商在磋商响应中隐瞒了上述关系，则该磋商响应无效。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1.2为本采购项目提供整体设计、规范编制或者项目管理、监理、检测等服务的供应商，不得再参加本采购项目的磋商响应</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如果磋商供应商在磋商响应中隐瞒了上述事实，则该磋商响应无效。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1.3磋商供应商不得直接或间接地与招标采购单位（包括采购代理机构、采购人及用户）有任何关联，亦不得是招标采购单位的附属机构。如果磋商供应商在磋商响应中隐瞒了上述关系，则该磋商响应无效。</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2.磋商委托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如磋商供应商代表不是法定代表人，须持有《法定代表人授权书》（原件）。</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3.磋商响应文件内容的真实性</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应保证其磋商响应文件中所提供的所有有关磋商响应的资料、信息是真实的，并且来源于合法的渠道。因磋商响应文件中所提供的有关磋商响应的资料、信息不真实，或者其来源不合法而导致的所有法律责任，由磋商</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自行承担。</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无论磋商结果如何，磋商供应商自行承担参加磋商相关的全部费用。</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5.联合体形式</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本项目是否接受联合体参与及相关要求见磋商须知前附表。</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供应商为联合体形式的，应同时遵守以下规定：</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(1)联合体各方必须签订联合体协议书，明确联合体牵头人和各方权利、义务及分工、合同工作量比例；</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(2)联合体各方均应当符合</w:t>
      </w:r>
      <w:r>
        <w:rPr>
          <w:rFonts w:hint="eastAsia" w:ascii="仿宋" w:hAnsi="仿宋" w:eastAsia="仿宋" w:cs="仿宋"/>
          <w:color w:val="auto"/>
          <w:sz w:val="24"/>
          <w:szCs w:val="24"/>
          <w:highlight w:val="none"/>
          <w:lang w:val="en-US" w:eastAsia="zh-CN"/>
        </w:rPr>
        <w:t>供应商须知前附表</w:t>
      </w:r>
      <w:r>
        <w:rPr>
          <w:rFonts w:hint="eastAsia" w:ascii="仿宋" w:hAnsi="仿宋" w:eastAsia="仿宋" w:cs="仿宋"/>
          <w:color w:val="auto"/>
          <w:sz w:val="24"/>
          <w:szCs w:val="24"/>
          <w:highlight w:val="none"/>
        </w:rPr>
        <w:t>的供应商基本资格条件；</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(3)除磋商须知前附表中另有规定，联合体各方中至少有一方应当符</w:t>
      </w:r>
      <w:r>
        <w:rPr>
          <w:rFonts w:hint="eastAsia" w:ascii="仿宋" w:hAnsi="仿宋" w:eastAsia="仿宋" w:cs="仿宋"/>
          <w:color w:val="auto"/>
          <w:sz w:val="24"/>
          <w:szCs w:val="24"/>
          <w:highlight w:val="none"/>
          <w:lang w:val="en-US" w:eastAsia="zh-CN"/>
        </w:rPr>
        <w:t>合供应商须知前附表的供应商特定资格条件；</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(4)联合体中有同类资质的供应商按照联合体分工承担相同工作的，应当按照资质等级较低的供应商确定资质等级；</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(5)联合体各方不得再单独或与其他供应商组成新的联合体参加同一项目的采购活动。</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6.项目现场踏勘</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本项目是否组织现场踏勘见磋商须知前附表。</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供应商应按磋商须知前附表中规定对采购项目现场和周围环境进行踏勘。供应商未在指定时间进行踏勘的，其踏勘将被拒绝。</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踏勘现场的费用由供应商自己承担，踏勘期间所发生的人身伤害及财产损失由供应商自己负责。</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　采购人不对供应商据现场踏勘而做出的推论、理解和结论负责。一旦成交，供应商不得以任何借口，提出额外补偿，或延长合同期限的要求。</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7.采购进口产品</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购买服务项目不适用</w:t>
      </w:r>
      <w:r>
        <w:rPr>
          <w:rFonts w:hint="eastAsia" w:ascii="仿宋" w:hAnsi="仿宋" w:eastAsia="仿宋" w:cs="仿宋"/>
          <w:b/>
          <w:color w:val="auto"/>
          <w:sz w:val="24"/>
          <w:szCs w:val="24"/>
          <w:highlight w:val="none"/>
          <w:lang w:eastAsia="zh-CN"/>
        </w:rPr>
        <w:t>）</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本项目是否采购进口产品及相关要求见磋商须知前附表。</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8.政府采购政策支持与其他规定</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bookmarkStart w:id="26" w:name="_Toc4528"/>
      <w:bookmarkStart w:id="27" w:name="_Toc519156739"/>
      <w:bookmarkStart w:id="28" w:name="_Toc27408"/>
      <w:r>
        <w:rPr>
          <w:rFonts w:hint="eastAsia" w:ascii="仿宋" w:hAnsi="仿宋" w:eastAsia="仿宋" w:cs="仿宋"/>
          <w:color w:val="auto"/>
          <w:sz w:val="24"/>
          <w:szCs w:val="24"/>
          <w:highlight w:val="none"/>
        </w:rPr>
        <w:t>8.1　产品属于政府强制采购节能产品范围，必须将是否列入最新一期节能清单作为采购产品的资格条件。本项目的详细要求见</w:t>
      </w:r>
      <w:r>
        <w:rPr>
          <w:rFonts w:hint="eastAsia" w:ascii="仿宋" w:hAnsi="仿宋" w:eastAsia="仿宋" w:cs="仿宋"/>
          <w:color w:val="auto"/>
          <w:sz w:val="24"/>
          <w:szCs w:val="24"/>
          <w:highlight w:val="none"/>
          <w:lang w:val="en-US" w:eastAsia="zh-CN"/>
        </w:rPr>
        <w:t>评审办法</w:t>
      </w:r>
      <w:r>
        <w:rPr>
          <w:rFonts w:hint="eastAsia" w:ascii="仿宋" w:hAnsi="仿宋" w:eastAsia="仿宋" w:cs="仿宋"/>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对列入最新一期节能清单(非强制类)、环保清单内的产品，应分别予以相应的加分或价格扣除；对于同时列入“两个清单”的产品，应当优先于只获得其中一项认证的产品。本项目的详细要求见</w:t>
      </w:r>
      <w:r>
        <w:rPr>
          <w:rFonts w:hint="eastAsia" w:ascii="仿宋" w:hAnsi="仿宋" w:eastAsia="仿宋" w:cs="仿宋"/>
          <w:color w:val="auto"/>
          <w:sz w:val="24"/>
          <w:szCs w:val="24"/>
          <w:highlight w:val="none"/>
          <w:lang w:val="en-US" w:eastAsia="zh-CN"/>
        </w:rPr>
        <w:t>评审办法</w:t>
      </w:r>
      <w:r>
        <w:rPr>
          <w:rFonts w:hint="eastAsia" w:ascii="仿宋" w:hAnsi="仿宋" w:eastAsia="仿宋" w:cs="仿宋"/>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供应商享受支持中小企业发展政策优惠的，可用扣除后的最后报价参与价格比较。本项目价格扣除比例及相关要求见</w:t>
      </w:r>
      <w:r>
        <w:rPr>
          <w:rFonts w:hint="eastAsia" w:ascii="仿宋" w:hAnsi="仿宋" w:eastAsia="仿宋" w:cs="仿宋"/>
          <w:color w:val="auto"/>
          <w:sz w:val="24"/>
          <w:szCs w:val="24"/>
          <w:highlight w:val="none"/>
          <w:lang w:val="en-US" w:eastAsia="zh-CN"/>
        </w:rPr>
        <w:t>评审办法</w:t>
      </w:r>
      <w:r>
        <w:rPr>
          <w:rFonts w:hint="eastAsia" w:ascii="仿宋" w:hAnsi="仿宋" w:eastAsia="仿宋" w:cs="仿宋"/>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　监狱企业视同小型、微型企业，享受促进中小企业发展政策优惠，可用扣除后的最后报价参与价格比较。本项目价格扣除比例及相关要求</w:t>
      </w:r>
      <w:r>
        <w:rPr>
          <w:rFonts w:hint="eastAsia" w:ascii="仿宋" w:hAnsi="仿宋" w:eastAsia="仿宋" w:cs="仿宋"/>
          <w:color w:val="auto"/>
          <w:sz w:val="24"/>
          <w:szCs w:val="24"/>
          <w:highlight w:val="none"/>
          <w:lang w:val="en-US" w:eastAsia="zh-CN"/>
        </w:rPr>
        <w:t>详</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评审办法</w:t>
      </w:r>
      <w:r>
        <w:rPr>
          <w:rFonts w:hint="eastAsia" w:ascii="仿宋" w:hAnsi="仿宋" w:eastAsia="仿宋" w:cs="仿宋"/>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int="eastAsia" w:ascii="仿宋" w:hAnsi="仿宋" w:eastAsia="仿宋" w:cs="仿宋"/>
          <w:color w:val="auto"/>
          <w:sz w:val="24"/>
          <w:szCs w:val="24"/>
          <w:highlight w:val="none"/>
          <w:lang w:val="en-US" w:eastAsia="zh-CN"/>
        </w:rPr>
        <w:t>评审办法</w:t>
      </w:r>
      <w:r>
        <w:rPr>
          <w:rFonts w:hint="eastAsia" w:ascii="仿宋" w:hAnsi="仿宋" w:eastAsia="仿宋" w:cs="仿宋"/>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8.6　其他法律法规强制性规定。本项目的详细要求见</w:t>
      </w:r>
      <w:r>
        <w:rPr>
          <w:rFonts w:hint="eastAsia" w:ascii="仿宋" w:hAnsi="仿宋" w:eastAsia="仿宋" w:cs="仿宋"/>
          <w:color w:val="auto"/>
          <w:sz w:val="24"/>
          <w:szCs w:val="24"/>
          <w:highlight w:val="none"/>
          <w:lang w:val="en-US" w:eastAsia="zh-CN"/>
        </w:rPr>
        <w:t>评审办法</w:t>
      </w:r>
      <w:r>
        <w:rPr>
          <w:rFonts w:hint="eastAsia" w:ascii="仿宋" w:hAnsi="仿宋" w:eastAsia="仿宋" w:cs="仿宋"/>
          <w:color w:val="auto"/>
          <w:sz w:val="24"/>
          <w:szCs w:val="24"/>
          <w:highlight w:val="none"/>
        </w:rPr>
        <w:t>。</w:t>
      </w:r>
    </w:p>
    <w:p>
      <w:pPr>
        <w:pStyle w:val="4"/>
        <w:bidi w:val="0"/>
        <w:rPr>
          <w:rFonts w:hint="eastAsia" w:ascii="仿宋" w:hAnsi="仿宋" w:eastAsia="仿宋" w:cs="仿宋"/>
          <w:color w:val="auto"/>
          <w:sz w:val="32"/>
          <w:szCs w:val="36"/>
          <w:highlight w:val="none"/>
        </w:rPr>
      </w:pPr>
      <w:bookmarkStart w:id="29" w:name="_Toc25030"/>
      <w:bookmarkStart w:id="30" w:name="_Toc2653"/>
      <w:bookmarkStart w:id="31" w:name="_Toc19484"/>
      <w:r>
        <w:rPr>
          <w:rFonts w:hint="eastAsia" w:ascii="仿宋" w:hAnsi="仿宋" w:eastAsia="仿宋" w:cs="仿宋"/>
          <w:color w:val="auto"/>
          <w:sz w:val="32"/>
          <w:szCs w:val="36"/>
          <w:highlight w:val="none"/>
        </w:rPr>
        <w:t>三</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磋商文件</w:t>
      </w:r>
      <w:bookmarkEnd w:id="26"/>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9.磋商文件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9.1 磋商文件要求提供的货物及服务，磋商程序和合同条件在磋商文件中均有说明。磋商文件共六章，内容如下：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第一章 竞争性磋商公告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第二章 磋商供应商须知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第三章 磋商要求及说明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第四章 商务及合同主要条款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第五章 评审办法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第六章 竞争性磋商响应文件格式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9.2 供应商应认真阅读磋商文件中所有的事项、格式、条款和规范等要求。如果供应商没有按照磋商文件要求提交全部资料，或者磋商响应文件没有对磋商文件在各方面都做出实质性响应，由此带来不利于供应商的磋商结果，其风险由供应商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10．磋商文件的澄清修改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采购单位如果对已发出的磋商文件进行必要的澄清或者修改，将在磋商文件要求提交首次磋商响应文件截止时间5日前，以书面形式通知所有购买磋商文件的供应商，不足5日的，将顺延提交首次磋商响应文件截止时间。该澄清或者修改的内容作为磋商文件的组成部分。</w:t>
      </w:r>
      <w:r>
        <w:rPr>
          <w:rFonts w:hint="eastAsia" w:ascii="仿宋" w:hAnsi="仿宋" w:eastAsia="仿宋" w:cs="仿宋"/>
          <w:b/>
          <w:color w:val="auto"/>
          <w:sz w:val="24"/>
          <w:szCs w:val="24"/>
          <w:highlight w:val="none"/>
        </w:rPr>
        <w:t>对磋商文件中有难以理解或参数有疑义的内容，须在规定时间内提交书面资料，否则</w:t>
      </w:r>
      <w:r>
        <w:rPr>
          <w:rFonts w:hint="eastAsia" w:ascii="仿宋" w:hAnsi="仿宋" w:eastAsia="仿宋" w:cs="仿宋"/>
          <w:b/>
          <w:bCs/>
          <w:color w:val="auto"/>
          <w:sz w:val="24"/>
          <w:szCs w:val="24"/>
          <w:highlight w:val="none"/>
        </w:rPr>
        <w:t>视为对磋商文件再无疑义，因此带来的一切不利后果由磋商供应商自负。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供应商在收到上述通知后，应立即向招标代理机构回函确认。</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11.磋商文件的购买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磋商供应商必须从采购代理机构购买磋商文件，磋商供应商自行转让或复制的磋商文件视为无效文件；磋商文件一经售出，一律不退，仅作为本次磋商使用。</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12.磋商的处理依据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根据《中华人民共和国政府采购法》和《政府采购竞争性磋商采购方式管理暂行办法》的条款，本着公开、公平、公正的原则进行处理。</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13.解释权归属</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本次磋商文件的解释权归采购代理机构。</w:t>
      </w:r>
    </w:p>
    <w:p>
      <w:pPr>
        <w:pStyle w:val="4"/>
        <w:bidi w:val="0"/>
        <w:rPr>
          <w:rFonts w:hint="eastAsia" w:ascii="仿宋" w:hAnsi="仿宋" w:eastAsia="仿宋" w:cs="仿宋"/>
          <w:color w:val="auto"/>
          <w:sz w:val="32"/>
          <w:szCs w:val="36"/>
          <w:highlight w:val="none"/>
        </w:rPr>
      </w:pPr>
      <w:bookmarkStart w:id="32" w:name="_Toc8808"/>
      <w:bookmarkStart w:id="33" w:name="_Toc1168"/>
      <w:bookmarkStart w:id="34" w:name="_Toc18132"/>
      <w:bookmarkStart w:id="35" w:name="_Toc10771"/>
      <w:bookmarkStart w:id="36" w:name="_Toc16846"/>
      <w:r>
        <w:rPr>
          <w:rFonts w:hint="eastAsia" w:ascii="仿宋" w:hAnsi="仿宋" w:eastAsia="仿宋" w:cs="仿宋"/>
          <w:color w:val="auto"/>
          <w:sz w:val="32"/>
          <w:szCs w:val="36"/>
          <w:highlight w:val="none"/>
        </w:rPr>
        <w:t>四</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磋商要求</w:t>
      </w:r>
      <w:bookmarkEnd w:id="32"/>
      <w:bookmarkEnd w:id="33"/>
      <w:bookmarkEnd w:id="34"/>
      <w:bookmarkEnd w:id="35"/>
      <w:bookmarkEnd w:id="36"/>
    </w:p>
    <w:p>
      <w:pPr>
        <w:keepNext w:val="0"/>
        <w:keepLines w:val="0"/>
        <w:pageBreakBefore w:val="0"/>
        <w:widowControl w:val="0"/>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bookmarkStart w:id="37" w:name="_Toc24973"/>
      <w:bookmarkStart w:id="38" w:name="_Toc519156741"/>
      <w:r>
        <w:rPr>
          <w:rFonts w:hint="eastAsia" w:ascii="仿宋" w:hAnsi="仿宋" w:eastAsia="仿宋" w:cs="仿宋"/>
          <w:b/>
          <w:color w:val="auto"/>
          <w:sz w:val="24"/>
          <w:szCs w:val="24"/>
          <w:highlight w:val="none"/>
        </w:rPr>
        <w:t>14.磋商语言和磋商货币</w:t>
      </w:r>
    </w:p>
    <w:p>
      <w:pPr>
        <w:keepNext w:val="0"/>
        <w:keepLines w:val="0"/>
        <w:pageBreakBefore w:val="0"/>
        <w:widowControl w:val="0"/>
        <w:kinsoku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14.1供应商提交的磋商响应文件以及供应商与招标代理机构就有关磋商的所有来往函电均应使用中文。</w:t>
      </w:r>
    </w:p>
    <w:p>
      <w:pPr>
        <w:keepNext w:val="0"/>
        <w:keepLines w:val="0"/>
        <w:pageBreakBefore w:val="0"/>
        <w:widowControl w:val="0"/>
        <w:kinsoku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z w:val="24"/>
          <w:szCs w:val="24"/>
          <w:highlight w:val="none"/>
        </w:rPr>
        <w:t>14.2磋商报价应以人民币报价，任何包含非人民币报价的磋商将按无效磋商处理</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本项目不接受联合体磋商。</w:t>
      </w:r>
    </w:p>
    <w:p>
      <w:pPr>
        <w:keepNext w:val="0"/>
        <w:keepLines w:val="0"/>
        <w:pageBreakBefore w:val="0"/>
        <w:widowControl w:val="0"/>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15.磋商响应文件的构成</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15.1供应商提交的磋商响应文件应包括下列部分的内容：</w:t>
      </w:r>
    </w:p>
    <w:p>
      <w:pPr>
        <w:keepNext w:val="0"/>
        <w:keepLines w:val="0"/>
        <w:pageBreakBefore w:val="0"/>
        <w:widowControl w:val="0"/>
        <w:kinsoku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一、磋商函</w:t>
      </w:r>
    </w:p>
    <w:p>
      <w:pPr>
        <w:keepNext w:val="0"/>
        <w:keepLines w:val="0"/>
        <w:pageBreakBefore w:val="0"/>
        <w:widowControl w:val="0"/>
        <w:kinsoku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二、法定代表人身份证明</w:t>
      </w:r>
    </w:p>
    <w:p>
      <w:pPr>
        <w:keepNext w:val="0"/>
        <w:keepLines w:val="0"/>
        <w:pageBreakBefore w:val="0"/>
        <w:widowControl w:val="0"/>
        <w:kinsoku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三、法人授权委托书</w:t>
      </w:r>
    </w:p>
    <w:p>
      <w:pPr>
        <w:keepNext w:val="0"/>
        <w:keepLines w:val="0"/>
        <w:pageBreakBefore w:val="0"/>
        <w:widowControl w:val="0"/>
        <w:kinsoku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四、报价表</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w:t>
      </w:r>
      <w:r>
        <w:rPr>
          <w:rFonts w:hint="eastAsia" w:ascii="仿宋" w:hAnsi="仿宋" w:eastAsia="仿宋" w:cs="仿宋"/>
          <w:sz w:val="24"/>
          <w:szCs w:val="24"/>
          <w:highlight w:val="none"/>
        </w:rPr>
        <w:t>近年承接的类似项目情况表</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w:t>
      </w:r>
      <w:r>
        <w:rPr>
          <w:rFonts w:hint="eastAsia" w:ascii="仿宋" w:hAnsi="仿宋" w:eastAsia="仿宋" w:cs="仿宋"/>
          <w:sz w:val="24"/>
          <w:szCs w:val="24"/>
          <w:highlight w:val="none"/>
          <w:lang w:val="en-US" w:eastAsia="zh-CN"/>
        </w:rPr>
        <w:t>项目实施</w:t>
      </w:r>
      <w:r>
        <w:rPr>
          <w:rFonts w:hint="eastAsia" w:ascii="仿宋" w:hAnsi="仿宋" w:eastAsia="仿宋" w:cs="仿宋"/>
          <w:sz w:val="24"/>
          <w:szCs w:val="24"/>
          <w:highlight w:val="none"/>
        </w:rPr>
        <w:t>方案</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lang w:val="en-US" w:eastAsia="zh-CN"/>
        </w:rPr>
        <w:t>七、</w:t>
      </w:r>
      <w:r>
        <w:rPr>
          <w:rFonts w:hint="eastAsia" w:ascii="仿宋" w:hAnsi="仿宋" w:eastAsia="仿宋" w:cs="仿宋"/>
          <w:color w:val="auto"/>
          <w:sz w:val="24"/>
          <w:szCs w:val="24"/>
          <w:highlight w:val="none"/>
          <w:lang w:val="en-US" w:eastAsia="zh-CN"/>
        </w:rPr>
        <w:t>技术</w:t>
      </w:r>
      <w:r>
        <w:rPr>
          <w:rFonts w:hint="eastAsia" w:ascii="仿宋" w:hAnsi="仿宋" w:eastAsia="仿宋" w:cs="仿宋"/>
          <w:color w:val="auto"/>
          <w:sz w:val="24"/>
          <w:szCs w:val="24"/>
          <w:highlight w:val="none"/>
        </w:rPr>
        <w:t>和</w:t>
      </w:r>
      <w:r>
        <w:rPr>
          <w:rFonts w:hint="eastAsia" w:ascii="仿宋" w:hAnsi="仿宋" w:eastAsia="仿宋" w:cs="仿宋"/>
          <w:color w:val="auto"/>
          <w:sz w:val="24"/>
          <w:szCs w:val="24"/>
          <w:highlight w:val="none"/>
          <w:lang w:val="en-US" w:eastAsia="zh-CN"/>
        </w:rPr>
        <w:t>商务</w:t>
      </w:r>
      <w:r>
        <w:rPr>
          <w:rFonts w:hint="eastAsia" w:ascii="仿宋" w:hAnsi="仿宋" w:eastAsia="仿宋" w:cs="仿宋"/>
          <w:color w:val="auto"/>
          <w:sz w:val="24"/>
          <w:szCs w:val="24"/>
          <w:highlight w:val="none"/>
        </w:rPr>
        <w:t>响应说明</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八</w:t>
      </w:r>
      <w:r>
        <w:rPr>
          <w:rFonts w:hint="eastAsia" w:ascii="仿宋" w:hAnsi="仿宋" w:eastAsia="仿宋" w:cs="仿宋"/>
          <w:color w:val="auto"/>
          <w:sz w:val="24"/>
          <w:szCs w:val="24"/>
          <w:highlight w:val="none"/>
        </w:rPr>
        <w:t>、资格证明文件</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九</w:t>
      </w:r>
      <w:r>
        <w:rPr>
          <w:rFonts w:hint="eastAsia" w:ascii="仿宋" w:hAnsi="仿宋" w:eastAsia="仿宋" w:cs="仿宋"/>
          <w:color w:val="auto"/>
          <w:sz w:val="24"/>
          <w:szCs w:val="24"/>
          <w:highlight w:val="none"/>
        </w:rPr>
        <w:t>、其他资料</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 如果在磋商文件中没有允许提供备选方案，则每个供应商只允许提交一个磋商方案，否则，将按无效响磋商处理。</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15.3本次磋商的最小单元为“项目”。供应商可根据自身的资质情况和经营范围对本次项目进行磋商，不得将其子目再行分解或只对本项目中的品目进行不完全磋商，任何不完全的响应将会被拒绝。</w:t>
      </w:r>
    </w:p>
    <w:p>
      <w:pPr>
        <w:keepNext w:val="0"/>
        <w:keepLines w:val="0"/>
        <w:pageBreakBefore w:val="0"/>
        <w:widowControl w:val="0"/>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16.磋商报价</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16.1磋商报价是指项目达到正常使用条件下的所有费用，包括包括人</w:t>
      </w:r>
      <w:r>
        <w:rPr>
          <w:rFonts w:hint="eastAsia" w:ascii="仿宋" w:hAnsi="仿宋" w:eastAsia="仿宋" w:cs="仿宋"/>
          <w:color w:val="auto"/>
          <w:sz w:val="24"/>
          <w:szCs w:val="24"/>
          <w:highlight w:val="none"/>
          <w:lang w:val="en-US" w:eastAsia="zh-CN"/>
        </w:rPr>
        <w:t>工费</w:t>
      </w:r>
      <w:r>
        <w:rPr>
          <w:rFonts w:hint="eastAsia" w:ascii="仿宋" w:hAnsi="仿宋" w:eastAsia="仿宋" w:cs="仿宋"/>
          <w:color w:val="auto"/>
          <w:sz w:val="24"/>
          <w:szCs w:val="24"/>
          <w:highlight w:val="none"/>
        </w:rPr>
        <w:t>、服务费、设备费、税费等一切相关费用，以磋商文件的内容和要求作为依据；</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16.2磋商供应商应在磋商响应文件中的响应报价表上，标明费用组成；任何有选择的报价不予接受；</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16.3磋商货币：人民币；单位：元（精确到小数点后两位）；</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16.4响应报价表应有法定代表人或被授权人的签字；</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16.5合同价格：经磋商小组确认的某一磋商供应商的最终报价，在合同执行过程中是固定不变的，不受外汇汇率及市场价格变化的影响；</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16.6凡因磋商供应商对磋商文件阅读不深、理解不透、误解、疏漏、或因市场行情了解不清造成的后果和风险均由磋商供应商自负；</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16.7磋商供应商不得以低于成本的报价参加磋商。当磋商小组认为某个磋商供应商的磋商价或者某些分项报价明显不合理或者低于成本，有可能影响设计质量和不能诚信履约的，可要求该磋商供应商在规定的期限内提供书面文件予以解释说明，并提交相关证明材料；否则，磋商小组可以取消该磋商供应商的成交候选资格。</w:t>
      </w:r>
    </w:p>
    <w:p>
      <w:pPr>
        <w:keepNext w:val="0"/>
        <w:keepLines w:val="0"/>
        <w:pageBreakBefore w:val="0"/>
        <w:widowControl w:val="0"/>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17.证明供应商合格的资格证明文件</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17.1供应商应按照磋商文件“供应商须知前附表”的要求，在磋商响应文件中提交合格的资格证明文件。如果资格证明文件不全或不合格的，将按无效磋商处理。</w:t>
      </w:r>
    </w:p>
    <w:p>
      <w:pPr>
        <w:keepNext w:val="0"/>
        <w:keepLines w:val="0"/>
        <w:pageBreakBefore w:val="0"/>
        <w:widowControl w:val="0"/>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18.证明标的物的合格性和符合磋商文件规定的文件</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18.1供应商应在磋商响应文件中提供</w:t>
      </w:r>
      <w:r>
        <w:rPr>
          <w:rFonts w:hint="eastAsia" w:ascii="仿宋" w:hAnsi="仿宋" w:eastAsia="仿宋" w:cs="仿宋"/>
          <w:color w:val="auto"/>
          <w:sz w:val="24"/>
          <w:szCs w:val="24"/>
          <w:highlight w:val="none"/>
          <w:lang w:val="en-US" w:eastAsia="zh-CN"/>
        </w:rPr>
        <w:t>货物及</w:t>
      </w:r>
      <w:r>
        <w:rPr>
          <w:rFonts w:hint="eastAsia" w:ascii="仿宋" w:hAnsi="仿宋" w:eastAsia="仿宋" w:cs="仿宋"/>
          <w:color w:val="auto"/>
          <w:sz w:val="24"/>
          <w:szCs w:val="24"/>
          <w:highlight w:val="none"/>
        </w:rPr>
        <w:t>服务满足磋商文件要求并符合国家法律法规、行业管理部门要求的其他强制性标准的证明文件。缺少证明文件或证明文件不合格的磋商，与磋商文件要求有重大偏离的磋商，不符合国家法律法规、行业管理部门要求的其他强制性标准的磋商响应文件将被作无效响应处理。</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18.2上述证明文件可以是文字资料、图纸、图片和数据，它包括：</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18.2.1</w:t>
      </w:r>
      <w:r>
        <w:rPr>
          <w:rFonts w:hint="eastAsia" w:ascii="仿宋" w:hAnsi="仿宋" w:eastAsia="仿宋" w:cs="仿宋"/>
          <w:color w:val="auto"/>
          <w:sz w:val="24"/>
          <w:szCs w:val="24"/>
          <w:highlight w:val="none"/>
          <w:lang w:val="en-US" w:eastAsia="zh-CN"/>
        </w:rPr>
        <w:t>实施</w:t>
      </w:r>
      <w:r>
        <w:rPr>
          <w:rFonts w:hint="eastAsia" w:ascii="仿宋" w:hAnsi="仿宋" w:eastAsia="仿宋" w:cs="仿宋"/>
          <w:color w:val="auto"/>
          <w:sz w:val="24"/>
          <w:szCs w:val="24"/>
          <w:highlight w:val="none"/>
        </w:rPr>
        <w:t>方案、</w:t>
      </w:r>
      <w:r>
        <w:rPr>
          <w:rFonts w:hint="eastAsia" w:ascii="仿宋" w:hAnsi="仿宋" w:eastAsia="仿宋" w:cs="仿宋"/>
          <w:color w:val="auto"/>
          <w:sz w:val="24"/>
          <w:szCs w:val="24"/>
          <w:highlight w:val="none"/>
          <w:lang w:eastAsia="zh-CN"/>
        </w:rPr>
        <w:t>服务期</w:t>
      </w:r>
      <w:r>
        <w:rPr>
          <w:rFonts w:hint="eastAsia" w:ascii="仿宋" w:hAnsi="仿宋" w:eastAsia="仿宋" w:cs="仿宋"/>
          <w:color w:val="auto"/>
          <w:sz w:val="24"/>
          <w:szCs w:val="24"/>
          <w:highlight w:val="none"/>
        </w:rPr>
        <w:t>、付款方式等方面的详细说明；</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18.2.2 逐条对磋商文件提出的技术要求和商务要求进行应答，说明所提供的</w:t>
      </w:r>
      <w:r>
        <w:rPr>
          <w:rFonts w:hint="eastAsia" w:ascii="仿宋" w:hAnsi="仿宋" w:eastAsia="仿宋" w:cs="仿宋"/>
          <w:color w:val="auto"/>
          <w:sz w:val="24"/>
          <w:szCs w:val="24"/>
          <w:highlight w:val="none"/>
          <w:lang w:val="en-US" w:eastAsia="zh-CN"/>
        </w:rPr>
        <w:t>货物及</w:t>
      </w:r>
      <w:r>
        <w:rPr>
          <w:rFonts w:hint="eastAsia" w:ascii="仿宋" w:hAnsi="仿宋" w:eastAsia="仿宋" w:cs="仿宋"/>
          <w:color w:val="auto"/>
          <w:sz w:val="24"/>
          <w:szCs w:val="24"/>
          <w:highlight w:val="none"/>
        </w:rPr>
        <w:t>服务对磋商的技术和商务要求是否做出了实质性响应并提供支持文件。</w:t>
      </w:r>
    </w:p>
    <w:p>
      <w:pPr>
        <w:keepNext w:val="0"/>
        <w:keepLines w:val="0"/>
        <w:pageBreakBefore w:val="0"/>
        <w:widowControl w:val="0"/>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19.磋商保证金</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本项目不收取磋商保证金</w:t>
      </w:r>
      <w:r>
        <w:rPr>
          <w:rFonts w:hint="eastAsia" w:ascii="仿宋" w:hAnsi="仿宋" w:eastAsia="仿宋" w:cs="仿宋"/>
          <w:b/>
          <w:color w:val="auto"/>
          <w:sz w:val="24"/>
          <w:szCs w:val="24"/>
          <w:highlight w:val="none"/>
          <w:lang w:eastAsia="zh-CN"/>
        </w:rPr>
        <w:t>）</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19.1保证金是用于保护本次磋商免受磋商供应商的行为而引起的风险。</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19.2磋商保证金由磋商供应商通过银行转账、电汇、保函等非现金形式缴纳。</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19.3未交纳、未足额交纳或未按规定时间交纳保证金的，将被视为自动放弃磋商权利。</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19.4提交保证金后，各磋商供应商须将其交纳保证金凭证复印件加盖供应商红章附在磋商响应文件中，否则视为无效响应文件。</w:t>
      </w:r>
    </w:p>
    <w:p>
      <w:pPr>
        <w:keepNext w:val="0"/>
        <w:keepLines w:val="0"/>
        <w:pageBreakBefore w:val="0"/>
        <w:widowControl w:val="0"/>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19.5磋商保证金退还:</w:t>
      </w:r>
    </w:p>
    <w:p>
      <w:pPr>
        <w:keepNext w:val="0"/>
        <w:keepLines w:val="0"/>
        <w:pageBreakBefore w:val="0"/>
        <w:widowControl w:val="0"/>
        <w:wordWrap/>
        <w:overflowPunct/>
        <w:topLinePunct w:val="0"/>
        <w:autoSpaceDE/>
        <w:autoSpaceDN/>
        <w:bidi w:val="0"/>
        <w:adjustRightInd/>
        <w:snapToGrid/>
        <w:spacing w:line="460" w:lineRule="exact"/>
        <w:ind w:firstLine="241" w:firstLineChars="1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A. 未成交供应商：成交通知书发放后5个工作日</w:t>
      </w:r>
      <w:r>
        <w:rPr>
          <w:rFonts w:hint="eastAsia" w:ascii="仿宋" w:hAnsi="仿宋" w:eastAsia="仿宋" w:cs="仿宋"/>
          <w:b/>
          <w:color w:val="auto"/>
          <w:sz w:val="24"/>
          <w:szCs w:val="24"/>
          <w:highlight w:val="none"/>
          <w:lang w:val="en-US" w:eastAsia="zh-CN"/>
        </w:rPr>
        <w:t>内</w:t>
      </w:r>
      <w:r>
        <w:rPr>
          <w:rFonts w:hint="eastAsia" w:ascii="仿宋" w:hAnsi="仿宋" w:eastAsia="仿宋" w:cs="仿宋"/>
          <w:b/>
          <w:color w:val="auto"/>
          <w:sz w:val="24"/>
          <w:szCs w:val="24"/>
          <w:highlight w:val="none"/>
        </w:rPr>
        <w:t xml:space="preserve">退还； </w:t>
      </w:r>
    </w:p>
    <w:p>
      <w:pPr>
        <w:keepNext w:val="0"/>
        <w:keepLines w:val="0"/>
        <w:pageBreakBefore w:val="0"/>
        <w:widowControl w:val="0"/>
        <w:wordWrap/>
        <w:overflowPunct/>
        <w:topLinePunct w:val="0"/>
        <w:autoSpaceDE/>
        <w:autoSpaceDN/>
        <w:bidi w:val="0"/>
        <w:adjustRightInd/>
        <w:snapToGrid/>
        <w:spacing w:line="460" w:lineRule="exact"/>
        <w:ind w:firstLine="241" w:firstLineChars="1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B. 成交供应商：成交供应商与采购单位签订合同并缴纳足额成交服务费后退还；（退还时，须向代理机构提供开户许可证复印件及合同原件壹份并加盖供应商公章）；</w:t>
      </w:r>
    </w:p>
    <w:p>
      <w:pPr>
        <w:keepNext w:val="0"/>
        <w:keepLines w:val="0"/>
        <w:pageBreakBefore w:val="0"/>
        <w:widowControl w:val="0"/>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以上供应商自身原因导致无法退还的除外。</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19.6 供应商以担保机构保函形式交纳磋商保证金的，磋商结束之后供应商用收据原件在代理机构财务室换取担保机构保函原件（退还保证金参照19.5条款）</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19.7发生下列情况之一，磋商保证金将不予退还：</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19.7.1供应商在递交磋商响应文件截止时间后，撤回磋商响应文件的或者擅自退出磋商活动的。</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19.7.2供应商成交后放弃成交或未能按规定签订合同、无正当理由不与采购人签订合同的或未能按规定交纳招标代理服务费或由于供应商的原因导致成交无效的。</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19.7.3将成交项目转让给他人，或者在磋商响应文件中未说明，且未经采购人和招标代理机构同意，将成交项目分包给他人的。</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19.7.4供应商在磋商响应文件中提供伪造、套改、虚假资料参与磋商的。</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19.7.5供应商不按法定程序进行质疑和投诉,捏造事实，查无实据，造成恶劣影响，导致采购活动无法正常进行的;</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19.7.6供应商在磋商响应文件中提供虚假材料的；</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19.7.7磋商文件规定的其他情形。</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19.8联合磋商的，可以由联合体中的主体提交磋商保证金，以一方名义提交磋商保证金，对联合体各方均具有约束力；</w:t>
      </w:r>
    </w:p>
    <w:p>
      <w:pPr>
        <w:keepNext w:val="0"/>
        <w:keepLines w:val="0"/>
        <w:pageBreakBefore w:val="0"/>
        <w:widowControl w:val="0"/>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20.磋商响应文件的有效期</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磋商有效期（含授权有效期）从递交磋商响应文件的截止之日起 90 个日历天。磋商有效期不满足磋商文件要求的磋商，将被视为非响应性磋商而予以拒绝，将按无效磋商处理。磋商有效期内供应商撤销磋商响应文件的，招标代理机构不退还磋商保证金。</w:t>
      </w:r>
    </w:p>
    <w:p>
      <w:pPr>
        <w:keepNext w:val="0"/>
        <w:keepLines w:val="0"/>
        <w:pageBreakBefore w:val="0"/>
        <w:widowControl w:val="0"/>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21、磋商响应文件的签署及规定</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21.1磋商供应商须依据磋商文件内容和磋商响应文件格式的要求编制磋商响应文件；</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21.2磋商响应文件的正本和所有的副本均需打印或用不褪色的蓝（黑）墨水填写，注明“正本”“副本”字样。统一胶装、编码，在每一页的正下方清楚标明页码等字样；</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磋商响应文件份数，本次磋商需提交磋商响应文件共肆份，其中正本壹份，副本贰份，电子版磋商响应文件（U盘或移动硬盘，谢绝光盘）壹份；在封面标明“正本”、“副本”及“电子版磋商响应文件”字样；</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21.4磋商供应商在磋商响应文件中指定的页面落款处，必须按磋商文件要求加盖印章或签字；</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21.5磋商供应商名称应填写全称，同时加盖公章；</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21.6磋商响应文件的任何行间插字、涂改和增删，必须由法定代表人或被授权人在改动处旁签字方为有效；</w:t>
      </w:r>
    </w:p>
    <w:p>
      <w:pPr>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21.7磋商响应文件因字迹潦草或表达不清所引起的后果由磋商供应商负责。</w:t>
      </w:r>
    </w:p>
    <w:p>
      <w:pPr>
        <w:pStyle w:val="10"/>
        <w:keepNext w:val="0"/>
        <w:keepLines w:val="0"/>
        <w:pageBreakBefore w:val="0"/>
        <w:widowControl w:val="0"/>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21.8</w:t>
      </w:r>
      <w:r>
        <w:rPr>
          <w:rFonts w:hint="eastAsia" w:ascii="仿宋" w:hAnsi="仿宋" w:eastAsia="仿宋" w:cs="仿宋"/>
          <w:b/>
          <w:bCs/>
          <w:color w:val="auto"/>
          <w:sz w:val="24"/>
          <w:szCs w:val="24"/>
          <w:highlight w:val="none"/>
        </w:rPr>
        <w:t>为响应国家环保号召，磋商响应文件建议采用双面打印。</w:t>
      </w:r>
    </w:p>
    <w:p>
      <w:pPr>
        <w:keepNext w:val="0"/>
        <w:keepLines w:val="0"/>
        <w:pageBreakBefore w:val="0"/>
        <w:widowControl w:val="0"/>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22.文字要求</w:t>
      </w:r>
    </w:p>
    <w:p>
      <w:pPr>
        <w:keepNext w:val="0"/>
        <w:keepLines w:val="0"/>
        <w:pageBreakBefore w:val="0"/>
        <w:widowControl w:val="0"/>
        <w:wordWrap/>
        <w:overflowPunct/>
        <w:topLinePunct w:val="0"/>
        <w:autoSpaceDE/>
        <w:autoSpaceDN/>
        <w:bidi w:val="0"/>
        <w:adjustRightInd/>
        <w:snapToGrid/>
        <w:spacing w:line="460" w:lineRule="exact"/>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本次磋商只接受简体中文文字的磋商响应文件。</w:t>
      </w:r>
    </w:p>
    <w:p>
      <w:pPr>
        <w:pStyle w:val="4"/>
        <w:bidi w:val="0"/>
        <w:rPr>
          <w:rFonts w:hint="eastAsia" w:ascii="仿宋" w:hAnsi="仿宋" w:eastAsia="仿宋" w:cs="仿宋"/>
          <w:color w:val="auto"/>
          <w:sz w:val="32"/>
          <w:szCs w:val="36"/>
          <w:highlight w:val="none"/>
        </w:rPr>
      </w:pPr>
      <w:bookmarkStart w:id="39" w:name="_Toc16723"/>
      <w:bookmarkStart w:id="40" w:name="_Toc31661"/>
      <w:bookmarkStart w:id="41" w:name="_Toc30826"/>
      <w:r>
        <w:rPr>
          <w:rFonts w:hint="eastAsia" w:ascii="仿宋" w:hAnsi="仿宋" w:eastAsia="仿宋" w:cs="仿宋"/>
          <w:color w:val="auto"/>
          <w:sz w:val="32"/>
          <w:szCs w:val="36"/>
          <w:highlight w:val="none"/>
        </w:rPr>
        <w:t>五</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磋商响应文件封装、递交</w:t>
      </w:r>
      <w:bookmarkEnd w:id="37"/>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23.磋商响应文件的封装及标记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w:t>
      </w:r>
      <w:r>
        <w:rPr>
          <w:rFonts w:hint="eastAsia" w:ascii="仿宋" w:hAnsi="仿宋" w:eastAsia="仿宋" w:cs="仿宋"/>
          <w:color w:val="auto"/>
          <w:spacing w:val="6"/>
          <w:sz w:val="24"/>
          <w:szCs w:val="24"/>
          <w:highlight w:val="none"/>
        </w:rPr>
        <w:t>磋商</w:t>
      </w:r>
      <w:r>
        <w:rPr>
          <w:rFonts w:hint="eastAsia" w:ascii="仿宋" w:hAnsi="仿宋" w:eastAsia="仿宋" w:cs="仿宋"/>
          <w:color w:val="auto"/>
          <w:sz w:val="24"/>
          <w:szCs w:val="24"/>
          <w:highlight w:val="none"/>
        </w:rPr>
        <w:t>响应</w:t>
      </w:r>
      <w:r>
        <w:rPr>
          <w:rFonts w:hint="eastAsia" w:ascii="仿宋" w:hAnsi="仿宋" w:eastAsia="仿宋" w:cs="仿宋"/>
          <w:color w:val="auto"/>
          <w:spacing w:val="6"/>
          <w:sz w:val="24"/>
          <w:szCs w:val="24"/>
          <w:highlight w:val="none"/>
        </w:rPr>
        <w:t>文件</w:t>
      </w:r>
      <w:r>
        <w:rPr>
          <w:rFonts w:hint="eastAsia" w:ascii="仿宋" w:hAnsi="仿宋" w:eastAsia="仿宋" w:cs="仿宋"/>
          <w:color w:val="auto"/>
          <w:sz w:val="24"/>
          <w:szCs w:val="24"/>
          <w:highlight w:val="none"/>
        </w:rPr>
        <w:t>应按以下要求封装：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23.1.1</w:t>
      </w:r>
      <w:r>
        <w:rPr>
          <w:rFonts w:hint="eastAsia" w:ascii="仿宋" w:hAnsi="仿宋" w:eastAsia="仿宋" w:cs="仿宋"/>
          <w:color w:val="auto"/>
          <w:spacing w:val="6"/>
          <w:sz w:val="24"/>
          <w:szCs w:val="24"/>
          <w:highlight w:val="none"/>
        </w:rPr>
        <w:t>磋商供应商</w:t>
      </w:r>
      <w:r>
        <w:rPr>
          <w:rFonts w:hint="eastAsia" w:ascii="仿宋" w:hAnsi="仿宋" w:eastAsia="仿宋" w:cs="仿宋"/>
          <w:color w:val="auto"/>
          <w:sz w:val="24"/>
          <w:szCs w:val="24"/>
          <w:highlight w:val="none"/>
        </w:rPr>
        <w:t>应将</w:t>
      </w:r>
      <w:r>
        <w:rPr>
          <w:rFonts w:hint="eastAsia" w:ascii="仿宋" w:hAnsi="仿宋" w:eastAsia="仿宋" w:cs="仿宋"/>
          <w:color w:val="auto"/>
          <w:spacing w:val="6"/>
          <w:sz w:val="24"/>
          <w:szCs w:val="24"/>
          <w:highlight w:val="none"/>
        </w:rPr>
        <w:t>磋商响应文件</w:t>
      </w:r>
      <w:r>
        <w:rPr>
          <w:rFonts w:hint="eastAsia" w:ascii="仿宋" w:hAnsi="仿宋" w:eastAsia="仿宋" w:cs="仿宋"/>
          <w:color w:val="auto"/>
          <w:sz w:val="24"/>
          <w:szCs w:val="24"/>
          <w:highlight w:val="none"/>
        </w:rPr>
        <w:t>的正本、副本、电子版标书（U盘），</w:t>
      </w:r>
      <w:r>
        <w:rPr>
          <w:rFonts w:hint="eastAsia" w:ascii="仿宋" w:hAnsi="仿宋" w:eastAsia="仿宋" w:cs="仿宋"/>
          <w:b/>
          <w:bCs/>
          <w:color w:val="auto"/>
          <w:sz w:val="24"/>
          <w:szCs w:val="24"/>
          <w:highlight w:val="none"/>
        </w:rPr>
        <w:t>用单独的封袋分装密封</w:t>
      </w:r>
      <w:r>
        <w:rPr>
          <w:rFonts w:hint="eastAsia" w:ascii="仿宋" w:hAnsi="仿宋" w:eastAsia="仿宋" w:cs="仿宋"/>
          <w:color w:val="auto"/>
          <w:sz w:val="24"/>
          <w:szCs w:val="24"/>
          <w:highlight w:val="none"/>
        </w:rPr>
        <w:t>（封袋不得有破损），在封袋上标明“正本”或“副本”及“电子版”字样，封线处加盖</w:t>
      </w:r>
      <w:r>
        <w:rPr>
          <w:rFonts w:hint="eastAsia" w:ascii="仿宋" w:hAnsi="仿宋" w:eastAsia="仿宋" w:cs="仿宋"/>
          <w:color w:val="auto"/>
          <w:spacing w:val="6"/>
          <w:sz w:val="24"/>
          <w:szCs w:val="24"/>
          <w:highlight w:val="none"/>
        </w:rPr>
        <w:t>磋商供应商</w:t>
      </w:r>
      <w:r>
        <w:rPr>
          <w:rFonts w:hint="eastAsia" w:ascii="仿宋" w:hAnsi="仿宋" w:eastAsia="仿宋" w:cs="仿宋"/>
          <w:color w:val="auto"/>
          <w:sz w:val="24"/>
          <w:szCs w:val="24"/>
          <w:highlight w:val="none"/>
        </w:rPr>
        <w:t>公章，封袋正面要粘贴标识。磋商响应文件中资质证明文件为复印件加盖磋商供应商公章；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23.2如果磋商供应商未按上述要求封装及加写标记，误投或过早启封的磋商响应文件，出现此类情况的磋商响应文件，采购代理机构将拒绝接收，并退回磋商供应商。采购代理机构对磋商响应文件的误投和提前启封概不负责。</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24.磋商响应文件递交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24.1磋商供应商必须在磋商文件规定的时间和地点，将全部磋商响应文件递交至采购代理机构项目承办人；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24.2采购代理机构项目承办人在磋商文件规定的磋商响应文件递交截止时间前，只负责磋商响应文件的接收、清点、造册登记工作，并请法定代表人或被授权人签字确认，对其有效性不负任何责任；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24.3采购代理机构在宣布递交磋商响应文件时间截止之后，拒绝接收任何人送达、递交的磋商响应文件；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24.4以邮寄方式递交磋商响应文件的，其磋商响应文件将按照无效处理。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24.5无论磋商供应商成交与否或者废标，其磋商响应文件恕不退还。</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25.磋商响应文件递交截止时间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25.1磋商供应商</w:t>
      </w:r>
      <w:r>
        <w:rPr>
          <w:rFonts w:hint="eastAsia" w:ascii="仿宋" w:hAnsi="仿宋" w:eastAsia="仿宋" w:cs="仿宋"/>
          <w:color w:val="auto"/>
          <w:spacing w:val="6"/>
          <w:sz w:val="24"/>
          <w:szCs w:val="24"/>
          <w:highlight w:val="none"/>
        </w:rPr>
        <w:t>必须在磋商文件规定的递交截止时间之前递交磋商响应文件，</w:t>
      </w:r>
      <w:r>
        <w:rPr>
          <w:rFonts w:hint="eastAsia" w:ascii="仿宋" w:hAnsi="仿宋" w:eastAsia="仿宋" w:cs="仿宋"/>
          <w:color w:val="auto"/>
          <w:sz w:val="24"/>
          <w:szCs w:val="24"/>
          <w:highlight w:val="none"/>
        </w:rPr>
        <w:t>采购代理机构在截止时间后拒绝接收任何磋商响应文件。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25.2采购代理机构因采购人推迟磋商截止时间时，应以书面的形式，通知所有磋商供应商；在这种情况下，采购代理机构和磋商供应商的权利和义务将受到新的截止期的约束。</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26.磋商响应文件的修改和撤回</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26.1磋商响应文件递交后，如果磋商供应商提出书面修改和撤回磋商响应文件要求，在磋商截止时间前以书面形式送达采购代理机构；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26.2磋商供应商修改磋商响应文件的书面材料，须密封送达采购代理机构，修改或补充的内容应按磋商文件要求签署、盖章、密封、标记，并作为磋商响应文件的组成部分；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26.3撤回磋商响应文件应以书面（或传真）的形式通知采购代理机构。如采取传真形式撤回磋商响应文件，随后必须补充有法定代表人或被授权人签署的要求撤回磋商响应文件的正式文件；撤回磋商响应文件的时间以送达采购代理机构到达日期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26.4在磋商截止时间后到磋商文件规定的磋商有效期满之间的这段时间内，磋商供应商不得撤回其磋商响应文件；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26.5磋商供应商在磋商响应文件递交截止时间后，不得对其磋商响应文件做任何修改。</w:t>
      </w:r>
    </w:p>
    <w:p>
      <w:pPr>
        <w:pStyle w:val="4"/>
        <w:bidi w:val="0"/>
        <w:rPr>
          <w:rFonts w:hint="eastAsia" w:ascii="仿宋" w:hAnsi="仿宋" w:eastAsia="仿宋" w:cs="仿宋"/>
          <w:color w:val="auto"/>
          <w:sz w:val="32"/>
          <w:szCs w:val="36"/>
          <w:highlight w:val="none"/>
          <w:lang w:val="en-US" w:eastAsia="zh-CN"/>
        </w:rPr>
      </w:pPr>
      <w:bookmarkStart w:id="42" w:name="_Toc32447"/>
      <w:bookmarkStart w:id="43" w:name="_Toc519156742"/>
      <w:bookmarkStart w:id="44" w:name="_Toc29321"/>
      <w:bookmarkStart w:id="45" w:name="_Toc29603"/>
      <w:bookmarkStart w:id="46" w:name="_Toc4585"/>
      <w:bookmarkStart w:id="47" w:name="_Toc1285"/>
      <w:r>
        <w:rPr>
          <w:rFonts w:hint="eastAsia" w:ascii="仿宋" w:hAnsi="仿宋" w:eastAsia="仿宋" w:cs="仿宋"/>
          <w:color w:val="auto"/>
          <w:sz w:val="32"/>
          <w:szCs w:val="36"/>
          <w:highlight w:val="none"/>
        </w:rPr>
        <w:t>六</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磋商</w:t>
      </w:r>
      <w:bookmarkEnd w:id="42"/>
      <w:bookmarkEnd w:id="43"/>
      <w:bookmarkEnd w:id="44"/>
      <w:r>
        <w:rPr>
          <w:rFonts w:hint="eastAsia" w:ascii="仿宋" w:hAnsi="仿宋" w:eastAsia="仿宋" w:cs="仿宋"/>
          <w:color w:val="auto"/>
          <w:sz w:val="32"/>
          <w:szCs w:val="36"/>
          <w:highlight w:val="none"/>
          <w:lang w:val="en-US" w:eastAsia="zh-CN"/>
        </w:rPr>
        <w:t>与评审</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27.磋商小组和磋商评审原则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27.1按照《</w:t>
      </w:r>
      <w:r>
        <w:rPr>
          <w:rFonts w:hint="eastAsia" w:ascii="仿宋" w:hAnsi="仿宋" w:eastAsia="仿宋" w:cs="仿宋"/>
          <w:color w:val="auto"/>
          <w:sz w:val="24"/>
          <w:szCs w:val="24"/>
          <w:highlight w:val="none"/>
        </w:rPr>
        <w:t>中华人民共和国</w:t>
      </w:r>
      <w:r>
        <w:rPr>
          <w:rFonts w:hint="eastAsia" w:ascii="仿宋" w:hAnsi="仿宋" w:eastAsia="仿宋" w:cs="仿宋"/>
          <w:bCs/>
          <w:color w:val="auto"/>
          <w:sz w:val="24"/>
          <w:szCs w:val="24"/>
          <w:highlight w:val="none"/>
        </w:rPr>
        <w:t>政府采购法》、《中华人民共和国政府采购法实施条例》和《政府采购竞争性磋商采购方式管理暂行办法》的规定，采购机构将依法组建竞争性磋商小组，依法进行磋商和评审工作。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27.2磋商文件和供应商的响应文件是评审的依据。</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.磋商及评审程序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.1采购代理</w:t>
      </w:r>
      <w:r>
        <w:rPr>
          <w:rFonts w:hint="eastAsia" w:ascii="仿宋" w:hAnsi="仿宋" w:eastAsia="仿宋" w:cs="仿宋"/>
          <w:color w:val="auto"/>
          <w:sz w:val="24"/>
          <w:szCs w:val="24"/>
          <w:highlight w:val="none"/>
        </w:rPr>
        <w:t>机构</w:t>
      </w:r>
      <w:r>
        <w:rPr>
          <w:rFonts w:hint="eastAsia" w:ascii="仿宋" w:hAnsi="仿宋" w:eastAsia="仿宋" w:cs="仿宋"/>
          <w:bCs/>
          <w:color w:val="auto"/>
          <w:sz w:val="24"/>
          <w:szCs w:val="24"/>
          <w:highlight w:val="none"/>
        </w:rPr>
        <w:t>在规定的时间和地点组织磋商。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.2本次磋商的报价次数、磋商程序和最终报价的产生原则见“磋商须知前附表”的规定。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3磋商开始后，磋商小组首先对响应文件进行评审，并根据磋商文件规定的程序、评定成交的标准等事项与实质性响应磋商文件要求的供应商进行磋商。未实质性响应磋商文件的响应文件按无效处理，磋商小组将告知有关供应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.4磋商小组所有成员集中与单一供应商分别进行磋商，并给予所有参加磋商的供应商平等的磋商机会。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Cs w:val="28"/>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5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递交响应文件，并由其法定代表人或被授权委托人签字或盖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磋商结束后，磋商小组要求所有继续参加磋商的供应商在规定时间内提交最后报价，最后报价是供应商响应文件的有效组成部分。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已提交响应文件的供应商，在提交最后报价之前，可以根据磋商情况退出磋商。采购机构将退还退出磋商的供应商的保证金。</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.评审过程的保密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.1竞争性</w:t>
      </w:r>
      <w:r>
        <w:rPr>
          <w:rFonts w:hint="eastAsia" w:ascii="仿宋" w:hAnsi="仿宋" w:eastAsia="仿宋" w:cs="仿宋"/>
          <w:color w:val="auto"/>
          <w:sz w:val="24"/>
          <w:szCs w:val="24"/>
          <w:highlight w:val="none"/>
        </w:rPr>
        <w:t>磋商</w:t>
      </w:r>
      <w:r>
        <w:rPr>
          <w:rFonts w:hint="eastAsia" w:ascii="仿宋" w:hAnsi="仿宋" w:eastAsia="仿宋" w:cs="仿宋"/>
          <w:bCs/>
          <w:color w:val="auto"/>
          <w:sz w:val="24"/>
          <w:szCs w:val="24"/>
          <w:highlight w:val="none"/>
        </w:rPr>
        <w:t>小组成员和与评审活动有关的工作人员不得泄露有关磋商响应文件的评审和比较、成交候选人的推荐以及与评审有关的其他情况。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.2在评审过程中，如果磋商供应商试图在磋商响应文件的评审和比较、成交候选人的推荐以及与评审有关的其他方面，向磋商小组、采购人和采购代理机构施加任何影响，其磋商响应文件将按照无效处理。</w:t>
      </w:r>
    </w:p>
    <w:p>
      <w:pPr>
        <w:keepNext w:val="0"/>
        <w:keepLines w:val="0"/>
        <w:pageBreakBefore w:val="0"/>
        <w:widowControl w:val="0"/>
        <w:kinsoku/>
        <w:wordWrap/>
        <w:overflowPunct/>
        <w:topLinePunct w:val="0"/>
        <w:autoSpaceDE/>
        <w:autoSpaceDN/>
        <w:bidi w:val="0"/>
        <w:adjustRightInd/>
        <w:snapToGrid/>
        <w:spacing w:line="460" w:lineRule="exact"/>
        <w:ind w:firstLine="120" w:firstLineChars="5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30</w:t>
      </w:r>
      <w:r>
        <w:rPr>
          <w:rFonts w:hint="eastAsia" w:ascii="仿宋" w:hAnsi="仿宋" w:eastAsia="仿宋" w:cs="仿宋"/>
          <w:b/>
          <w:color w:val="auto"/>
          <w:sz w:val="24"/>
          <w:szCs w:val="24"/>
          <w:highlight w:val="none"/>
        </w:rPr>
        <w:t>．评审方法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30</w:t>
      </w:r>
      <w:r>
        <w:rPr>
          <w:rFonts w:hint="eastAsia" w:ascii="仿宋" w:hAnsi="仿宋" w:eastAsia="仿宋" w:cs="仿宋"/>
          <w:bCs/>
          <w:color w:val="auto"/>
          <w:sz w:val="24"/>
          <w:szCs w:val="24"/>
          <w:highlight w:val="none"/>
        </w:rPr>
        <w:t>.1按照</w:t>
      </w:r>
      <w:r>
        <w:rPr>
          <w:rFonts w:hint="eastAsia" w:ascii="仿宋" w:hAnsi="仿宋" w:eastAsia="仿宋" w:cs="仿宋"/>
          <w:color w:val="auto"/>
          <w:sz w:val="24"/>
          <w:szCs w:val="24"/>
          <w:highlight w:val="none"/>
        </w:rPr>
        <w:t>中华人民共和国</w:t>
      </w:r>
      <w:r>
        <w:rPr>
          <w:rFonts w:hint="eastAsia" w:ascii="仿宋" w:hAnsi="仿宋" w:eastAsia="仿宋" w:cs="仿宋"/>
          <w:bCs/>
          <w:color w:val="auto"/>
          <w:sz w:val="24"/>
          <w:szCs w:val="24"/>
          <w:highlight w:val="none"/>
        </w:rPr>
        <w:t>财政部财库[2014]214号《政府采购竞争性磋商采购方式管理暂行办法》的规定，磋商小组根据综合评分情况，按照评审得分由高到低顺序推荐3名成交候选供应商。</w:t>
      </w:r>
    </w:p>
    <w:p>
      <w:pPr>
        <w:pStyle w:val="4"/>
        <w:bidi w:val="0"/>
        <w:rPr>
          <w:rFonts w:hint="eastAsia" w:ascii="仿宋" w:hAnsi="仿宋" w:eastAsia="仿宋" w:cs="仿宋"/>
          <w:color w:val="auto"/>
          <w:sz w:val="32"/>
          <w:szCs w:val="36"/>
          <w:highlight w:val="none"/>
        </w:rPr>
      </w:pPr>
      <w:bookmarkStart w:id="48" w:name="_Toc519156743"/>
      <w:bookmarkStart w:id="49" w:name="_Toc21838"/>
      <w:bookmarkStart w:id="50" w:name="_Toc12452"/>
      <w:bookmarkStart w:id="51" w:name="_Toc12908"/>
      <w:bookmarkStart w:id="52" w:name="_Toc6759"/>
      <w:bookmarkStart w:id="53" w:name="_Toc13700"/>
      <w:r>
        <w:rPr>
          <w:rFonts w:hint="eastAsia" w:ascii="仿宋" w:hAnsi="仿宋" w:eastAsia="仿宋" w:cs="仿宋"/>
          <w:color w:val="auto"/>
          <w:sz w:val="32"/>
          <w:szCs w:val="36"/>
          <w:highlight w:val="none"/>
        </w:rPr>
        <w:t>七</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确定成交人、成交通知与签约</w:t>
      </w:r>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bookmarkStart w:id="54" w:name="_Toc519156744"/>
      <w:bookmarkStart w:id="55" w:name="_Toc23113"/>
      <w:bookmarkStart w:id="56" w:name="_Toc19721"/>
      <w:r>
        <w:rPr>
          <w:rFonts w:hint="eastAsia" w:ascii="仿宋" w:hAnsi="仿宋" w:eastAsia="仿宋" w:cs="仿宋"/>
          <w:b/>
          <w:color w:val="auto"/>
          <w:sz w:val="24"/>
          <w:szCs w:val="24"/>
          <w:highlight w:val="none"/>
        </w:rPr>
        <w:t>31．确定成交人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31.1采购代理机构应在评审结束之日起2个工作日内将评审报告送采购人确认。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31.2采购人应当在收到评审报告之日起5个工作日内，从评审报告提出的成交候选供应商中，按照排序由高到低的原则确定成交供应商。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32．成交通知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32.1 成交供应商确定之后，代理公司将发出《成交通知书》。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32.2成交通知书对采购人和成交供应商具有同等法律效力。成交通知书发出之后，采购人改变成交结果，或者成交供应商放弃成交，应当承担相应的法律责任。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33．签订合同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33.1磋商文件、成交供应商响应文件及补充文件等均为签订政府采购合同依据。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33.2成交供应商应在成交通知书发出之日起30日内与采购人签订政府采购合同。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33.3采购人不得向成交供应商提出超出磋商文件以外的任何要求作为签订合同的条件，不得与成交供应商订立背离磋商文件确定的合同文本以及背离采购标的、规格型号、采购金额、采购数量、技术和服务要求等实质性内容的协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33.4自政府采购合同签订之日起2个工作日内，本项目政府采购合同在磋商须知前附表规定的媒体上公告，但政府采购合同中涉及国家秘密、商业秘密的内容除外。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34．成交合同的履约验收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采购人按照政府采购合同规定的技术、服务、安全标准组织对供应商履约情况进行验收，并出具验收书。验收书应当包括每一项技术、服务、安全标准的履约情况。</w:t>
      </w:r>
    </w:p>
    <w:p>
      <w:pPr>
        <w:pStyle w:val="4"/>
        <w:bidi w:val="0"/>
        <w:rPr>
          <w:rFonts w:hint="eastAsia" w:ascii="仿宋" w:hAnsi="仿宋" w:eastAsia="仿宋" w:cs="仿宋"/>
          <w:color w:val="auto"/>
          <w:sz w:val="32"/>
          <w:szCs w:val="36"/>
          <w:highlight w:val="none"/>
        </w:rPr>
      </w:pPr>
      <w:bookmarkStart w:id="57" w:name="_Toc31527"/>
      <w:bookmarkStart w:id="58" w:name="_Toc26927"/>
      <w:bookmarkStart w:id="59" w:name="_Toc12773"/>
      <w:r>
        <w:rPr>
          <w:rFonts w:hint="eastAsia" w:ascii="仿宋" w:hAnsi="仿宋" w:eastAsia="仿宋" w:cs="仿宋"/>
          <w:color w:val="auto"/>
          <w:sz w:val="32"/>
          <w:szCs w:val="36"/>
          <w:highlight w:val="none"/>
        </w:rPr>
        <w:t>八、其他事项</w:t>
      </w:r>
      <w:bookmarkEnd w:id="54"/>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35.竞争性磋商项目实行二轮报价</w:t>
      </w:r>
      <w:r>
        <w:rPr>
          <w:rFonts w:hint="eastAsia" w:ascii="仿宋" w:hAnsi="仿宋" w:eastAsia="仿宋" w:cs="仿宋"/>
          <w:color w:val="auto"/>
          <w:sz w:val="24"/>
          <w:szCs w:val="24"/>
          <w:highlight w:val="none"/>
        </w:rPr>
        <w:t>，第一次报价后，磋商小组可以变更采购需求中的技术、服务要求以及合同草案条款，二轮报价为最终报价。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36.磋商开始后，出现下列情形之一的，采购代理机构将终止竞争性磋商采购活动，发布项目终止公告并说明原因，重新开展采购活动：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（二）出现影响采购公正的违法、违规行为的；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（三）在采购过程中符合要求的供应商不足3家的 （不包含政府购买服务项目）；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（四）报价未超过采购预算的供应商不足3家的。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37. 提交最后报价的供应商为2家时，可以继续进行磋商的情形：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（一）市场竞争不充分的科研项目，以及需要扶持的科技成果转化项目；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（二）政府购买服务项目（含政府和社会资本项目）。</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38.最后报价应按报价的格式内容填写</w:t>
      </w:r>
      <w:r>
        <w:rPr>
          <w:rFonts w:hint="eastAsia" w:ascii="仿宋" w:hAnsi="仿宋" w:eastAsia="仿宋" w:cs="仿宋"/>
          <w:color w:val="auto"/>
          <w:sz w:val="24"/>
          <w:szCs w:val="24"/>
          <w:highlight w:val="none"/>
        </w:rPr>
        <w:t>，并且同时提交最后响应报价表、最后报价明细表等内容（最后响应报价表、最后报价明细表等内容不用装订在响应文件中，填写表格内容字体使用仿宋字清晰的填写，如因字迹不清造成的磋商小组对供应商的评审有误，后果由填表人自己负责，与采购人、磋商小组及采购代理机构无任何关系），且由法定代表人或授权代表人签字</w:t>
      </w:r>
      <w:r>
        <w:rPr>
          <w:rFonts w:hint="eastAsia" w:ascii="仿宋" w:hAnsi="仿宋" w:eastAsia="仿宋" w:cs="仿宋"/>
          <w:color w:val="auto"/>
          <w:sz w:val="24"/>
          <w:szCs w:val="24"/>
          <w:highlight w:val="none"/>
          <w:lang w:eastAsia="zh-CN"/>
        </w:rPr>
        <w:t>。</w:t>
      </w:r>
    </w:p>
    <w:p>
      <w:pPr>
        <w:pStyle w:val="16"/>
        <w:rPr>
          <w:rFonts w:hint="eastAsia" w:ascii="仿宋" w:hAnsi="仿宋" w:eastAsia="仿宋" w:cs="仿宋"/>
          <w:color w:val="auto"/>
          <w:sz w:val="20"/>
          <w:szCs w:val="20"/>
          <w:highlight w:val="none"/>
        </w:rPr>
      </w:pPr>
    </w:p>
    <w:p>
      <w:pPr>
        <w:pStyle w:val="4"/>
        <w:bidi w:val="0"/>
        <w:rPr>
          <w:rFonts w:hint="eastAsia" w:ascii="仿宋" w:hAnsi="仿宋" w:eastAsia="仿宋" w:cs="仿宋"/>
          <w:color w:val="auto"/>
          <w:sz w:val="32"/>
          <w:szCs w:val="36"/>
          <w:highlight w:val="none"/>
        </w:rPr>
      </w:pPr>
      <w:bookmarkStart w:id="60" w:name="_Toc519156745"/>
      <w:bookmarkStart w:id="61" w:name="_Toc23716"/>
      <w:bookmarkStart w:id="62" w:name="_Toc5011"/>
      <w:bookmarkStart w:id="63" w:name="_Toc23647"/>
      <w:bookmarkStart w:id="64" w:name="_Toc3681"/>
      <w:bookmarkStart w:id="65" w:name="_Toc30935"/>
      <w:bookmarkStart w:id="66" w:name="_Toc23884"/>
      <w:r>
        <w:rPr>
          <w:rFonts w:hint="eastAsia" w:ascii="仿宋" w:hAnsi="仿宋" w:eastAsia="仿宋" w:cs="仿宋"/>
          <w:color w:val="auto"/>
          <w:sz w:val="32"/>
          <w:szCs w:val="36"/>
          <w:highlight w:val="none"/>
        </w:rPr>
        <w:t>九</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成交服务费</w:t>
      </w:r>
      <w:bookmarkEnd w:id="60"/>
      <w:bookmarkEnd w:id="61"/>
      <w:bookmarkEnd w:id="62"/>
      <w:bookmarkEnd w:id="63"/>
      <w:bookmarkEnd w:id="64"/>
      <w:bookmarkEnd w:id="65"/>
      <w:bookmarkEnd w:id="66"/>
    </w:p>
    <w:p>
      <w:pPr>
        <w:snapToGrid w:val="0"/>
        <w:spacing w:line="42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39</w:t>
      </w:r>
      <w:r>
        <w:rPr>
          <w:rFonts w:hint="eastAsia" w:ascii="仿宋" w:hAnsi="仿宋" w:eastAsia="仿宋" w:cs="仿宋"/>
          <w:b/>
          <w:bCs/>
          <w:color w:val="auto"/>
          <w:sz w:val="24"/>
          <w:szCs w:val="24"/>
          <w:highlight w:val="none"/>
        </w:rPr>
        <w:t>.招标代理服务费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考国家计委颁布的《招标代理服务收费管理暂行办法》（计价格〔2002〕1980号）、发改办价格〔2003〕857号、发改价格〔2011〕534号及发改价格〔2015〕299号文件规定收取，由成交供应商在领取成交通知书之前向代理公司一次性付清招标代理服务费。</w:t>
      </w:r>
    </w:p>
    <w:p>
      <w:pPr>
        <w:spacing w:line="42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银行户名：陕西德仁招标有限公司</w:t>
      </w:r>
    </w:p>
    <w:p>
      <w:pPr>
        <w:spacing w:line="42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开户银行：</w:t>
      </w:r>
      <w:r>
        <w:rPr>
          <w:rFonts w:hint="eastAsia" w:ascii="仿宋" w:hAnsi="仿宋" w:eastAsia="仿宋" w:cs="仿宋"/>
          <w:b/>
          <w:bCs/>
          <w:color w:val="auto"/>
          <w:kern w:val="0"/>
          <w:sz w:val="24"/>
          <w:szCs w:val="24"/>
          <w:highlight w:val="none"/>
        </w:rPr>
        <w:t>招商银行股份有限公司西安城南支行</w:t>
      </w:r>
    </w:p>
    <w:p>
      <w:pPr>
        <w:spacing w:line="42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账    号：1299 0904 6810 901</w:t>
      </w:r>
    </w:p>
    <w:p>
      <w:pPr>
        <w:spacing w:line="420" w:lineRule="exact"/>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联系人：</w:t>
      </w:r>
      <w:r>
        <w:rPr>
          <w:rFonts w:hint="eastAsia" w:ascii="仿宋" w:hAnsi="仿宋" w:eastAsia="仿宋" w:cs="仿宋"/>
          <w:b/>
          <w:bCs/>
          <w:color w:val="auto"/>
          <w:sz w:val="24"/>
          <w:szCs w:val="24"/>
          <w:highlight w:val="none"/>
          <w:lang w:val="en-US" w:eastAsia="zh-CN"/>
        </w:rPr>
        <w:t>苏</w:t>
      </w:r>
      <w:r>
        <w:rPr>
          <w:rFonts w:hint="eastAsia" w:ascii="仿宋" w:hAnsi="仿宋" w:eastAsia="仿宋" w:cs="仿宋"/>
          <w:b/>
          <w:bCs/>
          <w:color w:val="auto"/>
          <w:sz w:val="24"/>
          <w:szCs w:val="24"/>
          <w:highlight w:val="none"/>
        </w:rPr>
        <w:t>会计  联系电话：8</w:t>
      </w:r>
      <w:r>
        <w:rPr>
          <w:rFonts w:hint="eastAsia" w:ascii="仿宋" w:hAnsi="仿宋" w:eastAsia="仿宋" w:cs="仿宋"/>
          <w:b/>
          <w:bCs/>
          <w:color w:val="auto"/>
          <w:sz w:val="24"/>
          <w:szCs w:val="24"/>
          <w:highlight w:val="none"/>
          <w:lang w:val="en-US" w:eastAsia="zh-CN"/>
        </w:rPr>
        <w:t>9588150</w:t>
      </w:r>
    </w:p>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邮箱：yangmengna@sxdrzb.cn</w:t>
      </w:r>
    </w:p>
    <w:p>
      <w:pPr>
        <w:pStyle w:val="4"/>
        <w:bidi w:val="0"/>
        <w:rPr>
          <w:rFonts w:hint="eastAsia" w:ascii="仿宋" w:hAnsi="仿宋" w:eastAsia="仿宋" w:cs="仿宋"/>
          <w:color w:val="auto"/>
          <w:sz w:val="32"/>
          <w:szCs w:val="36"/>
          <w:highlight w:val="none"/>
        </w:rPr>
      </w:pPr>
      <w:bookmarkStart w:id="67" w:name="_Toc5878"/>
      <w:bookmarkStart w:id="68" w:name="_Toc10336"/>
      <w:bookmarkStart w:id="69" w:name="_Toc32429"/>
      <w:bookmarkStart w:id="70" w:name="_Toc22117"/>
      <w:r>
        <w:rPr>
          <w:rFonts w:hint="eastAsia" w:ascii="仿宋" w:hAnsi="仿宋" w:eastAsia="仿宋" w:cs="仿宋"/>
          <w:color w:val="auto"/>
          <w:sz w:val="32"/>
          <w:szCs w:val="36"/>
          <w:highlight w:val="none"/>
        </w:rPr>
        <w:t>十</w:t>
      </w:r>
      <w:r>
        <w:rPr>
          <w:rFonts w:hint="eastAsia" w:ascii="仿宋" w:hAnsi="仿宋" w:eastAsia="仿宋" w:cs="仿宋"/>
          <w:color w:val="auto"/>
          <w:sz w:val="32"/>
          <w:szCs w:val="36"/>
          <w:highlight w:val="none"/>
          <w:lang w:eastAsia="zh-CN"/>
        </w:rPr>
        <w:t>、</w:t>
      </w:r>
      <w:r>
        <w:rPr>
          <w:rFonts w:hint="eastAsia" w:ascii="仿宋" w:hAnsi="仿宋" w:eastAsia="仿宋" w:cs="仿宋"/>
          <w:color w:val="auto"/>
          <w:sz w:val="32"/>
          <w:szCs w:val="36"/>
          <w:highlight w:val="none"/>
        </w:rPr>
        <w:t>质疑</w:t>
      </w:r>
      <w:bookmarkEnd w:id="67"/>
      <w:bookmarkEnd w:id="68"/>
      <w:bookmarkEnd w:id="69"/>
      <w:bookmarkEnd w:id="70"/>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val="en-US" w:eastAsia="zh-CN"/>
        </w:rPr>
        <w:t>0</w:t>
      </w:r>
      <w:r>
        <w:rPr>
          <w:rFonts w:hint="eastAsia" w:ascii="仿宋" w:hAnsi="仿宋" w:eastAsia="仿宋" w:cs="仿宋"/>
          <w:b/>
          <w:bCs/>
          <w:color w:val="auto"/>
          <w:sz w:val="24"/>
          <w:szCs w:val="24"/>
          <w:highlight w:val="none"/>
        </w:rPr>
        <w:t>.质疑</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.1供应商对本次磋商采购活动有疑问的，应当按照《中华人民共和国政府采购法实施条例》的有关规定办理。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40.2 供应商对采购文件、采购过程或成交结果使自身的合法权益受到损害，应当在法定期限内，按照质疑函范本格式要求以书面形式向采购代理机构或采购人提出质疑，供应商提出质疑应当提交质疑函和必要的证明材料原件，代理机构不接受传真、电子邮件、复印件等形式的质疑材料。</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.3 质疑函应当包括下列内容：</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（1）供应商的姓名或者名称、地址、邮编、联系人及联系电话；</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（2）质疑项目的名称、编号；</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（3）具体、明确的质疑事项和与质疑事项相关的请求；</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（4）事实依据；</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（5）必要的法律依据；</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（6）提出质疑的日期。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供应商为自然人的，应当由本人签字；供应商为法人或者其他组织的，应当由法定代表人、主要负责人，或者其授权代表（附法人代表授权书）签字或者盖章（鲜章），并加盖公章（鲜章）。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接收质疑函的方式：书面形式；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联系部门：陕西德仁招标有限公司；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胡晓均、张涛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lang w:eastAsia="zh-CN"/>
        </w:rPr>
        <w:t>029-85565073</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通讯地址：西安市高新区沣惠南路华晶商务广场B座2301室。</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质疑函范本格式在中国政府采购网站（http://www.ccgp.gov.cn/）自行下载。</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有下列情形之一的，属于无效质疑，采购代理机构和采购人不予受理：</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质疑供应商不是参与所质疑项目采购活动的供应商；</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未在法定质疑期内发出质疑的；</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质疑未以书面形式提出；</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质疑函没有合法有效的签字、盖章或授权的；</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以非法手段取得证据、材料的；</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质疑答复后，同一质疑人就同一事项再次提出质疑的；</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460" w:lineRule="exact"/>
        <w:ind w:left="845" w:leftChars="0" w:hanging="425"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不符合法律、法规、规章和政府采购监管机构规定的其他条件的。</w:t>
      </w:r>
    </w:p>
    <w:p>
      <w:pPr>
        <w:pStyle w:val="10"/>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xml:space="preserve"> 采购代理机构或采购人将在收到书面质疑后7个工作日内做出答复，并以书面形式通知质疑人和其他有关供应商。</w:t>
      </w:r>
    </w:p>
    <w:p>
      <w:pPr>
        <w:pStyle w:val="10"/>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.其他规定</w:t>
      </w:r>
    </w:p>
    <w:p>
      <w:pPr>
        <w:pStyle w:val="1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.1　磋商文件的其他规定见磋商须知前附表。</w:t>
      </w:r>
    </w:p>
    <w:p>
      <w:pPr>
        <w:pStyle w:val="10"/>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.未尽事宜</w:t>
      </w:r>
    </w:p>
    <w:p>
      <w:pPr>
        <w:pStyle w:val="1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.1　其他未尽事宜按政府采购法律法规的规定执行。</w:t>
      </w:r>
    </w:p>
    <w:p>
      <w:pPr>
        <w:pStyle w:val="10"/>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.文件解释权</w:t>
      </w:r>
    </w:p>
    <w:p>
      <w:pPr>
        <w:pStyle w:val="13"/>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　本磋商文件的解释权归采购代理机构所有。</w:t>
      </w:r>
    </w:p>
    <w:p>
      <w:pPr>
        <w:pStyle w:val="13"/>
        <w:spacing w:line="420" w:lineRule="exact"/>
        <w:ind w:firstLine="560" w:firstLineChars="200"/>
        <w:rPr>
          <w:rFonts w:hint="eastAsia" w:ascii="仿宋" w:hAnsi="仿宋" w:eastAsia="仿宋" w:cs="仿宋"/>
          <w:sz w:val="28"/>
          <w:szCs w:val="28"/>
          <w:highlight w:val="none"/>
        </w:rPr>
      </w:pPr>
    </w:p>
    <w:p>
      <w:pPr>
        <w:pStyle w:val="13"/>
        <w:spacing w:line="420" w:lineRule="exact"/>
        <w:ind w:firstLine="560" w:firstLineChars="200"/>
        <w:rPr>
          <w:rFonts w:hint="eastAsia" w:ascii="仿宋" w:hAnsi="仿宋" w:eastAsia="仿宋" w:cs="仿宋"/>
          <w:sz w:val="28"/>
          <w:szCs w:val="28"/>
          <w:highlight w:val="none"/>
        </w:rPr>
        <w:sectPr>
          <w:headerReference r:id="rId9" w:type="first"/>
          <w:footerReference r:id="rId10" w:type="default"/>
          <w:footerReference r:id="rId11" w:type="even"/>
          <w:pgSz w:w="11906" w:h="16838"/>
          <w:pgMar w:top="1440" w:right="1417" w:bottom="1440" w:left="1587" w:header="850" w:footer="992" w:gutter="0"/>
          <w:pgNumType w:fmt="numberInDash"/>
          <w:cols w:space="0" w:num="1"/>
          <w:docGrid w:type="lines" w:linePitch="312" w:charSpace="0"/>
        </w:sectPr>
      </w:pPr>
    </w:p>
    <w:p>
      <w:pPr>
        <w:numPr>
          <w:ilvl w:val="0"/>
          <w:numId w:val="4"/>
        </w:numPr>
        <w:jc w:val="center"/>
        <w:outlineLvl w:val="0"/>
        <w:rPr>
          <w:rFonts w:hint="eastAsia" w:ascii="仿宋" w:hAnsi="仿宋" w:eastAsia="仿宋" w:cs="仿宋"/>
          <w:b/>
          <w:bCs/>
          <w:color w:val="auto"/>
          <w:kern w:val="2"/>
          <w:sz w:val="36"/>
          <w:szCs w:val="36"/>
          <w:highlight w:val="none"/>
          <w:lang w:val="en-US" w:eastAsia="zh-CN" w:bidi="ar-SA"/>
        </w:rPr>
      </w:pPr>
      <w:bookmarkStart w:id="71" w:name="_Toc23409"/>
      <w:bookmarkStart w:id="72" w:name="_Toc18268"/>
      <w:bookmarkStart w:id="73" w:name="_Toc31900"/>
      <w:r>
        <w:rPr>
          <w:rFonts w:hint="eastAsia" w:ascii="仿宋" w:hAnsi="仿宋" w:eastAsia="仿宋" w:cs="仿宋"/>
          <w:b/>
          <w:bCs/>
          <w:color w:val="auto"/>
          <w:kern w:val="2"/>
          <w:sz w:val="36"/>
          <w:szCs w:val="36"/>
          <w:highlight w:val="none"/>
          <w:lang w:val="en-US" w:eastAsia="zh-CN" w:bidi="ar-SA"/>
        </w:rPr>
        <w:t xml:space="preserve"> 磋商要求及说明</w:t>
      </w:r>
      <w:bookmarkEnd w:id="17"/>
      <w:bookmarkEnd w:id="18"/>
      <w:bookmarkEnd w:id="19"/>
      <w:bookmarkEnd w:id="71"/>
      <w:bookmarkEnd w:id="72"/>
      <w:bookmarkEnd w:id="73"/>
      <w:bookmarkStart w:id="74" w:name="_Toc519156757"/>
      <w:bookmarkStart w:id="75" w:name="_Toc12426"/>
      <w:bookmarkStart w:id="76" w:name="_Toc13278"/>
    </w:p>
    <w:p>
      <w:pPr>
        <w:spacing w:line="360" w:lineRule="auto"/>
        <w:ind w:firstLine="241" w:firstLineChars="100"/>
        <w:rPr>
          <w:rFonts w:ascii="仿宋" w:hAnsi="仿宋" w:eastAsia="仿宋"/>
          <w:sz w:val="24"/>
          <w:szCs w:val="24"/>
          <w:highlight w:val="none"/>
        </w:rPr>
      </w:pPr>
      <w:bookmarkStart w:id="77" w:name="_Toc20085"/>
      <w:r>
        <w:rPr>
          <w:rFonts w:hint="eastAsia" w:ascii="仿宋" w:hAnsi="仿宋" w:eastAsia="仿宋"/>
          <w:b/>
          <w:sz w:val="24"/>
          <w:szCs w:val="24"/>
          <w:highlight w:val="none"/>
          <w:lang w:val="en-US" w:eastAsia="zh-CN"/>
        </w:rPr>
        <w:t>一</w:t>
      </w:r>
      <w:r>
        <w:rPr>
          <w:rFonts w:ascii="仿宋" w:hAnsi="仿宋" w:eastAsia="仿宋"/>
          <w:b/>
          <w:sz w:val="24"/>
          <w:szCs w:val="24"/>
          <w:highlight w:val="none"/>
        </w:rPr>
        <w:t>、项目</w:t>
      </w:r>
      <w:r>
        <w:rPr>
          <w:rFonts w:hint="eastAsia" w:ascii="仿宋" w:hAnsi="仿宋" w:eastAsia="仿宋"/>
          <w:b/>
          <w:sz w:val="24"/>
          <w:szCs w:val="24"/>
          <w:highlight w:val="none"/>
        </w:rPr>
        <w:t>需求</w:t>
      </w:r>
    </w:p>
    <w:p>
      <w:pPr>
        <w:spacing w:line="360" w:lineRule="auto"/>
        <w:ind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eastAsia="zh-CN"/>
        </w:rPr>
        <w:t>为</w:t>
      </w:r>
      <w:r>
        <w:rPr>
          <w:rFonts w:hint="eastAsia" w:ascii="仿宋" w:hAnsi="仿宋" w:eastAsia="仿宋"/>
          <w:sz w:val="24"/>
          <w:szCs w:val="24"/>
          <w:highlight w:val="none"/>
        </w:rPr>
        <w:t>助力陕西省实现“300万辆整车”重大目标</w:t>
      </w:r>
      <w:r>
        <w:rPr>
          <w:rFonts w:hint="eastAsia" w:ascii="仿宋" w:hAnsi="仿宋" w:eastAsia="仿宋"/>
          <w:sz w:val="24"/>
          <w:szCs w:val="24"/>
          <w:highlight w:val="none"/>
          <w:lang w:eastAsia="zh-CN"/>
        </w:rPr>
        <w:t>，</w:t>
      </w:r>
      <w:r>
        <w:rPr>
          <w:rFonts w:hint="eastAsia" w:ascii="仿宋" w:hAnsi="仿宋" w:eastAsia="仿宋"/>
          <w:sz w:val="24"/>
          <w:szCs w:val="24"/>
          <w:highlight w:val="none"/>
        </w:rPr>
        <w:t>充分整合行业资源，紧跟当前政策、技术和市场发展趋势，汇聚政府部门、科研机构、行业组织和领军企业，</w:t>
      </w:r>
      <w:r>
        <w:rPr>
          <w:rFonts w:hint="eastAsia" w:ascii="仿宋" w:hAnsi="仿宋" w:eastAsia="仿宋"/>
          <w:sz w:val="24"/>
          <w:szCs w:val="24"/>
          <w:highlight w:val="none"/>
          <w:lang w:eastAsia="zh-CN"/>
        </w:rPr>
        <w:t>现计划组织召开</w:t>
      </w:r>
      <w:r>
        <w:rPr>
          <w:rFonts w:hint="eastAsia" w:ascii="仿宋" w:hAnsi="仿宋" w:eastAsia="仿宋"/>
          <w:sz w:val="24"/>
          <w:szCs w:val="24"/>
          <w:highlight w:val="none"/>
        </w:rPr>
        <w:t>“一带一路”汽车产业发展国际论坛</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同期召开陕西省汽车产业“配套招商”对接会，</w:t>
      </w:r>
      <w:r>
        <w:rPr>
          <w:rFonts w:hint="eastAsia" w:ascii="仿宋" w:hAnsi="仿宋" w:eastAsia="仿宋"/>
          <w:sz w:val="24"/>
          <w:szCs w:val="24"/>
          <w:highlight w:val="none"/>
        </w:rPr>
        <w:t>搭建“政产学研用”五位一体智库交流平台</w:t>
      </w:r>
      <w:r>
        <w:rPr>
          <w:rFonts w:hint="eastAsia" w:ascii="仿宋" w:hAnsi="仿宋" w:eastAsia="仿宋"/>
          <w:sz w:val="24"/>
          <w:szCs w:val="24"/>
          <w:highlight w:val="none"/>
          <w:lang w:val="en-US" w:eastAsia="zh-CN"/>
        </w:rPr>
        <w:t>，同时，结合配套对接活动，全方位助力陕西省汽车产业链“固链、强链、补链、延链”，为陕西省新能源汽车大省向新能源汽车强省进一步迈进。本次论坛的召开，将</w:t>
      </w:r>
      <w:r>
        <w:rPr>
          <w:rFonts w:hint="eastAsia" w:ascii="仿宋" w:hAnsi="仿宋" w:eastAsia="仿宋"/>
          <w:sz w:val="24"/>
          <w:szCs w:val="24"/>
          <w:highlight w:val="none"/>
        </w:rPr>
        <w:t>积极推动产业</w:t>
      </w:r>
      <w:r>
        <w:rPr>
          <w:rFonts w:hint="eastAsia" w:ascii="仿宋" w:hAnsi="仿宋" w:eastAsia="仿宋"/>
          <w:sz w:val="24"/>
          <w:szCs w:val="24"/>
          <w:highlight w:val="none"/>
          <w:lang w:val="en-US" w:eastAsia="zh-CN"/>
        </w:rPr>
        <w:t>链协同发展，</w:t>
      </w:r>
      <w:r>
        <w:rPr>
          <w:rFonts w:hint="eastAsia" w:ascii="仿宋" w:hAnsi="仿宋" w:eastAsia="仿宋"/>
          <w:sz w:val="24"/>
          <w:szCs w:val="24"/>
          <w:highlight w:val="none"/>
        </w:rPr>
        <w:t>汇聚各汽车产业聚集区优势资源，加快高端制造业转型升级，</w:t>
      </w:r>
      <w:r>
        <w:rPr>
          <w:rFonts w:hint="eastAsia" w:ascii="仿宋" w:hAnsi="仿宋" w:eastAsia="仿宋"/>
          <w:sz w:val="24"/>
          <w:szCs w:val="24"/>
          <w:highlight w:val="none"/>
          <w:lang w:val="en-US" w:eastAsia="zh-CN"/>
        </w:rPr>
        <w:t>带动产业链核心技术企业在陕落地，</w:t>
      </w:r>
      <w:r>
        <w:rPr>
          <w:rFonts w:hint="eastAsia" w:ascii="仿宋" w:hAnsi="仿宋" w:eastAsia="仿宋"/>
          <w:sz w:val="24"/>
          <w:szCs w:val="24"/>
          <w:highlight w:val="none"/>
        </w:rPr>
        <w:t>引领新能源和智能网联汽车战略性新兴产业高质量发展。</w:t>
      </w:r>
    </w:p>
    <w:p>
      <w:pPr>
        <w:spacing w:line="360" w:lineRule="auto"/>
        <w:ind w:firstLine="482" w:firstLineChars="200"/>
        <w:rPr>
          <w:rFonts w:ascii="仿宋" w:hAnsi="仿宋" w:eastAsia="仿宋"/>
          <w:b/>
          <w:sz w:val="24"/>
          <w:szCs w:val="24"/>
          <w:highlight w:val="none"/>
        </w:rPr>
      </w:pPr>
      <w:r>
        <w:rPr>
          <w:rFonts w:hint="eastAsia" w:ascii="仿宋" w:hAnsi="仿宋" w:eastAsia="仿宋"/>
          <w:b/>
          <w:sz w:val="24"/>
          <w:szCs w:val="24"/>
          <w:highlight w:val="none"/>
          <w:lang w:val="en-US" w:eastAsia="zh-CN"/>
        </w:rPr>
        <w:t>二</w:t>
      </w:r>
      <w:r>
        <w:rPr>
          <w:rFonts w:hint="eastAsia" w:ascii="仿宋" w:hAnsi="仿宋" w:eastAsia="仿宋"/>
          <w:b/>
          <w:sz w:val="24"/>
          <w:szCs w:val="24"/>
          <w:highlight w:val="none"/>
        </w:rPr>
        <w:t>、项目内容</w:t>
      </w:r>
    </w:p>
    <w:p>
      <w:pPr>
        <w:numPr>
          <w:ilvl w:val="0"/>
          <w:numId w:val="0"/>
        </w:numPr>
        <w:spacing w:line="360" w:lineRule="auto"/>
        <w:ind w:leftChars="0"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eastAsia="zh-CN"/>
        </w:rPr>
        <w:t>结合</w:t>
      </w:r>
      <w:r>
        <w:rPr>
          <w:rFonts w:hint="eastAsia" w:ascii="仿宋" w:hAnsi="仿宋" w:eastAsia="仿宋"/>
          <w:sz w:val="24"/>
          <w:szCs w:val="24"/>
          <w:highlight w:val="none"/>
        </w:rPr>
        <w:t>“一带一路”汽车产业发展国际论坛</w:t>
      </w:r>
      <w:r>
        <w:rPr>
          <w:rFonts w:hint="eastAsia" w:ascii="仿宋" w:hAnsi="仿宋" w:eastAsia="仿宋"/>
          <w:sz w:val="24"/>
          <w:szCs w:val="24"/>
          <w:highlight w:val="none"/>
          <w:lang w:val="en-US" w:eastAsia="zh-CN"/>
        </w:rPr>
        <w:t>及陕西省汽车产业“配套招商”对接会</w:t>
      </w:r>
      <w:r>
        <w:rPr>
          <w:rFonts w:hint="eastAsia" w:ascii="仿宋" w:hAnsi="仿宋" w:eastAsia="仿宋"/>
          <w:sz w:val="24"/>
          <w:szCs w:val="24"/>
          <w:highlight w:val="none"/>
          <w:lang w:eastAsia="zh-CN"/>
        </w:rPr>
        <w:t>项目需求，对本次论坛召开的会议内容、嘉宾邀请、媒体宣传、会议服务及会后服务内容，做出以下要求：</w:t>
      </w:r>
    </w:p>
    <w:p>
      <w:pPr>
        <w:numPr>
          <w:ilvl w:val="0"/>
          <w:numId w:val="0"/>
        </w:numPr>
        <w:spacing w:line="360" w:lineRule="auto"/>
        <w:ind w:leftChars="0"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1.</w:t>
      </w:r>
      <w:r>
        <w:rPr>
          <w:rFonts w:hint="eastAsia" w:ascii="仿宋" w:hAnsi="仿宋" w:eastAsia="仿宋"/>
          <w:sz w:val="24"/>
          <w:szCs w:val="24"/>
          <w:highlight w:val="none"/>
        </w:rPr>
        <w:t>会议内容：策划整体活动安排、会议议程及研讨内容。</w:t>
      </w:r>
    </w:p>
    <w:p>
      <w:pPr>
        <w:numPr>
          <w:ilvl w:val="0"/>
          <w:numId w:val="0"/>
        </w:numPr>
        <w:spacing w:line="360" w:lineRule="auto"/>
        <w:ind w:leftChars="0"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嘉宾邀请：邀请全国各地市汽车及零部件行业主管部门领导、行业权威机构、</w:t>
      </w:r>
      <w:r>
        <w:rPr>
          <w:rFonts w:hint="eastAsia" w:ascii="仿宋" w:hAnsi="仿宋" w:eastAsia="仿宋"/>
          <w:sz w:val="24"/>
          <w:szCs w:val="24"/>
          <w:highlight w:val="none"/>
          <w:lang w:val="en-US" w:eastAsia="zh-CN"/>
        </w:rPr>
        <w:t>产业链相关</w:t>
      </w:r>
      <w:r>
        <w:rPr>
          <w:rFonts w:hint="eastAsia" w:ascii="仿宋" w:hAnsi="仿宋" w:eastAsia="仿宋"/>
          <w:sz w:val="24"/>
          <w:szCs w:val="24"/>
          <w:highlight w:val="none"/>
        </w:rPr>
        <w:t>整车及</w:t>
      </w:r>
      <w:r>
        <w:rPr>
          <w:rFonts w:hint="eastAsia" w:ascii="仿宋" w:hAnsi="仿宋" w:eastAsia="仿宋"/>
          <w:sz w:val="24"/>
          <w:szCs w:val="24"/>
          <w:highlight w:val="none"/>
          <w:lang w:val="en-US" w:eastAsia="zh-CN"/>
        </w:rPr>
        <w:t>拟来陕布局</w:t>
      </w:r>
      <w:r>
        <w:rPr>
          <w:rFonts w:hint="eastAsia" w:ascii="仿宋" w:hAnsi="仿宋" w:eastAsia="仿宋"/>
          <w:sz w:val="24"/>
          <w:szCs w:val="24"/>
          <w:highlight w:val="none"/>
        </w:rPr>
        <w:t>零部件企业等汽车行业相关单位的参会嘉宾，并完成参会嘉宾的接待工作。</w:t>
      </w:r>
    </w:p>
    <w:p>
      <w:pPr>
        <w:numPr>
          <w:ilvl w:val="0"/>
          <w:numId w:val="0"/>
        </w:numPr>
        <w:spacing w:line="360" w:lineRule="auto"/>
        <w:ind w:leftChars="0"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3.</w:t>
      </w:r>
      <w:r>
        <w:rPr>
          <w:rFonts w:hint="eastAsia" w:ascii="仿宋" w:hAnsi="仿宋" w:eastAsia="仿宋"/>
          <w:sz w:val="24"/>
          <w:szCs w:val="24"/>
          <w:highlight w:val="none"/>
        </w:rPr>
        <w:t>媒体宣传：此次活动需邀请汽车行业知名媒体对会议进行前期预热、现场直播及媒体专访，预计15家左右。</w:t>
      </w:r>
    </w:p>
    <w:p>
      <w:pPr>
        <w:numPr>
          <w:ilvl w:val="0"/>
          <w:numId w:val="0"/>
        </w:numPr>
        <w:spacing w:line="360" w:lineRule="auto"/>
        <w:ind w:leftChars="0"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会议服务：对整体会议流程进行策划与执行，专业服务团队将会对参会专家及嘉宾在接待、用餐、住宿、接送站等方面做好接待服务，同时对整体会议形象设计、布展、会议材料编撰等方面进行全面策划及执行，保障会议顺利、安全的召开，同时为与会嘉宾带来优质的参会体验。</w:t>
      </w:r>
    </w:p>
    <w:p>
      <w:pPr>
        <w:ind w:firstLine="480"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sz w:val="24"/>
          <w:szCs w:val="24"/>
          <w:highlight w:val="none"/>
          <w:lang w:val="en-US" w:eastAsia="zh-CN"/>
        </w:rPr>
        <w:t>5.</w:t>
      </w:r>
      <w:r>
        <w:rPr>
          <w:rFonts w:hint="eastAsia" w:ascii="仿宋" w:hAnsi="仿宋" w:eastAsia="仿宋"/>
          <w:sz w:val="24"/>
          <w:szCs w:val="24"/>
          <w:highlight w:val="none"/>
        </w:rPr>
        <w:t>会后服务：会后，将汇总专家建议、行业观点、企业资源</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配套对接成果</w:t>
      </w:r>
      <w:r>
        <w:rPr>
          <w:rFonts w:hint="eastAsia" w:ascii="仿宋" w:hAnsi="仿宋" w:eastAsia="仿宋"/>
          <w:sz w:val="24"/>
          <w:szCs w:val="24"/>
          <w:highlight w:val="none"/>
        </w:rPr>
        <w:t>等信息，为陕西省汽车产业发展提供相应支持。</w:t>
      </w:r>
    </w:p>
    <w:p>
      <w:pPr>
        <w:rPr>
          <w:rFonts w:hint="eastAsia" w:ascii="仿宋" w:hAnsi="仿宋" w:eastAsia="仿宋" w:cs="仿宋"/>
          <w:b/>
          <w:bCs/>
          <w:color w:val="auto"/>
          <w:kern w:val="2"/>
          <w:sz w:val="36"/>
          <w:szCs w:val="36"/>
          <w:highlight w:val="none"/>
          <w:lang w:val="en-US" w:eastAsia="zh-CN" w:bidi="ar-SA"/>
        </w:rPr>
      </w:pPr>
      <w:r>
        <w:rPr>
          <w:rFonts w:hint="eastAsia" w:ascii="仿宋" w:hAnsi="仿宋" w:eastAsia="仿宋" w:cs="仿宋"/>
          <w:b/>
          <w:bCs/>
          <w:color w:val="auto"/>
          <w:kern w:val="2"/>
          <w:sz w:val="36"/>
          <w:szCs w:val="36"/>
          <w:highlight w:val="none"/>
          <w:lang w:val="en-US" w:eastAsia="zh-CN" w:bidi="ar-SA"/>
        </w:rPr>
        <w:br w:type="page"/>
      </w:r>
    </w:p>
    <w:p>
      <w:pPr>
        <w:widowControl/>
        <w:spacing w:line="360" w:lineRule="auto"/>
        <w:ind w:firstLine="723" w:firstLineChars="200"/>
        <w:jc w:val="center"/>
        <w:outlineLvl w:val="0"/>
        <w:rPr>
          <w:rFonts w:hint="eastAsia" w:ascii="仿宋" w:hAnsi="仿宋" w:eastAsia="仿宋" w:cs="仿宋"/>
          <w:sz w:val="36"/>
          <w:szCs w:val="36"/>
          <w:highlight w:val="none"/>
        </w:rPr>
      </w:pPr>
      <w:r>
        <w:rPr>
          <w:rFonts w:hint="eastAsia" w:ascii="仿宋" w:hAnsi="仿宋" w:eastAsia="仿宋" w:cs="仿宋"/>
          <w:b/>
          <w:bCs/>
          <w:color w:val="auto"/>
          <w:kern w:val="2"/>
          <w:sz w:val="36"/>
          <w:szCs w:val="36"/>
          <w:highlight w:val="none"/>
          <w:lang w:val="en-US" w:eastAsia="zh-CN" w:bidi="ar-SA"/>
        </w:rPr>
        <w:t>第四章  商务及合同主要条款</w:t>
      </w:r>
      <w:bookmarkEnd w:id="77"/>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本表是对合同条款的具体补充和修改，如有矛盾，应以本资料表为准。</w:t>
      </w:r>
    </w:p>
    <w:tbl>
      <w:tblPr>
        <w:tblStyle w:val="27"/>
        <w:tblW w:w="957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016"/>
        <w:gridCol w:w="85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1016"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条款号</w:t>
            </w:r>
          </w:p>
        </w:tc>
        <w:tc>
          <w:tcPr>
            <w:tcW w:w="8555" w:type="dxa"/>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内      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016"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8555" w:type="dxa"/>
            <w:vAlign w:val="center"/>
          </w:tcPr>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采购人名称：</w:t>
            </w:r>
            <w:r>
              <w:rPr>
                <w:rFonts w:hint="eastAsia" w:ascii="仿宋" w:hAnsi="仿宋" w:eastAsia="仿宋" w:cs="仿宋"/>
                <w:sz w:val="24"/>
                <w:szCs w:val="24"/>
                <w:highlight w:val="none"/>
                <w:lang w:eastAsia="zh-CN"/>
              </w:rPr>
              <w:t>陕西省工业和信息化厅馆</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eastAsia="zh-CN"/>
              </w:rPr>
              <w:t>陕西省西安市新城区新城大院前大楼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016"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8555"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供应商（乙方）：</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016"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8555" w:type="dxa"/>
            <w:vAlign w:val="center"/>
          </w:tcPr>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服务期：</w:t>
            </w:r>
            <w:r>
              <w:rPr>
                <w:rFonts w:hint="eastAsia" w:ascii="仿宋_GB2312" w:hAnsi="仿宋_GB2312" w:eastAsia="仿宋_GB2312" w:cs="仿宋_GB2312"/>
                <w:sz w:val="24"/>
                <w:highlight w:val="none"/>
              </w:rPr>
              <w:t>合同签订之日起至20</w:t>
            </w:r>
            <w:r>
              <w:rPr>
                <w:rFonts w:hint="eastAsia" w:ascii="仿宋_GB2312" w:hAnsi="仿宋_GB2312" w:eastAsia="仿宋_GB2312" w:cs="仿宋_GB2312"/>
                <w:sz w:val="24"/>
                <w:highlight w:val="none"/>
                <w:lang w:val="en-US" w:eastAsia="zh-CN"/>
              </w:rPr>
              <w:t>22</w:t>
            </w:r>
            <w:r>
              <w:rPr>
                <w:rFonts w:hint="eastAsia" w:ascii="仿宋_GB2312" w:hAnsi="仿宋_GB2312" w:eastAsia="仿宋_GB2312" w:cs="仿宋_GB2312"/>
                <w:sz w:val="24"/>
                <w:highlight w:val="none"/>
              </w:rPr>
              <w:t>年</w:t>
            </w:r>
            <w:r>
              <w:rPr>
                <w:rFonts w:hint="eastAsia" w:ascii="仿宋" w:hAnsi="仿宋" w:eastAsia="仿宋"/>
                <w:color w:val="0D0D0D"/>
                <w:sz w:val="24"/>
                <w:szCs w:val="24"/>
                <w:highlight w:val="none"/>
              </w:rPr>
              <w:t>11月30日</w:t>
            </w:r>
            <w:r>
              <w:rPr>
                <w:rFonts w:hint="eastAsia" w:ascii="仿宋" w:hAnsi="仿宋" w:eastAsia="仿宋" w:cs="仿宋"/>
                <w:color w:val="auto"/>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016" w:type="dxa"/>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8555" w:type="dxa"/>
            <w:vAlign w:val="center"/>
          </w:tcPr>
          <w:p>
            <w:pPr>
              <w:spacing w:line="360" w:lineRule="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zh-CN" w:eastAsia="zh-CN"/>
              </w:rPr>
              <w:t>1）结算单位：银行转账，由采购人负责结算。在付款前，供应商必须开具与合同金额相应的发票给采购人，附详细清</w:t>
            </w:r>
            <w:r>
              <w:rPr>
                <w:rFonts w:hint="eastAsia" w:ascii="仿宋" w:hAnsi="仿宋" w:eastAsia="仿宋" w:cs="仿宋"/>
                <w:sz w:val="24"/>
                <w:szCs w:val="24"/>
                <w:highlight w:val="none"/>
                <w:lang w:val="en-US" w:eastAsia="zh-CN"/>
              </w:rPr>
              <w:t>单</w:t>
            </w:r>
            <w:r>
              <w:rPr>
                <w:rFonts w:hint="eastAsia" w:ascii="仿宋" w:hAnsi="仿宋" w:eastAsia="仿宋" w:cs="仿宋"/>
                <w:sz w:val="24"/>
                <w:szCs w:val="24"/>
                <w:highlight w:val="none"/>
                <w:lang w:val="zh-CN" w:eastAsia="zh-CN"/>
              </w:rPr>
              <w:t>。</w:t>
            </w:r>
          </w:p>
          <w:p>
            <w:pPr>
              <w:pStyle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highlight w:val="none"/>
                <w:lang w:val="zh-CN" w:eastAsia="zh-CN"/>
              </w:rPr>
              <w:t>（</w:t>
            </w:r>
            <w:r>
              <w:rPr>
                <w:rFonts w:hint="eastAsia" w:ascii="仿宋" w:hAnsi="仿宋" w:eastAsia="仿宋" w:cs="仿宋"/>
                <w:color w:val="auto"/>
                <w:kern w:val="2"/>
                <w:sz w:val="24"/>
                <w:szCs w:val="24"/>
                <w:highlight w:val="none"/>
                <w:lang w:val="en-US" w:eastAsia="zh-CN" w:bidi="ar-SA"/>
              </w:rPr>
              <w:t>2)付款方式:</w:t>
            </w:r>
          </w:p>
          <w:p>
            <w:pPr>
              <w:rPr>
                <w:rFonts w:hint="default"/>
                <w:highlight w:val="none"/>
                <w:lang w:val="en-US"/>
              </w:rPr>
            </w:pPr>
            <w:r>
              <w:rPr>
                <w:rFonts w:hint="eastAsia" w:ascii="仿宋" w:hAnsi="仿宋" w:eastAsia="仿宋" w:cs="仿宋"/>
                <w:color w:val="auto"/>
                <w:sz w:val="24"/>
                <w:szCs w:val="24"/>
                <w:highlight w:val="none"/>
              </w:rPr>
              <w:t>合同签订后，乙方向甲方开具合同金额的全额增值税专用发票，甲方收到发票后的15个工作日内支付全额款项（付款金额与合同金额一致）</w:t>
            </w:r>
            <w:r>
              <w:rPr>
                <w:rFonts w:hint="eastAsia" w:ascii="仿宋" w:hAnsi="仿宋" w:eastAsia="仿宋" w:cs="仿宋"/>
                <w:color w:val="auto"/>
                <w:kern w:val="2"/>
                <w:sz w:val="24"/>
                <w:szCs w:val="24"/>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577" w:hRule="atLeast"/>
          <w:jc w:val="center"/>
        </w:trPr>
        <w:tc>
          <w:tcPr>
            <w:tcW w:w="1016"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5</w:t>
            </w:r>
          </w:p>
        </w:tc>
        <w:tc>
          <w:tcPr>
            <w:tcW w:w="8555" w:type="dxa"/>
            <w:vAlign w:val="center"/>
          </w:tcPr>
          <w:p>
            <w:pPr>
              <w:keepNext w:val="0"/>
              <w:keepLines w:val="0"/>
              <w:pageBreakBefore w:val="0"/>
              <w:widowControl w:val="0"/>
              <w:kinsoku/>
              <w:wordWrap/>
              <w:overflowPunct/>
              <w:topLinePunct w:val="0"/>
              <w:bidi w:val="0"/>
              <w:snapToGrid/>
              <w:spacing w:line="360" w:lineRule="auto"/>
              <w:ind w:left="315"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违约责任：</w:t>
            </w:r>
          </w:p>
          <w:p>
            <w:pPr>
              <w:keepNext w:val="0"/>
              <w:keepLines w:val="0"/>
              <w:pageBreakBefore w:val="0"/>
              <w:widowControl w:val="0"/>
              <w:kinsoku/>
              <w:wordWrap/>
              <w:overflowPunct/>
              <w:topLinePunct w:val="0"/>
              <w:bidi w:val="0"/>
              <w:snapToGrid/>
              <w:spacing w:line="360" w:lineRule="auto"/>
              <w:ind w:left="315" w:hanging="360" w:hangingChars="15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（1）按《</w:t>
            </w:r>
            <w:r>
              <w:rPr>
                <w:rFonts w:hint="eastAsia" w:ascii="仿宋" w:hAnsi="仿宋" w:eastAsia="仿宋" w:cs="仿宋"/>
                <w:color w:val="auto"/>
                <w:sz w:val="24"/>
                <w:szCs w:val="24"/>
                <w:highlight w:val="none"/>
                <w:lang w:val="en-US" w:eastAsia="zh-CN"/>
              </w:rPr>
              <w:t>中华人民共和国民法典</w:t>
            </w:r>
            <w:r>
              <w:rPr>
                <w:rFonts w:hint="eastAsia" w:ascii="仿宋" w:hAnsi="仿宋" w:eastAsia="仿宋" w:cs="仿宋"/>
                <w:color w:val="auto"/>
                <w:sz w:val="24"/>
                <w:szCs w:val="24"/>
                <w:highlight w:val="none"/>
                <w:lang w:val="zh-CN"/>
              </w:rPr>
              <w:t>》中的相关条款执行。</w:t>
            </w:r>
          </w:p>
          <w:p>
            <w:pPr>
              <w:keepNext w:val="0"/>
              <w:keepLines w:val="0"/>
              <w:pageBreakBefore w:val="0"/>
              <w:widowControl w:val="0"/>
              <w:kinsoku/>
              <w:wordWrap/>
              <w:overflowPunct/>
              <w:topLinePunct w:val="0"/>
              <w:bidi w:val="0"/>
              <w:snapToGrid/>
              <w:spacing w:line="360" w:lineRule="auto"/>
              <w:ind w:left="315" w:hanging="360" w:hangingChars="15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（2）未按合同要求提供的服务，采购人会同招标组织机构有权终止合同和对供应商的违约行为进行追究。</w:t>
            </w:r>
          </w:p>
          <w:p>
            <w:pPr>
              <w:spacing w:line="360" w:lineRule="auto"/>
              <w:ind w:left="360" w:leftChars="0" w:hanging="360" w:hangingChars="150"/>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zh-CN"/>
              </w:rPr>
              <w:t>（3）乙方不能按期完成工作任务，乙方须按甲方已支付金额的双倍金额，返还于甲方，作为赔偿。</w:t>
            </w:r>
          </w:p>
        </w:tc>
      </w:tr>
    </w:tbl>
    <w:p>
      <w:pP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rPr>
          <w:rFonts w:hint="eastAsia" w:ascii="仿宋" w:hAnsi="仿宋" w:eastAsia="仿宋" w:cs="仿宋"/>
          <w:sz w:val="22"/>
          <w:szCs w:val="28"/>
          <w:highlight w:val="none"/>
        </w:rPr>
      </w:pPr>
    </w:p>
    <w:p>
      <w:p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政府采购合同                        合同编号：</w:t>
      </w:r>
    </w:p>
    <w:p>
      <w:pPr>
        <w:pStyle w:val="10"/>
        <w:rPr>
          <w:rFonts w:hint="eastAsia" w:ascii="仿宋" w:hAnsi="仿宋" w:eastAsia="仿宋" w:cs="仿宋"/>
          <w:b/>
          <w:bCs/>
          <w:color w:val="auto"/>
          <w:sz w:val="32"/>
          <w:szCs w:val="32"/>
          <w:highlight w:val="none"/>
          <w:lang w:val="en-US" w:eastAsia="zh-CN"/>
        </w:rPr>
      </w:pPr>
    </w:p>
    <w:p>
      <w:pPr>
        <w:pStyle w:val="10"/>
        <w:rPr>
          <w:rFonts w:hint="eastAsia" w:ascii="仿宋" w:hAnsi="仿宋" w:eastAsia="仿宋" w:cs="仿宋"/>
          <w:b/>
          <w:bCs/>
          <w:color w:val="auto"/>
          <w:sz w:val="32"/>
          <w:szCs w:val="32"/>
          <w:highlight w:val="none"/>
          <w:lang w:val="en-US" w:eastAsia="zh-CN"/>
        </w:rPr>
      </w:pPr>
    </w:p>
    <w:p>
      <w:pPr>
        <w:pStyle w:val="10"/>
        <w:rPr>
          <w:rFonts w:hint="eastAsia" w:ascii="仿宋" w:hAnsi="仿宋" w:eastAsia="仿宋" w:cs="仿宋"/>
          <w:color w:val="auto"/>
          <w:sz w:val="28"/>
          <w:szCs w:val="28"/>
          <w:highlight w:val="none"/>
        </w:rPr>
      </w:pPr>
    </w:p>
    <w:p>
      <w:pPr>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u w:val="single"/>
          <w:lang w:val="en-US" w:eastAsia="zh-CN"/>
        </w:rPr>
        <w:t xml:space="preserve">                           </w:t>
      </w:r>
      <w:r>
        <w:rPr>
          <w:rFonts w:hint="eastAsia" w:ascii="仿宋" w:hAnsi="仿宋" w:eastAsia="仿宋" w:cs="仿宋"/>
          <w:b/>
          <w:bCs/>
          <w:color w:val="auto"/>
          <w:sz w:val="48"/>
          <w:szCs w:val="48"/>
          <w:highlight w:val="none"/>
          <w:u w:val="none"/>
          <w:lang w:val="en-US" w:eastAsia="zh-CN"/>
        </w:rPr>
        <w:t>采购</w:t>
      </w:r>
      <w:r>
        <w:rPr>
          <w:rFonts w:hint="eastAsia" w:ascii="仿宋" w:hAnsi="仿宋" w:eastAsia="仿宋" w:cs="仿宋"/>
          <w:b/>
          <w:bCs/>
          <w:color w:val="auto"/>
          <w:sz w:val="48"/>
          <w:szCs w:val="48"/>
          <w:highlight w:val="none"/>
        </w:rPr>
        <w:t>项目</w:t>
      </w:r>
    </w:p>
    <w:p>
      <w:pPr>
        <w:rPr>
          <w:rFonts w:hint="eastAsia" w:ascii="仿宋" w:hAnsi="仿宋" w:eastAsia="仿宋" w:cs="仿宋"/>
          <w:color w:val="auto"/>
          <w:sz w:val="22"/>
          <w:szCs w:val="28"/>
          <w:highlight w:val="none"/>
        </w:rPr>
      </w:pPr>
    </w:p>
    <w:p>
      <w:pPr>
        <w:rPr>
          <w:rFonts w:hint="eastAsia" w:ascii="仿宋" w:hAnsi="仿宋" w:eastAsia="仿宋" w:cs="仿宋"/>
          <w:color w:val="auto"/>
          <w:sz w:val="22"/>
          <w:szCs w:val="28"/>
          <w:highlight w:val="none"/>
        </w:rPr>
      </w:pPr>
    </w:p>
    <w:p>
      <w:pPr>
        <w:pStyle w:val="10"/>
        <w:rPr>
          <w:rFonts w:hint="eastAsia" w:ascii="仿宋" w:hAnsi="仿宋" w:eastAsia="仿宋" w:cs="仿宋"/>
          <w:color w:val="auto"/>
          <w:sz w:val="28"/>
          <w:szCs w:val="28"/>
          <w:highlight w:val="none"/>
        </w:rPr>
      </w:pPr>
    </w:p>
    <w:p>
      <w:pPr>
        <w:pStyle w:val="10"/>
        <w:rPr>
          <w:rFonts w:hint="eastAsia" w:ascii="仿宋" w:hAnsi="仿宋" w:eastAsia="仿宋" w:cs="仿宋"/>
          <w:color w:val="auto"/>
          <w:sz w:val="28"/>
          <w:szCs w:val="28"/>
          <w:highlight w:val="none"/>
        </w:rPr>
      </w:pPr>
    </w:p>
    <w:p>
      <w:pPr>
        <w:rPr>
          <w:rFonts w:hint="eastAsia" w:ascii="仿宋" w:hAnsi="仿宋" w:eastAsia="仿宋" w:cs="仿宋"/>
          <w:color w:val="auto"/>
          <w:sz w:val="22"/>
          <w:szCs w:val="28"/>
          <w:highlight w:val="none"/>
        </w:rPr>
      </w:pPr>
    </w:p>
    <w:p>
      <w:pPr>
        <w:rPr>
          <w:rFonts w:hint="eastAsia" w:ascii="仿宋" w:hAnsi="仿宋" w:eastAsia="仿宋" w:cs="仿宋"/>
          <w:color w:val="auto"/>
          <w:sz w:val="22"/>
          <w:szCs w:val="28"/>
          <w:highlight w:val="none"/>
        </w:rPr>
      </w:pPr>
    </w:p>
    <w:p>
      <w:pPr>
        <w:jc w:val="center"/>
        <w:rPr>
          <w:rFonts w:hint="eastAsia" w:ascii="仿宋" w:hAnsi="仿宋" w:eastAsia="仿宋" w:cs="仿宋"/>
          <w:b/>
          <w:color w:val="auto"/>
          <w:sz w:val="40"/>
          <w:szCs w:val="40"/>
          <w:highlight w:val="none"/>
        </w:rPr>
      </w:pPr>
      <w:r>
        <w:rPr>
          <w:rFonts w:hint="eastAsia" w:ascii="仿宋" w:hAnsi="仿宋" w:eastAsia="仿宋" w:cs="仿宋"/>
          <w:b/>
          <w:color w:val="auto"/>
          <w:sz w:val="40"/>
          <w:szCs w:val="40"/>
          <w:highlight w:val="none"/>
        </w:rPr>
        <w:t>（示范文本</w:t>
      </w:r>
      <w:r>
        <w:rPr>
          <w:rFonts w:hint="eastAsia" w:ascii="仿宋" w:hAnsi="仿宋" w:eastAsia="仿宋" w:cs="仿宋"/>
          <w:b/>
          <w:color w:val="auto"/>
          <w:sz w:val="40"/>
          <w:szCs w:val="40"/>
          <w:highlight w:val="none"/>
          <w:lang w:val="en-US" w:eastAsia="zh-CN"/>
        </w:rPr>
        <w:t>仅供参考</w:t>
      </w:r>
      <w:r>
        <w:rPr>
          <w:rFonts w:hint="eastAsia" w:ascii="仿宋" w:hAnsi="仿宋" w:eastAsia="仿宋" w:cs="仿宋"/>
          <w:b/>
          <w:color w:val="auto"/>
          <w:sz w:val="40"/>
          <w:szCs w:val="40"/>
          <w:highlight w:val="none"/>
        </w:rPr>
        <w:t>）</w:t>
      </w: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spacing w:before="163" w:beforeLines="50" w:line="360" w:lineRule="auto"/>
        <w:rPr>
          <w:rFonts w:hint="eastAsia" w:ascii="仿宋" w:hAnsi="仿宋" w:eastAsia="仿宋" w:cs="仿宋"/>
          <w:bCs/>
          <w:color w:val="auto"/>
          <w:sz w:val="52"/>
          <w:szCs w:val="52"/>
          <w:highlight w:val="none"/>
        </w:rPr>
      </w:pPr>
    </w:p>
    <w:p>
      <w:pPr>
        <w:spacing w:before="163" w:beforeLines="50" w:line="360" w:lineRule="auto"/>
        <w:ind w:left="0" w:leftChars="0" w:firstLine="1782" w:firstLineChars="493"/>
        <w:jc w:val="left"/>
        <w:rPr>
          <w:rFonts w:hint="eastAsia" w:ascii="仿宋" w:hAnsi="仿宋" w:eastAsia="仿宋" w:cs="仿宋"/>
          <w:b w:val="0"/>
          <w:bCs w:val="0"/>
          <w:color w:val="auto"/>
          <w:sz w:val="36"/>
          <w:szCs w:val="36"/>
          <w:highlight w:val="none"/>
          <w:u w:val="single"/>
          <w:lang w:val="en-US" w:eastAsia="zh-CN"/>
        </w:rPr>
      </w:pPr>
      <w:r>
        <w:rPr>
          <w:rFonts w:hint="eastAsia" w:ascii="仿宋" w:hAnsi="仿宋" w:eastAsia="仿宋" w:cs="仿宋"/>
          <w:b/>
          <w:bCs/>
          <w:color w:val="auto"/>
          <w:sz w:val="36"/>
          <w:szCs w:val="36"/>
          <w:highlight w:val="none"/>
          <w:lang w:val="en-US" w:eastAsia="zh-CN"/>
        </w:rPr>
        <w:t>采购人：</w:t>
      </w:r>
      <w:r>
        <w:rPr>
          <w:rFonts w:hint="eastAsia" w:ascii="仿宋" w:hAnsi="仿宋" w:eastAsia="仿宋" w:cs="仿宋"/>
          <w:b w:val="0"/>
          <w:bCs w:val="0"/>
          <w:color w:val="auto"/>
          <w:sz w:val="36"/>
          <w:szCs w:val="36"/>
          <w:highlight w:val="none"/>
          <w:u w:val="single"/>
          <w:lang w:val="en-US" w:eastAsia="zh-CN"/>
        </w:rPr>
        <w:t xml:space="preserve">                     </w:t>
      </w:r>
    </w:p>
    <w:p>
      <w:pPr>
        <w:spacing w:before="163" w:beforeLines="50" w:line="360" w:lineRule="auto"/>
        <w:ind w:left="0" w:leftChars="0" w:firstLine="1782" w:firstLineChars="493"/>
        <w:jc w:val="left"/>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供应商：</w:t>
      </w:r>
      <w:r>
        <w:rPr>
          <w:rFonts w:hint="eastAsia" w:ascii="仿宋" w:hAnsi="仿宋" w:eastAsia="仿宋" w:cs="仿宋"/>
          <w:b w:val="0"/>
          <w:bCs w:val="0"/>
          <w:color w:val="auto"/>
          <w:sz w:val="36"/>
          <w:szCs w:val="36"/>
          <w:highlight w:val="none"/>
          <w:u w:val="single"/>
          <w:lang w:val="en-US" w:eastAsia="zh-CN"/>
        </w:rPr>
        <w:t xml:space="preserve">                     </w:t>
      </w:r>
      <w:r>
        <w:rPr>
          <w:rFonts w:hint="eastAsia" w:ascii="仿宋" w:hAnsi="仿宋" w:eastAsia="仿宋" w:cs="仿宋"/>
          <w:b w:val="0"/>
          <w:bCs w:val="0"/>
          <w:color w:val="auto"/>
          <w:sz w:val="36"/>
          <w:szCs w:val="36"/>
          <w:highlight w:val="none"/>
          <w:lang w:val="en-US" w:eastAsia="zh-CN"/>
        </w:rPr>
        <w:t xml:space="preserve">  </w:t>
      </w:r>
      <w:r>
        <w:rPr>
          <w:rFonts w:hint="eastAsia" w:ascii="仿宋" w:hAnsi="仿宋" w:eastAsia="仿宋" w:cs="仿宋"/>
          <w:b/>
          <w:bCs/>
          <w:color w:val="auto"/>
          <w:sz w:val="36"/>
          <w:szCs w:val="36"/>
          <w:highlight w:val="none"/>
          <w:lang w:val="en-US" w:eastAsia="zh-CN"/>
        </w:rPr>
        <w:t xml:space="preserve">        </w:t>
      </w:r>
    </w:p>
    <w:p>
      <w:pPr>
        <w:pStyle w:val="10"/>
        <w:jc w:val="center"/>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36"/>
          <w:szCs w:val="36"/>
          <w:highlight w:val="none"/>
          <w:lang w:val="en-US" w:eastAsia="zh-CN"/>
        </w:rPr>
        <w:t>二〇二二年五月</w:t>
      </w:r>
      <w:r>
        <w:rPr>
          <w:rFonts w:hint="eastAsia" w:ascii="仿宋" w:hAnsi="仿宋" w:eastAsia="仿宋" w:cs="仿宋"/>
          <w:b/>
          <w:bCs/>
          <w:color w:val="auto"/>
          <w:sz w:val="40"/>
          <w:szCs w:val="40"/>
          <w:highlight w:val="none"/>
        </w:rPr>
        <w:br w:type="page"/>
      </w:r>
    </w:p>
    <w:p>
      <w:pPr>
        <w:spacing w:before="163" w:beforeLines="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第一部分  协议书</w:t>
      </w:r>
    </w:p>
    <w:p>
      <w:pPr>
        <w:keepNext w:val="0"/>
        <w:keepLines w:val="0"/>
        <w:pageBreakBefore w:val="0"/>
        <w:kinsoku/>
        <w:wordWrap/>
        <w:overflowPunct/>
        <w:topLinePunct w:val="0"/>
        <w:autoSpaceDE w:val="0"/>
        <w:autoSpaceDN w:val="0"/>
        <w:bidi w:val="0"/>
        <w:adjustRightInd w:val="0"/>
        <w:spacing w:line="360" w:lineRule="auto"/>
        <w:ind w:firstLine="480" w:firstLineChars="200"/>
        <w:jc w:val="both"/>
        <w:textAlignment w:val="auto"/>
        <w:rPr>
          <w:rFonts w:hint="eastAsia" w:ascii="仿宋" w:hAnsi="仿宋" w:eastAsia="仿宋" w:cs="仿宋"/>
          <w:sz w:val="24"/>
          <w:szCs w:val="24"/>
          <w:highlight w:val="none"/>
          <w:u w:val="single"/>
        </w:rPr>
      </w:pPr>
      <w:bookmarkStart w:id="78" w:name="_Toc23166"/>
      <w:bookmarkStart w:id="79" w:name="_Toc27511"/>
      <w:r>
        <w:rPr>
          <w:rFonts w:hint="eastAsia" w:ascii="仿宋" w:hAnsi="仿宋" w:eastAsia="仿宋" w:cs="仿宋"/>
          <w:bCs/>
          <w:sz w:val="24"/>
          <w:szCs w:val="24"/>
          <w:highlight w:val="none"/>
        </w:rPr>
        <w:t>甲方（采购人）：</w:t>
      </w:r>
      <w:r>
        <w:rPr>
          <w:rFonts w:hint="eastAsia" w:ascii="仿宋" w:hAnsi="仿宋" w:eastAsia="仿宋" w:cs="仿宋"/>
          <w:bCs/>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bCs/>
          <w:sz w:val="24"/>
          <w:szCs w:val="24"/>
          <w:highlight w:val="none"/>
          <w:u w:val="single"/>
        </w:rPr>
        <w:t xml:space="preserve">         </w:t>
      </w:r>
    </w:p>
    <w:p>
      <w:pPr>
        <w:keepNext w:val="0"/>
        <w:keepLines w:val="0"/>
        <w:pageBreakBefore w:val="0"/>
        <w:kinsoku/>
        <w:wordWrap/>
        <w:overflowPunct/>
        <w:topLinePunct w:val="0"/>
        <w:autoSpaceDE w:val="0"/>
        <w:autoSpaceDN w:val="0"/>
        <w:bidi w:val="0"/>
        <w:adjustRightInd w:val="0"/>
        <w:spacing w:line="360" w:lineRule="auto"/>
        <w:ind w:firstLine="480" w:firstLineChars="200"/>
        <w:jc w:val="both"/>
        <w:textAlignment w:val="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乙方（成交供应商）：</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rPr>
        <w:t xml:space="preserve"> </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bCs/>
          <w:sz w:val="24"/>
          <w:szCs w:val="24"/>
          <w:highlight w:val="none"/>
        </w:rPr>
      </w:pPr>
      <w:r>
        <w:rPr>
          <w:rFonts w:hint="eastAsia" w:ascii="仿宋" w:hAnsi="仿宋" w:eastAsia="仿宋" w:cs="仿宋"/>
          <w:sz w:val="24"/>
          <w:szCs w:val="24"/>
          <w:highlight w:val="none"/>
          <w:u w:val="single"/>
          <w:lang w:eastAsia="zh-CN"/>
        </w:rPr>
        <w:t>陕西省工业和信息化厅2022年“一带一路”汽车产业发展国际论坛项目</w:t>
      </w:r>
      <w:r>
        <w:rPr>
          <w:rFonts w:hint="eastAsia" w:ascii="仿宋" w:hAnsi="仿宋" w:eastAsia="仿宋" w:cs="仿宋"/>
          <w:bCs/>
          <w:sz w:val="24"/>
          <w:szCs w:val="24"/>
          <w:highlight w:val="none"/>
        </w:rPr>
        <w:t>由</w:t>
      </w:r>
      <w:r>
        <w:rPr>
          <w:rFonts w:hint="eastAsia" w:ascii="仿宋" w:hAnsi="仿宋" w:eastAsia="仿宋" w:cs="仿宋"/>
          <w:bCs/>
          <w:sz w:val="24"/>
          <w:szCs w:val="24"/>
          <w:highlight w:val="none"/>
          <w:lang w:eastAsia="zh-CN"/>
        </w:rPr>
        <w:t>陕西德仁招标有限公司</w:t>
      </w:r>
      <w:r>
        <w:rPr>
          <w:rFonts w:hint="eastAsia" w:ascii="仿宋" w:hAnsi="仿宋" w:eastAsia="仿宋" w:cs="仿宋"/>
          <w:bCs/>
          <w:sz w:val="24"/>
          <w:szCs w:val="24"/>
          <w:highlight w:val="none"/>
        </w:rPr>
        <w:t>组织竞争性磋商，</w:t>
      </w:r>
      <w:r>
        <w:rPr>
          <w:rFonts w:hint="eastAsia" w:ascii="仿宋" w:hAnsi="仿宋" w:eastAsia="仿宋" w:cs="仿宋"/>
          <w:bCs/>
          <w:sz w:val="24"/>
          <w:szCs w:val="24"/>
          <w:highlight w:val="none"/>
          <w:u w:val="single"/>
          <w:lang w:val="en-US" w:eastAsia="zh-CN"/>
        </w:rPr>
        <w:t xml:space="preserve">               </w:t>
      </w:r>
      <w:r>
        <w:rPr>
          <w:rFonts w:hint="eastAsia" w:ascii="仿宋" w:hAnsi="仿宋" w:eastAsia="仿宋" w:cs="仿宋"/>
          <w:bCs/>
          <w:sz w:val="24"/>
          <w:szCs w:val="24"/>
          <w:highlight w:val="none"/>
        </w:rPr>
        <w:t>(以下简称“甲方”)确定</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u w:val="single"/>
          <w:lang w:val="en-US" w:eastAsia="zh-CN"/>
        </w:rPr>
        <w:t xml:space="preserve">          </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rPr>
        <w:t>（以下简称“乙方”）为</w:t>
      </w:r>
      <w:r>
        <w:rPr>
          <w:rFonts w:hint="eastAsia" w:ascii="仿宋" w:hAnsi="仿宋" w:eastAsia="仿宋" w:cs="仿宋"/>
          <w:bCs/>
          <w:sz w:val="24"/>
          <w:szCs w:val="24"/>
          <w:highlight w:val="none"/>
          <w:lang w:val="en-US" w:eastAsia="zh-CN"/>
        </w:rPr>
        <w:t>该项目的</w:t>
      </w:r>
      <w:r>
        <w:rPr>
          <w:rFonts w:hint="eastAsia" w:ascii="仿宋" w:hAnsi="仿宋" w:eastAsia="仿宋" w:cs="仿宋"/>
          <w:bCs/>
          <w:sz w:val="24"/>
          <w:szCs w:val="24"/>
          <w:highlight w:val="none"/>
        </w:rPr>
        <w:t>成交供应商。</w:t>
      </w:r>
    </w:p>
    <w:p>
      <w:pPr>
        <w:autoSpaceDE w:val="0"/>
        <w:autoSpaceDN w:val="0"/>
        <w:adjustRightInd w:val="0"/>
        <w:snapToGrid w:val="0"/>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依据《中华人民共和国</w:t>
      </w:r>
      <w:r>
        <w:rPr>
          <w:rFonts w:hint="eastAsia" w:ascii="仿宋" w:hAnsi="仿宋" w:eastAsia="仿宋" w:cs="仿宋"/>
          <w:bCs/>
          <w:sz w:val="24"/>
          <w:szCs w:val="24"/>
          <w:highlight w:val="none"/>
          <w:lang w:val="en-US" w:eastAsia="zh-CN"/>
        </w:rPr>
        <w:t>民法典</w:t>
      </w:r>
      <w:r>
        <w:rPr>
          <w:rFonts w:hint="eastAsia" w:ascii="仿宋" w:hAnsi="仿宋" w:eastAsia="仿宋" w:cs="仿宋"/>
          <w:bCs/>
          <w:sz w:val="24"/>
          <w:szCs w:val="24"/>
          <w:highlight w:val="none"/>
        </w:rPr>
        <w:t>》和《中华人民共和国政府采购法》之规定，经双方在平等、自愿、互利的基础上，签订本合同，共同信守。</w:t>
      </w:r>
    </w:p>
    <w:p>
      <w:pPr>
        <w:spacing w:line="360" w:lineRule="auto"/>
        <w:ind w:firstLine="482" w:firstLineChars="200"/>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rPr>
        <w:t>第一条   服务项目事项</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本合同期限内，乙方应为甲方提供如下服务：</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                                                      ；</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                                                      ；</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3、                                                      ；                  </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4、                                                     </w:t>
      </w:r>
      <w:r>
        <w:rPr>
          <w:rFonts w:hint="eastAsia" w:ascii="仿宋_GB2312" w:hAnsi="仿宋_GB2312" w:eastAsia="仿宋_GB2312" w:cs="仿宋_GB2312"/>
          <w:sz w:val="24"/>
          <w:highlight w:val="none"/>
        </w:rPr>
        <w:t xml:space="preserve"> 。</w:t>
      </w:r>
    </w:p>
    <w:p>
      <w:pPr>
        <w:spacing w:line="360" w:lineRule="auto"/>
        <w:ind w:firstLine="482" w:firstLineChars="200"/>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lang w:val="en-US" w:eastAsia="zh-CN"/>
        </w:rPr>
        <w:t xml:space="preserve">第二条    </w:t>
      </w:r>
      <w:r>
        <w:rPr>
          <w:rFonts w:hint="eastAsia" w:ascii="仿宋" w:hAnsi="仿宋" w:eastAsia="仿宋" w:cs="仿宋"/>
          <w:b/>
          <w:bCs w:val="0"/>
          <w:sz w:val="24"/>
          <w:szCs w:val="24"/>
          <w:highlight w:val="none"/>
          <w:lang w:eastAsia="zh-CN"/>
        </w:rPr>
        <w:t>服务期限</w:t>
      </w:r>
    </w:p>
    <w:p>
      <w:pPr>
        <w:spacing w:line="360" w:lineRule="auto"/>
        <w:ind w:firstLine="480" w:firstLineChars="200"/>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eastAsia="zh-CN"/>
        </w:rPr>
        <w:t>服务期限</w:t>
      </w:r>
      <w:r>
        <w:rPr>
          <w:rFonts w:hint="eastAsia" w:ascii="仿宋" w:hAnsi="仿宋" w:eastAsia="仿宋" w:cs="仿宋"/>
          <w:b w:val="0"/>
          <w:bCs/>
          <w:sz w:val="24"/>
          <w:szCs w:val="24"/>
          <w:highlight w:val="none"/>
        </w:rPr>
        <w:t>：</w:t>
      </w:r>
      <w:r>
        <w:rPr>
          <w:rFonts w:hint="eastAsia" w:ascii="仿宋_GB2312" w:hAnsi="仿宋_GB2312" w:eastAsia="仿宋_GB2312" w:cs="仿宋_GB2312"/>
          <w:sz w:val="24"/>
          <w:highlight w:val="none"/>
        </w:rPr>
        <w:t>合同签订之日起至20</w:t>
      </w:r>
      <w:r>
        <w:rPr>
          <w:rFonts w:hint="eastAsia" w:ascii="仿宋_GB2312" w:hAnsi="仿宋_GB2312" w:eastAsia="仿宋_GB2312" w:cs="仿宋_GB2312"/>
          <w:sz w:val="24"/>
          <w:highlight w:val="none"/>
          <w:lang w:val="en-US" w:eastAsia="zh-CN"/>
        </w:rPr>
        <w:t>22</w:t>
      </w:r>
      <w:r>
        <w:rPr>
          <w:rFonts w:hint="eastAsia" w:ascii="仿宋_GB2312" w:hAnsi="仿宋_GB2312" w:eastAsia="仿宋_GB2312" w:cs="仿宋_GB2312"/>
          <w:sz w:val="24"/>
          <w:highlight w:val="none"/>
        </w:rPr>
        <w:t>年</w:t>
      </w:r>
      <w:r>
        <w:rPr>
          <w:rFonts w:hint="eastAsia" w:ascii="仿宋" w:hAnsi="仿宋" w:eastAsia="仿宋"/>
          <w:color w:val="0D0D0D"/>
          <w:sz w:val="24"/>
          <w:szCs w:val="24"/>
          <w:highlight w:val="none"/>
        </w:rPr>
        <w:t>11月30日</w:t>
      </w:r>
      <w:r>
        <w:rPr>
          <w:rFonts w:hint="eastAsia" w:ascii="仿宋" w:hAnsi="仿宋" w:eastAsia="仿宋" w:cs="仿宋"/>
          <w:kern w:val="0"/>
          <w:sz w:val="24"/>
          <w:szCs w:val="24"/>
          <w:highlight w:val="none"/>
          <w:lang w:val="en-US" w:eastAsia="zh-CN" w:bidi="ar-SA"/>
        </w:rPr>
        <w:t>。</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 xml:space="preserve">第三条    </w:t>
      </w:r>
      <w:r>
        <w:rPr>
          <w:rFonts w:hint="eastAsia" w:ascii="仿宋" w:hAnsi="仿宋" w:eastAsia="仿宋" w:cs="仿宋"/>
          <w:b/>
          <w:sz w:val="24"/>
          <w:szCs w:val="24"/>
          <w:highlight w:val="none"/>
        </w:rPr>
        <w:t>款项结算</w:t>
      </w:r>
    </w:p>
    <w:p>
      <w:pPr>
        <w:spacing w:line="360" w:lineRule="auto"/>
        <w:ind w:firstLine="480" w:firstLineChars="20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zh-CN" w:eastAsia="zh-CN"/>
        </w:rPr>
        <w:t>1）结算单位：银行转账，由采购人负责结算。在付款前，供应商必须开具与合同金额相应的发票给采购人，附详细清</w:t>
      </w:r>
      <w:r>
        <w:rPr>
          <w:rFonts w:hint="eastAsia" w:ascii="仿宋" w:hAnsi="仿宋" w:eastAsia="仿宋" w:cs="仿宋"/>
          <w:sz w:val="24"/>
          <w:szCs w:val="24"/>
          <w:highlight w:val="none"/>
          <w:lang w:val="en-US" w:eastAsia="zh-CN"/>
        </w:rPr>
        <w:t>单</w:t>
      </w:r>
      <w:r>
        <w:rPr>
          <w:rFonts w:hint="eastAsia" w:ascii="仿宋" w:hAnsi="仿宋" w:eastAsia="仿宋" w:cs="仿宋"/>
          <w:sz w:val="24"/>
          <w:szCs w:val="24"/>
          <w:highlight w:val="none"/>
          <w:lang w:val="zh-CN" w:eastAsia="zh-CN"/>
        </w:rPr>
        <w:t>。</w:t>
      </w:r>
    </w:p>
    <w:p>
      <w:pPr>
        <w:pStyle w:val="9"/>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highlight w:val="none"/>
          <w:lang w:val="zh-CN" w:eastAsia="zh-CN"/>
        </w:rPr>
        <w:t>（</w:t>
      </w:r>
      <w:r>
        <w:rPr>
          <w:rFonts w:hint="eastAsia" w:ascii="仿宋" w:hAnsi="仿宋" w:eastAsia="仿宋" w:cs="仿宋"/>
          <w:color w:val="auto"/>
          <w:kern w:val="2"/>
          <w:sz w:val="24"/>
          <w:szCs w:val="24"/>
          <w:highlight w:val="none"/>
          <w:lang w:val="en-US" w:eastAsia="zh-CN" w:bidi="ar-SA"/>
        </w:rPr>
        <w:t>2)付款方式:</w:t>
      </w:r>
    </w:p>
    <w:p>
      <w:pPr>
        <w:spacing w:line="360" w:lineRule="auto"/>
        <w:ind w:firstLine="480" w:firstLineChars="200"/>
        <w:rPr>
          <w:rFonts w:hint="eastAsia" w:ascii="仿宋" w:hAnsi="仿宋" w:eastAsia="仿宋" w:cs="仿宋"/>
          <w:b w:val="0"/>
          <w:bCs/>
          <w:sz w:val="24"/>
          <w:szCs w:val="24"/>
          <w:highlight w:val="none"/>
        </w:rPr>
      </w:pPr>
      <w:r>
        <w:rPr>
          <w:rFonts w:hint="eastAsia" w:ascii="仿宋" w:hAnsi="仿宋" w:eastAsia="仿宋" w:cs="仿宋"/>
          <w:color w:val="auto"/>
          <w:sz w:val="24"/>
          <w:szCs w:val="24"/>
          <w:highlight w:val="none"/>
        </w:rPr>
        <w:t>合同签订后，乙方向甲方开具合同金额的全额增值税专用发票，甲方收到发票后的15个工作日内支付全额款项（付款金额与合同金额一致）</w:t>
      </w:r>
      <w:r>
        <w:rPr>
          <w:rFonts w:hint="eastAsia" w:ascii="仿宋" w:hAnsi="仿宋" w:eastAsia="仿宋" w:cs="仿宋"/>
          <w:color w:val="auto"/>
          <w:kern w:val="2"/>
          <w:sz w:val="24"/>
          <w:szCs w:val="24"/>
          <w:highlight w:val="none"/>
          <w:lang w:val="en-US" w:eastAsia="zh-CN" w:bidi="ar-SA"/>
        </w:rPr>
        <w:t>。</w:t>
      </w:r>
    </w:p>
    <w:p>
      <w:pPr>
        <w:spacing w:line="360" w:lineRule="auto"/>
        <w:ind w:firstLine="482" w:firstLineChars="200"/>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lang w:val="en-US" w:eastAsia="zh-CN"/>
        </w:rPr>
        <w:t>第四条</w:t>
      </w:r>
      <w:r>
        <w:rPr>
          <w:rFonts w:hint="eastAsia" w:ascii="仿宋" w:hAnsi="仿宋" w:eastAsia="仿宋" w:cs="仿宋"/>
          <w:b/>
          <w:bCs w:val="0"/>
          <w:sz w:val="24"/>
          <w:szCs w:val="24"/>
          <w:highlight w:val="none"/>
        </w:rPr>
        <w:t xml:space="preserve"> </w:t>
      </w:r>
      <w:r>
        <w:rPr>
          <w:rFonts w:hint="eastAsia" w:ascii="仿宋" w:hAnsi="仿宋" w:eastAsia="仿宋" w:cs="仿宋"/>
          <w:b/>
          <w:bCs w:val="0"/>
          <w:sz w:val="24"/>
          <w:szCs w:val="24"/>
          <w:highlight w:val="none"/>
          <w:lang w:val="en-US" w:eastAsia="zh-CN"/>
        </w:rPr>
        <w:t xml:space="preserve">  </w:t>
      </w:r>
      <w:r>
        <w:rPr>
          <w:rFonts w:hint="eastAsia" w:ascii="仿宋" w:hAnsi="仿宋" w:eastAsia="仿宋" w:cs="仿宋"/>
          <w:b/>
          <w:bCs w:val="0"/>
          <w:sz w:val="24"/>
          <w:szCs w:val="24"/>
          <w:highlight w:val="none"/>
        </w:rPr>
        <w:t xml:space="preserve">甲方的权利及义务 </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甲方有权要求乙方按照本合同约定提供各项服务。</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甲方有权对乙方提供各项服务的情况进行监督和检查。</w:t>
      </w:r>
    </w:p>
    <w:p>
      <w:pPr>
        <w:adjustRightInd w:val="0"/>
        <w:snapToGrid w:val="0"/>
        <w:spacing w:line="360" w:lineRule="auto"/>
        <w:ind w:firstLine="480" w:firstLineChars="200"/>
        <w:rPr>
          <w:rFonts w:hint="eastAsia" w:ascii="仿宋_GB2312" w:hAnsi="仿宋_GB2312" w:eastAsia="仿宋_GB2312" w:cs="仿宋_GB2312"/>
          <w:b/>
          <w:bCs/>
          <w:sz w:val="24"/>
          <w:highlight w:val="none"/>
        </w:rPr>
      </w:pPr>
      <w:r>
        <w:rPr>
          <w:rFonts w:hint="eastAsia" w:ascii="仿宋_GB2312" w:hAnsi="仿宋_GB2312" w:eastAsia="仿宋_GB2312" w:cs="仿宋_GB2312"/>
          <w:sz w:val="24"/>
          <w:highlight w:val="none"/>
        </w:rPr>
        <w:t>甲方应按照本合同约定向乙方支付服务费。</w:t>
      </w:r>
    </w:p>
    <w:p>
      <w:pPr>
        <w:spacing w:line="360" w:lineRule="auto"/>
        <w:ind w:firstLine="482" w:firstLineChars="200"/>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lang w:val="en-US" w:eastAsia="zh-CN"/>
        </w:rPr>
        <w:t xml:space="preserve">第五条   </w:t>
      </w:r>
      <w:r>
        <w:rPr>
          <w:rFonts w:hint="eastAsia" w:ascii="仿宋" w:hAnsi="仿宋" w:eastAsia="仿宋" w:cs="仿宋"/>
          <w:b/>
          <w:bCs w:val="0"/>
          <w:sz w:val="24"/>
          <w:szCs w:val="24"/>
          <w:highlight w:val="none"/>
        </w:rPr>
        <w:t>乙方的权利及义务</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乙方应按照本合同约定向甲方提供各项服务，确保服务质量符合本合同约定或甲方要求；如因乙方提供服务质量不合格给甲方造成损失的，乙方应予赔偿。</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如确有需要，乙方可以选择第三方提供优于自身能及的协作服务，但是外协费用比例不得超过项目费用总额的30％。</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乙方保证其向甲方提供的服务不存在任何侵犯第三方著作权、商标权、专利权等合法权益的情形，否则乙方应赔偿因此给甲方造成的全部损失。</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乙方有义务配合甲方或相关单位根据工作需要，对其提供服务情况及项目服务费支出、使用情况进行的监督和检查，出现问题的应及时整改。</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乙方应保证为甲方提供服务的员工具备提供本合同项下服务所需的相应资质和许可，并保证乙方人员在为甲方提供服务的过程中，严格遵守甲方的各项规定、服从甲方安排。</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如因乙方人员原因，给甲方或第三方造成人员人身伤害或财产损失的，乙方应承担赔偿责任。</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未经甲方的书面许可，乙方不得以任何形式将其在本合同项下的权利义务转让给任何第三方。</w:t>
      </w:r>
    </w:p>
    <w:p>
      <w:pPr>
        <w:spacing w:line="360" w:lineRule="auto"/>
        <w:ind w:firstLine="482" w:firstLineChars="200"/>
        <w:jc w:val="left"/>
        <w:rPr>
          <w:rFonts w:hint="eastAsia" w:ascii="仿宋" w:hAnsi="仿宋" w:eastAsia="仿宋" w:cs="仿宋"/>
          <w:b w:val="0"/>
          <w:bCs/>
          <w:sz w:val="24"/>
          <w:szCs w:val="24"/>
          <w:highlight w:val="none"/>
        </w:rPr>
      </w:pPr>
      <w:r>
        <w:rPr>
          <w:rFonts w:hint="eastAsia" w:ascii="仿宋" w:hAnsi="仿宋" w:eastAsia="仿宋" w:cs="仿宋"/>
          <w:b/>
          <w:bCs w:val="0"/>
          <w:sz w:val="24"/>
          <w:szCs w:val="24"/>
          <w:highlight w:val="none"/>
          <w:lang w:val="en-US" w:eastAsia="zh-CN"/>
        </w:rPr>
        <w:t xml:space="preserve">第六条   </w:t>
      </w:r>
      <w:r>
        <w:rPr>
          <w:rFonts w:hint="eastAsia" w:ascii="仿宋" w:hAnsi="仿宋" w:eastAsia="仿宋" w:cs="仿宋"/>
          <w:b/>
          <w:bCs w:val="0"/>
          <w:sz w:val="24"/>
          <w:szCs w:val="24"/>
          <w:highlight w:val="none"/>
        </w:rPr>
        <w:t>合同终止或解除</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甲乙双方均应全面履行本合同，任何一方不履行或不按约定履行均构成违约，违约方应赔偿因此给对方造成的全部损失。</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乙方未按照本合同约定期限向甲方提供服务的，每迟延一日应向甲方支付本合同项下服务费总额</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%的违约金；迟延</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日以上仍未提供服务的，甲方有权解除本合同，乙方应返还甲方已经支付的全部款项，并向甲方支付服务费总额</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%的违约金。</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提供服务不符合本合同约定标准或甲方要求的，乙方应当在甲方规定的期限内进行返工、修改，并重新提交甲方验收；如乙方提供的服务经二次验收仍未通过甲方验收或乙方拒绝按照甲方要求进行返工、修改的，甲方有权解除本合同，乙方应返还甲方已经支付的全部款项，并向甲方支付服务费总额</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%的违约金。</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乙方未按照本合同约定提供专业技术人员团队，或擅自更换人员的，经甲方通知后，应及时予以改正，经甲方通知后仍不改正的或上述情况累计发生</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次以上的，甲方有权解除合同，如因此给甲方造成损失的，由乙方承担全部赔偿责任。</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乙方不接受甲方和相关审计部门对本项目进行监督检查的，或经检查发现存在违法违规情况的，按照国家和本市有关规定处理。</w:t>
      </w:r>
    </w:p>
    <w:p>
      <w:pPr>
        <w:adjustRightInd w:val="0"/>
        <w:snapToGrid w:val="0"/>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甲方未按本合同约定向乙方支付服务费的，每迟延一日，应向乙方支付拖欠款项 </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 xml:space="preserve">   %的违约金。</w:t>
      </w:r>
    </w:p>
    <w:p>
      <w:pPr>
        <w:spacing w:line="360" w:lineRule="auto"/>
        <w:ind w:firstLine="482" w:firstLineChars="200"/>
        <w:jc w:val="left"/>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lang w:val="en-US" w:eastAsia="zh-CN"/>
        </w:rPr>
        <w:t xml:space="preserve">第七条   </w:t>
      </w:r>
      <w:r>
        <w:rPr>
          <w:rFonts w:hint="eastAsia" w:ascii="仿宋" w:hAnsi="仿宋" w:eastAsia="仿宋" w:cs="仿宋"/>
          <w:b/>
          <w:bCs w:val="0"/>
          <w:sz w:val="24"/>
          <w:szCs w:val="24"/>
          <w:highlight w:val="none"/>
        </w:rPr>
        <w:t>不可抗力</w:t>
      </w:r>
    </w:p>
    <w:p>
      <w:pPr>
        <w:spacing w:line="360" w:lineRule="auto"/>
        <w:ind w:firstLine="480" w:firstLineChars="200"/>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由于发生不可抗力事件而导致本合同不能继续履行的。双方应及时会商，并在提供相关证明文件后，本合同可提前终止，双方互不承担责任。</w:t>
      </w:r>
    </w:p>
    <w:p>
      <w:pPr>
        <w:spacing w:line="360" w:lineRule="auto"/>
        <w:ind w:firstLine="482" w:firstLineChars="200"/>
        <w:jc w:val="left"/>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rPr>
        <w:t>第八条   项目联系人</w:t>
      </w:r>
    </w:p>
    <w:p>
      <w:pPr>
        <w:spacing w:line="360" w:lineRule="auto"/>
        <w:ind w:firstLine="480" w:firstLineChars="200"/>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在本合同有限期内，甲乙双方需指定项目联系人，项目联系人承担以下责任：</w:t>
      </w:r>
    </w:p>
    <w:p>
      <w:pPr>
        <w:spacing w:line="360" w:lineRule="auto"/>
        <w:ind w:firstLine="480" w:firstLineChars="200"/>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1、负责双方的联络工作。</w:t>
      </w:r>
    </w:p>
    <w:p>
      <w:pPr>
        <w:spacing w:line="360" w:lineRule="auto"/>
        <w:ind w:firstLine="480" w:firstLineChars="200"/>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2、负责完成合同所需条件的准备工作。</w:t>
      </w:r>
    </w:p>
    <w:p>
      <w:pPr>
        <w:spacing w:line="360" w:lineRule="auto"/>
        <w:ind w:firstLine="480" w:firstLineChars="200"/>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3、负责合同执行过程中双方相关事物的处理，并定期就执行过程中遇到的问题进行沟通，就沟通内容形成纪要。</w:t>
      </w:r>
    </w:p>
    <w:p>
      <w:pPr>
        <w:spacing w:line="360" w:lineRule="auto"/>
        <w:ind w:firstLine="480" w:firstLineChars="200"/>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4、负责合同审阅验收、付款等工作。</w:t>
      </w:r>
    </w:p>
    <w:p>
      <w:pPr>
        <w:snapToGrid w:val="0"/>
        <w:spacing w:line="360" w:lineRule="auto"/>
        <w:ind w:firstLine="482" w:firstLineChars="200"/>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lang w:val="en-US" w:eastAsia="zh-CN"/>
        </w:rPr>
        <w:t xml:space="preserve">第九条    </w:t>
      </w:r>
      <w:r>
        <w:rPr>
          <w:rFonts w:hint="eastAsia" w:ascii="仿宋" w:hAnsi="仿宋" w:eastAsia="仿宋" w:cs="仿宋"/>
          <w:b/>
          <w:bCs w:val="0"/>
          <w:sz w:val="24"/>
          <w:szCs w:val="24"/>
          <w:highlight w:val="none"/>
        </w:rPr>
        <w:t>其他事项</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（一）乙方不得转让、分包给其它单位或个人。</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（二）乙方的</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和承诺等内容将列入合同。</w:t>
      </w:r>
    </w:p>
    <w:p>
      <w:pPr>
        <w:keepNext w:val="0"/>
        <w:keepLines w:val="0"/>
        <w:pageBreakBefore w:val="0"/>
        <w:kinsoku/>
        <w:wordWrap/>
        <w:overflowPunct/>
        <w:topLinePunct w:val="0"/>
        <w:bidi w:val="0"/>
        <w:snapToGrid w:val="0"/>
        <w:spacing w:line="360" w:lineRule="auto"/>
        <w:ind w:firstLine="482" w:firstLineChars="200"/>
        <w:jc w:val="both"/>
        <w:textAlignment w:val="auto"/>
        <w:rPr>
          <w:rFonts w:hint="eastAsia" w:ascii="仿宋" w:hAnsi="仿宋" w:eastAsia="仿宋" w:cs="仿宋"/>
          <w:sz w:val="24"/>
          <w:szCs w:val="24"/>
          <w:highlight w:val="none"/>
        </w:rPr>
      </w:pPr>
      <w:r>
        <w:rPr>
          <w:rFonts w:hint="eastAsia" w:ascii="仿宋" w:hAnsi="仿宋" w:eastAsia="仿宋" w:cs="仿宋"/>
          <w:b/>
          <w:sz w:val="24"/>
          <w:szCs w:val="24"/>
          <w:highlight w:val="none"/>
          <w:lang w:val="en-US" w:eastAsia="zh-CN"/>
        </w:rPr>
        <w:t xml:space="preserve">第十条    </w:t>
      </w:r>
      <w:r>
        <w:rPr>
          <w:rFonts w:hint="eastAsia" w:ascii="仿宋" w:hAnsi="仿宋" w:eastAsia="仿宋" w:cs="仿宋"/>
          <w:b/>
          <w:sz w:val="24"/>
          <w:szCs w:val="24"/>
          <w:highlight w:val="none"/>
        </w:rPr>
        <w:t>违约责任</w:t>
      </w:r>
    </w:p>
    <w:p>
      <w:pPr>
        <w:keepNext w:val="0"/>
        <w:keepLines w:val="0"/>
        <w:pageBreakBefore w:val="0"/>
        <w:kinsoku/>
        <w:wordWrap/>
        <w:overflowPunct/>
        <w:topLinePunct w:val="0"/>
        <w:bidi w:val="0"/>
        <w:snapToGrid w:val="0"/>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（一）按《</w:t>
      </w:r>
      <w:r>
        <w:rPr>
          <w:rFonts w:hint="eastAsia" w:ascii="仿宋" w:hAnsi="仿宋" w:eastAsia="仿宋" w:cs="仿宋"/>
          <w:bCs/>
          <w:sz w:val="24"/>
          <w:szCs w:val="24"/>
          <w:highlight w:val="none"/>
        </w:rPr>
        <w:t>中华人民共和国</w:t>
      </w:r>
      <w:r>
        <w:rPr>
          <w:rFonts w:hint="eastAsia" w:ascii="仿宋" w:hAnsi="仿宋" w:eastAsia="仿宋" w:cs="仿宋"/>
          <w:bCs/>
          <w:sz w:val="24"/>
          <w:szCs w:val="24"/>
          <w:highlight w:val="none"/>
          <w:lang w:eastAsia="zh-CN"/>
        </w:rPr>
        <w:t>民法典</w:t>
      </w:r>
      <w:r>
        <w:rPr>
          <w:rFonts w:hint="eastAsia" w:ascii="仿宋" w:hAnsi="仿宋" w:eastAsia="仿宋" w:cs="仿宋"/>
          <w:sz w:val="24"/>
          <w:szCs w:val="24"/>
          <w:highlight w:val="none"/>
        </w:rPr>
        <w:t>》中的相关条款执行。</w:t>
      </w:r>
    </w:p>
    <w:p>
      <w:pPr>
        <w:keepNext w:val="0"/>
        <w:keepLines w:val="0"/>
        <w:pageBreakBefore w:val="0"/>
        <w:kinsoku/>
        <w:wordWrap/>
        <w:overflowPunct/>
        <w:topLinePunct w:val="0"/>
        <w:bidi w:val="0"/>
        <w:snapToGrid w:val="0"/>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（二）未按合同要求提供服务或服务质量不能满足本次采购要求，采购人会同监督机构、采购代理机构有权终止合同和对</w:t>
      </w:r>
      <w:r>
        <w:rPr>
          <w:rFonts w:hint="eastAsia" w:ascii="仿宋" w:hAnsi="仿宋" w:eastAsia="仿宋" w:cs="仿宋"/>
          <w:sz w:val="24"/>
          <w:szCs w:val="24"/>
          <w:highlight w:val="none"/>
          <w:lang w:eastAsia="zh-CN"/>
        </w:rPr>
        <w:t>成交供应商</w:t>
      </w:r>
      <w:r>
        <w:rPr>
          <w:rFonts w:hint="eastAsia" w:ascii="仿宋" w:hAnsi="仿宋" w:eastAsia="仿宋" w:cs="仿宋"/>
          <w:sz w:val="24"/>
          <w:szCs w:val="24"/>
          <w:highlight w:val="none"/>
        </w:rPr>
        <w:t>违约行为进行追究，同时按政府采购法的有关规定进行相应的处罚。</w:t>
      </w:r>
    </w:p>
    <w:p>
      <w:pPr>
        <w:keepNext w:val="0"/>
        <w:keepLines w:val="0"/>
        <w:pageBreakBefore w:val="0"/>
        <w:kinsoku/>
        <w:wordWrap/>
        <w:overflowPunct/>
        <w:topLinePunct w:val="0"/>
        <w:autoSpaceDE w:val="0"/>
        <w:autoSpaceDN w:val="0"/>
        <w:bidi w:val="0"/>
        <w:snapToGrid w:val="0"/>
        <w:spacing w:line="360" w:lineRule="auto"/>
        <w:ind w:firstLine="482" w:firstLineChars="200"/>
        <w:jc w:val="both"/>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 xml:space="preserve">第十一条    </w:t>
      </w:r>
      <w:r>
        <w:rPr>
          <w:rFonts w:hint="eastAsia" w:ascii="仿宋" w:hAnsi="仿宋" w:eastAsia="仿宋" w:cs="仿宋"/>
          <w:b/>
          <w:sz w:val="24"/>
          <w:szCs w:val="24"/>
          <w:highlight w:val="none"/>
        </w:rPr>
        <w:t>合同生效</w:t>
      </w:r>
    </w:p>
    <w:p>
      <w:pPr>
        <w:keepNext w:val="0"/>
        <w:keepLines w:val="0"/>
        <w:pageBreakBefore w:val="0"/>
        <w:kinsoku/>
        <w:wordWrap/>
        <w:overflowPunct/>
        <w:topLinePunct w:val="0"/>
        <w:autoSpaceDE w:val="0"/>
        <w:autoSpaceDN w:val="0"/>
        <w:bidi w:val="0"/>
        <w:snapToGrid w:val="0"/>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（一）本合同须经甲、乙双方的法定代表人（授权代</w:t>
      </w:r>
      <w:r>
        <w:rPr>
          <w:rFonts w:hint="eastAsia" w:ascii="仿宋" w:hAnsi="仿宋" w:eastAsia="仿宋" w:cs="仿宋"/>
          <w:sz w:val="24"/>
          <w:szCs w:val="24"/>
          <w:highlight w:val="none"/>
          <w:lang w:val="en-US" w:eastAsia="zh-CN"/>
        </w:rPr>
        <w:t>表</w:t>
      </w:r>
      <w:r>
        <w:rPr>
          <w:rFonts w:hint="eastAsia" w:ascii="仿宋" w:hAnsi="仿宋" w:eastAsia="仿宋" w:cs="仿宋"/>
          <w:sz w:val="24"/>
          <w:szCs w:val="24"/>
          <w:highlight w:val="none"/>
        </w:rPr>
        <w:t>）在合同书上签字并加盖本单位公章后正式生效。</w:t>
      </w:r>
    </w:p>
    <w:p>
      <w:pPr>
        <w:keepNext w:val="0"/>
        <w:keepLines w:val="0"/>
        <w:pageBreakBefore w:val="0"/>
        <w:kinsoku/>
        <w:wordWrap/>
        <w:overflowPunct/>
        <w:topLinePunct w:val="0"/>
        <w:autoSpaceDE w:val="0"/>
        <w:autoSpaceDN w:val="0"/>
        <w:bidi w:val="0"/>
        <w:snapToGrid w:val="0"/>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（二）合同生效后，甲、乙双方须严格执行本合同条款的规定，全面履行合同，违者按《</w:t>
      </w:r>
      <w:r>
        <w:rPr>
          <w:rFonts w:hint="eastAsia" w:ascii="仿宋" w:hAnsi="仿宋" w:eastAsia="仿宋" w:cs="仿宋"/>
          <w:bCs/>
          <w:sz w:val="24"/>
          <w:szCs w:val="24"/>
          <w:highlight w:val="none"/>
        </w:rPr>
        <w:t>中华人民共和国</w:t>
      </w:r>
      <w:r>
        <w:rPr>
          <w:rFonts w:hint="eastAsia" w:ascii="仿宋" w:hAnsi="仿宋" w:eastAsia="仿宋" w:cs="仿宋"/>
          <w:bCs/>
          <w:sz w:val="24"/>
          <w:szCs w:val="24"/>
          <w:highlight w:val="none"/>
          <w:lang w:eastAsia="zh-CN"/>
        </w:rPr>
        <w:t>民法典</w:t>
      </w:r>
      <w:r>
        <w:rPr>
          <w:rFonts w:hint="eastAsia" w:ascii="仿宋" w:hAnsi="仿宋" w:eastAsia="仿宋" w:cs="仿宋"/>
          <w:sz w:val="24"/>
          <w:szCs w:val="24"/>
          <w:highlight w:val="none"/>
        </w:rPr>
        <w:t>》的有关规定承担相应责任。</w:t>
      </w:r>
    </w:p>
    <w:p>
      <w:pPr>
        <w:keepNext w:val="0"/>
        <w:keepLines w:val="0"/>
        <w:pageBreakBefore w:val="0"/>
        <w:kinsoku/>
        <w:wordWrap/>
        <w:overflowPunct/>
        <w:topLinePunct w:val="0"/>
        <w:autoSpaceDE w:val="0"/>
        <w:autoSpaceDN w:val="0"/>
        <w:bidi w:val="0"/>
        <w:snapToGrid w:val="0"/>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（三）本合同一式</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份，甲乙双方各执</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w:t>
      </w:r>
    </w:p>
    <w:p>
      <w:pPr>
        <w:widowControl/>
        <w:spacing w:line="360" w:lineRule="auto"/>
        <w:ind w:firstLine="480" w:firstLineChars="200"/>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rPr>
        <w:t>（四）本合同如有未尽事宜，甲、乙双方协商解决。</w:t>
      </w:r>
    </w:p>
    <w:tbl>
      <w:tblPr>
        <w:tblStyle w:val="27"/>
        <w:tblW w:w="0" w:type="auto"/>
        <w:jc w:val="center"/>
        <w:tblLayout w:type="fixed"/>
        <w:tblCellMar>
          <w:top w:w="0" w:type="dxa"/>
          <w:left w:w="108" w:type="dxa"/>
          <w:bottom w:w="0" w:type="dxa"/>
          <w:right w:w="108" w:type="dxa"/>
        </w:tblCellMar>
      </w:tblPr>
      <w:tblGrid>
        <w:gridCol w:w="4201"/>
        <w:gridCol w:w="4202"/>
      </w:tblGrid>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甲  方</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乙  方</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ind w:firstLine="700" w:firstLineChars="35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（盖章）</w:t>
            </w:r>
          </w:p>
        </w:tc>
        <w:tc>
          <w:tcPr>
            <w:tcW w:w="4202" w:type="dxa"/>
            <w:noWrap w:val="0"/>
            <w:vAlign w:val="center"/>
          </w:tcPr>
          <w:p>
            <w:pPr>
              <w:autoSpaceDE w:val="0"/>
              <w:autoSpaceDN w:val="0"/>
              <w:adjustRightInd w:val="0"/>
              <w:ind w:firstLine="800" w:firstLineChars="40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（盖章）</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 xml:space="preserve">地址： </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地址：</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邮编：</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邮编：</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 xml:space="preserve">法定代表人： </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法定代表人：</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被授权代表：</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被授权代表：</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电话：</w:t>
            </w:r>
          </w:p>
        </w:tc>
        <w:tc>
          <w:tcPr>
            <w:tcW w:w="4202" w:type="dxa"/>
            <w:noWrap w:val="0"/>
            <w:vAlign w:val="center"/>
          </w:tcPr>
          <w:p>
            <w:pPr>
              <w:autoSpaceDE w:val="0"/>
              <w:autoSpaceDN w:val="0"/>
              <w:adjustRightInd w:val="0"/>
              <w:ind w:left="840" w:hanging="600" w:hangingChars="30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电话：</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传真：</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传真：</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开户银行：</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开户银行：</w:t>
            </w:r>
          </w:p>
        </w:tc>
      </w:tr>
      <w:tr>
        <w:tblPrEx>
          <w:tblCellMar>
            <w:top w:w="0" w:type="dxa"/>
            <w:left w:w="108" w:type="dxa"/>
            <w:bottom w:w="0" w:type="dxa"/>
            <w:right w:w="108" w:type="dxa"/>
          </w:tblCellMar>
        </w:tblPrEx>
        <w:trPr>
          <w:trHeight w:val="680" w:hRule="exact"/>
          <w:jc w:val="center"/>
        </w:trPr>
        <w:tc>
          <w:tcPr>
            <w:tcW w:w="4201"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日期：</w:t>
            </w:r>
          </w:p>
        </w:tc>
        <w:tc>
          <w:tcPr>
            <w:tcW w:w="4202" w:type="dxa"/>
            <w:noWrap w:val="0"/>
            <w:vAlign w:val="center"/>
          </w:tcPr>
          <w:p>
            <w:pPr>
              <w:autoSpaceDE w:val="0"/>
              <w:autoSpaceDN w:val="0"/>
              <w:adjustRightInd w:val="0"/>
              <w:rPr>
                <w:rFonts w:hint="eastAsia" w:ascii="仿宋" w:hAnsi="仿宋" w:eastAsia="仿宋" w:cs="仿宋"/>
                <w:spacing w:val="-20"/>
                <w:kern w:val="0"/>
                <w:sz w:val="24"/>
                <w:szCs w:val="24"/>
                <w:highlight w:val="none"/>
              </w:rPr>
            </w:pPr>
            <w:r>
              <w:rPr>
                <w:rFonts w:hint="eastAsia" w:ascii="仿宋" w:hAnsi="仿宋" w:eastAsia="仿宋" w:cs="仿宋"/>
                <w:spacing w:val="-20"/>
                <w:kern w:val="0"/>
                <w:sz w:val="24"/>
                <w:szCs w:val="24"/>
                <w:highlight w:val="none"/>
              </w:rPr>
              <w:t>日期：</w:t>
            </w:r>
          </w:p>
        </w:tc>
      </w:tr>
    </w:tbl>
    <w:p>
      <w:pPr>
        <w:jc w:val="center"/>
        <w:rPr>
          <w:rFonts w:hint="eastAsia" w:ascii="仿宋" w:hAnsi="仿宋" w:eastAsia="仿宋" w:cs="仿宋"/>
          <w:b/>
          <w:bCs/>
          <w:color w:val="auto"/>
          <w:kern w:val="2"/>
          <w:sz w:val="36"/>
          <w:szCs w:val="36"/>
          <w:highlight w:val="none"/>
          <w:lang w:val="en-US" w:eastAsia="zh-CN" w:bidi="ar-SA"/>
        </w:rPr>
      </w:pPr>
      <w:r>
        <w:rPr>
          <w:rFonts w:hint="eastAsia" w:ascii="仿宋" w:hAnsi="仿宋" w:eastAsia="仿宋" w:cs="仿宋"/>
          <w:sz w:val="24"/>
          <w:szCs w:val="24"/>
          <w:highlight w:val="none"/>
        </w:rPr>
        <w:br w:type="page"/>
      </w:r>
      <w:bookmarkStart w:id="80" w:name="_Toc18360"/>
      <w:bookmarkStart w:id="81" w:name="_Toc21558"/>
      <w:bookmarkStart w:id="82" w:name="_Toc25245"/>
      <w:r>
        <w:rPr>
          <w:rFonts w:hint="eastAsia" w:ascii="仿宋" w:hAnsi="仿宋" w:eastAsia="仿宋" w:cs="仿宋"/>
          <w:b/>
          <w:bCs/>
          <w:color w:val="auto"/>
          <w:kern w:val="2"/>
          <w:sz w:val="36"/>
          <w:szCs w:val="36"/>
          <w:highlight w:val="none"/>
          <w:lang w:val="en-US" w:eastAsia="zh-CN" w:bidi="ar-SA"/>
        </w:rPr>
        <w:t xml:space="preserve">第五章  </w:t>
      </w:r>
      <w:bookmarkEnd w:id="80"/>
      <w:bookmarkEnd w:id="81"/>
      <w:r>
        <w:rPr>
          <w:rFonts w:hint="eastAsia" w:ascii="仿宋" w:hAnsi="仿宋" w:eastAsia="仿宋" w:cs="仿宋"/>
          <w:b/>
          <w:bCs/>
          <w:color w:val="auto"/>
          <w:kern w:val="2"/>
          <w:sz w:val="36"/>
          <w:szCs w:val="36"/>
          <w:highlight w:val="none"/>
          <w:lang w:val="en-US" w:eastAsia="zh-CN" w:bidi="ar-SA"/>
        </w:rPr>
        <w:t>评审办法</w:t>
      </w:r>
      <w:bookmarkEnd w:id="82"/>
    </w:p>
    <w:bookmarkEnd w:id="74"/>
    <w:bookmarkEnd w:id="75"/>
    <w:bookmarkEnd w:id="76"/>
    <w:bookmarkEnd w:id="78"/>
    <w:bookmarkEnd w:id="79"/>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1.磋商方法</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1.1磋商方法：按照《中华人民共和国政府采购法》、《中华人民共和国政府采购法实施条例》和</w:t>
      </w:r>
      <w:r>
        <w:rPr>
          <w:rFonts w:hint="eastAsia" w:ascii="仿宋" w:hAnsi="仿宋" w:eastAsia="仿宋" w:cs="仿宋"/>
          <w:color w:val="auto"/>
          <w:kern w:val="0"/>
          <w:sz w:val="24"/>
          <w:szCs w:val="24"/>
          <w:highlight w:val="none"/>
        </w:rPr>
        <w:t>《政府采购竞争性磋商采购方式管理暂行办法》的规定</w:t>
      </w:r>
      <w:r>
        <w:rPr>
          <w:rFonts w:hint="eastAsia" w:ascii="仿宋" w:hAnsi="仿宋" w:eastAsia="仿宋" w:cs="仿宋"/>
          <w:color w:val="auto"/>
          <w:sz w:val="24"/>
          <w:szCs w:val="24"/>
          <w:highlight w:val="none"/>
        </w:rPr>
        <w:t>，竞争性磋商小组采用综合评分法对提交最后报价的供应商的响应文件和最后报价进行综合评分，按照评审得分由高到低顺序推荐3名成交候选供应商。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2.磋商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采购代理机构按竞争性磋商采购邀请书规定的时间、地点组织磋商；磋商大会由采购人代表、磋商小组成员、监督机构代表、磋商供应商代表及采购代理机构工作人员参加，参会代表应签名报到，以证明其出席；</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为确保磋商工作公开、公平、公正，依法成立磋商小组。磋商小组由采购人及有关专家组成，其中技术、经济等方面的专家不少于磋商小组成员总数的三分之二，专家名单由有关人员在政府采购专家库中随机抽取，磋商小组成员应当遵守并履行下列责任和义务：</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2.2.1要严格遵守政府采购相关法律制度，依法履行各自职责，公正、客观、审慎地组织和参与评审工作；</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2.2.2对磋商响应文件进行资格性、符合性检查，并做出评价；</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2.2.3按竞争性磋商采购邀请书规定的评审方法和标准，进行比较和评价； </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2.2.4要求磋商供应商对磋商响应文件有关事项作出解释或澄清；</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2.2.5要依法独立评审，按照竞争性磋商采购邀请书的要求和评标标准进行评标，推荐成交候选供应商名单，对评审意见承担个人责任；</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2.2.6对需要共同认定的事项存在争议的，按照少数服从多数原则做出结论。持不同意见的磋商小组成员应当在评审报告上签署不同意见并说明理由，否则视为同意； </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2.2.7对评审情况以及在评审过程中获悉的国家秘密、商业秘密负有保密责任；</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2.2.8配合财政部门的投诉处理工作；</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2.2.9配合采购人、采购代理机构答复磋商供应商提出的质疑。</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3.磋商响应文件的初审</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审查分为资格性检查和符合性检查。分别按照以下内容对响应文件进行检查，一项不合格即按照无效磋商处理。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响应文件审查合格的为实质性响应磋商文件要求的供应商。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3.1资格性检查</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由采购人审查</w:t>
      </w:r>
      <w:r>
        <w:rPr>
          <w:rFonts w:hint="eastAsia" w:ascii="仿宋" w:hAnsi="仿宋" w:eastAsia="仿宋" w:cs="仿宋"/>
          <w:b/>
          <w:bCs/>
          <w:color w:val="auto"/>
          <w:sz w:val="24"/>
          <w:szCs w:val="24"/>
          <w:highlight w:val="none"/>
          <w:lang w:eastAsia="zh-CN"/>
        </w:rPr>
        <w:t>）</w:t>
      </w:r>
    </w:p>
    <w:p>
      <w:pPr>
        <w:pStyle w:val="23"/>
        <w:shd w:val="clear" w:color="auto" w:fill="FFFFFF"/>
        <w:spacing w:beforeAutospacing="0" w:afterAutospacing="0" w:line="360" w:lineRule="auto"/>
        <w:ind w:firstLine="480" w:firstLineChars="200"/>
        <w:rPr>
          <w:rFonts w:ascii="仿宋" w:hAnsi="仿宋" w:eastAsia="仿宋" w:cs="仿宋"/>
          <w:highlight w:val="none"/>
        </w:rPr>
      </w:pPr>
      <w:r>
        <w:rPr>
          <w:rFonts w:hint="eastAsia" w:ascii="仿宋" w:hAnsi="仿宋" w:eastAsia="仿宋" w:cs="仿宋"/>
          <w:highlight w:val="none"/>
        </w:rPr>
        <w:t xml:space="preserve">1、具有独立承担民事责任能力的法人、其他组织或自然人，提供合法有效的统一社会信用代码营业执照；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2、财务状况报告：提供具有财务审计资质单位出具的（2020 年或 2021 年）年度财务报告或磋商前六个月内其基本账户银行出具的资信证明;其他组织和自然人提供银行出具的资信证明或财务报表；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3、社会保障资金缴纳证明：提供磋商截止时间前六个月内已缴存的任意时段的社会保障资金缴存单据或社保机构开具的社会保险参保缴费情况证明；依法不需要缴纳社会保障资金的应提供相关文件证明；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4、税收缴纳证明：提供磋商</w:t>
      </w:r>
      <w:r>
        <w:rPr>
          <w:rFonts w:hint="eastAsia" w:ascii="仿宋" w:hAnsi="仿宋" w:eastAsia="仿宋" w:cs="仿宋"/>
          <w:highlight w:val="none"/>
          <w:lang w:val="en-US" w:eastAsia="zh-CN"/>
        </w:rPr>
        <w:t>截</w:t>
      </w:r>
      <w:r>
        <w:rPr>
          <w:rFonts w:hint="eastAsia" w:ascii="仿宋" w:hAnsi="仿宋" w:eastAsia="仿宋" w:cs="仿宋"/>
          <w:highlight w:val="none"/>
        </w:rPr>
        <w:t xml:space="preserve">止时间前六个月内已缴纳任意时段完税凭证或税务机关开具的完税证明（任意税种）；其他组织提供磋商截止时间前六个月内缴纳税收的凭据；依法免税的应提供相关文件证明；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5、提供具有履行本合同所必需的专业技术能力的声明；</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6、参加本次政府采购活动前3年内在经营活动中没有重大违纪，以及未被列入失信被执行人、重大税收违法案件当事人名单、政府采购严重违法失信行为记录名单的书面声明；</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7、法定代表人直接参加磋商的，须出具法人身份证,并与营业执照上信息一致；法定代表人授权代表参加磋商的，须出具法定代表人授权书及授权代表身份证； </w:t>
      </w:r>
    </w:p>
    <w:p>
      <w:pPr>
        <w:pStyle w:val="23"/>
        <w:shd w:val="clear" w:color="auto" w:fill="FFFFFF"/>
        <w:spacing w:beforeAutospacing="0" w:afterAutospacing="0" w:line="360" w:lineRule="auto"/>
        <w:ind w:firstLine="420"/>
        <w:rPr>
          <w:rFonts w:hint="eastAsia" w:ascii="仿宋" w:hAnsi="仿宋" w:eastAsia="仿宋" w:cs="仿宋"/>
          <w:highlight w:val="none"/>
        </w:rPr>
      </w:pPr>
      <w:r>
        <w:rPr>
          <w:rFonts w:hint="eastAsia" w:ascii="仿宋" w:hAnsi="仿宋" w:eastAsia="仿宋" w:cs="仿宋"/>
          <w:highlight w:val="none"/>
        </w:rPr>
        <w:t>8、磋商保证金缴纳凭证；</w:t>
      </w:r>
    </w:p>
    <w:p>
      <w:pPr>
        <w:pStyle w:val="23"/>
        <w:shd w:val="clear" w:color="auto" w:fill="FFFFFF"/>
        <w:spacing w:beforeAutospacing="0" w:afterAutospacing="0" w:line="360" w:lineRule="auto"/>
        <w:ind w:firstLine="420"/>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以代理机构现场查询为准）</w:t>
      </w:r>
    </w:p>
    <w:p>
      <w:pPr>
        <w:spacing w:line="46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备注：</w:t>
      </w:r>
    </w:p>
    <w:p>
      <w:pPr>
        <w:spacing w:line="460" w:lineRule="exact"/>
        <w:ind w:firstLine="241" w:firstLineChars="100"/>
        <w:rPr>
          <w:rFonts w:ascii="仿宋" w:hAnsi="仿宋" w:eastAsia="仿宋" w:cs="仿宋"/>
          <w:b/>
          <w:bCs/>
          <w:color w:val="auto"/>
          <w:sz w:val="24"/>
          <w:highlight w:val="none"/>
        </w:rPr>
      </w:pPr>
      <w:r>
        <w:rPr>
          <w:rFonts w:hint="eastAsia" w:ascii="仿宋" w:hAnsi="仿宋" w:eastAsia="仿宋" w:cs="仿宋"/>
          <w:b/>
          <w:bCs/>
          <w:color w:val="auto"/>
          <w:sz w:val="24"/>
          <w:highlight w:val="none"/>
        </w:rPr>
        <w:t>1、所有资质证件的复印件必须加盖单位公章附在磋商响应文件中。</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241" w:firstLineChars="1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highlight w:val="none"/>
        </w:rPr>
        <w:t>2、上述资格证明文件为必备资格，缺项按无效</w:t>
      </w:r>
      <w:r>
        <w:rPr>
          <w:rFonts w:hint="eastAsia" w:ascii="仿宋" w:hAnsi="仿宋" w:eastAsia="仿宋" w:cs="仿宋"/>
          <w:b/>
          <w:bCs/>
          <w:color w:val="auto"/>
          <w:sz w:val="24"/>
          <w:highlight w:val="none"/>
          <w:lang w:val="en-US" w:eastAsia="zh-CN"/>
        </w:rPr>
        <w:t>响应</w:t>
      </w:r>
      <w:r>
        <w:rPr>
          <w:rFonts w:hint="eastAsia" w:ascii="仿宋" w:hAnsi="仿宋" w:eastAsia="仿宋" w:cs="仿宋"/>
          <w:b/>
          <w:bCs/>
          <w:color w:val="auto"/>
          <w:sz w:val="24"/>
          <w:highlight w:val="none"/>
        </w:rPr>
        <w:t>处理。</w:t>
      </w:r>
      <w:r>
        <w:rPr>
          <w:rFonts w:hint="eastAsia" w:ascii="仿宋" w:hAnsi="仿宋" w:eastAsia="仿宋" w:cs="仿宋"/>
          <w:b/>
          <w:bCs/>
          <w:color w:val="auto"/>
          <w:sz w:val="24"/>
          <w:szCs w:val="24"/>
          <w:highlight w:val="none"/>
        </w:rPr>
        <w:t>　</w:t>
      </w:r>
      <w:r>
        <w:rPr>
          <w:rFonts w:hint="eastAsia" w:ascii="仿宋" w:hAnsi="仿宋" w:eastAsia="仿宋" w:cs="仿宋"/>
          <w:color w:val="auto"/>
          <w:kern w:val="0"/>
          <w:sz w:val="24"/>
          <w:szCs w:val="24"/>
          <w:highlight w:val="none"/>
        </w:rPr>
        <w:t>　</w:t>
      </w:r>
      <w:r>
        <w:rPr>
          <w:rFonts w:hint="eastAsia" w:ascii="仿宋" w:hAnsi="仿宋" w:eastAsia="仿宋" w:cs="仿宋"/>
          <w:color w:val="auto"/>
          <w:sz w:val="24"/>
          <w:szCs w:val="24"/>
          <w:highlight w:val="none"/>
        </w:rPr>
        <w:t>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3.2符合性审查</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3.2.1磋商小组从响应文件的有效性、完整性和对磋商文件的响应程度进行初步审查，以确定其是否对磋商文件实质性内容作出响应（采购人可根据具体项目的情况对实质性要求作特别的具体规定）。初步审查按下表进行：</w:t>
      </w:r>
    </w:p>
    <w:tbl>
      <w:tblPr>
        <w:tblStyle w:val="27"/>
        <w:tblW w:w="9064" w:type="dxa"/>
        <w:jc w:val="center"/>
        <w:tblLayout w:type="fixed"/>
        <w:tblCellMar>
          <w:top w:w="0" w:type="dxa"/>
          <w:left w:w="10" w:type="dxa"/>
          <w:bottom w:w="0" w:type="dxa"/>
          <w:right w:w="10" w:type="dxa"/>
        </w:tblCellMar>
      </w:tblPr>
      <w:tblGrid>
        <w:gridCol w:w="681"/>
        <w:gridCol w:w="2929"/>
        <w:gridCol w:w="5454"/>
      </w:tblGrid>
      <w:tr>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评审内容</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评审标准</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供应商名称和公章、营业执照一致</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完整无缺项，无选择性报价</w:t>
            </w:r>
            <w:r>
              <w:rPr>
                <w:rFonts w:hint="eastAsia" w:ascii="仿宋" w:hAnsi="仿宋" w:eastAsia="仿宋" w:cs="仿宋"/>
                <w:color w:val="auto"/>
                <w:sz w:val="24"/>
                <w:szCs w:val="24"/>
                <w:highlight w:val="none"/>
                <w:lang w:eastAsia="zh-CN"/>
              </w:rPr>
              <w:t>；</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文件的有效期</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自磋商之日起不少于90个日历日</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响应文件签字、盖章</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响应文件的签字盖章合格有效；</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服务期</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满足磋商文件要求</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响应文件</w:t>
            </w:r>
            <w:r>
              <w:rPr>
                <w:rFonts w:hint="eastAsia" w:ascii="仿宋" w:hAnsi="仿宋" w:eastAsia="仿宋" w:cs="仿宋"/>
                <w:color w:val="auto"/>
                <w:sz w:val="24"/>
                <w:szCs w:val="24"/>
                <w:highlight w:val="none"/>
                <w:lang w:val="en-US" w:eastAsia="zh-CN"/>
              </w:rPr>
              <w:t>份数</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满足磋商文件要求</w:t>
            </w:r>
          </w:p>
        </w:tc>
      </w:tr>
      <w:tr>
        <w:tblPrEx>
          <w:tblCellMar>
            <w:top w:w="0" w:type="dxa"/>
            <w:left w:w="10" w:type="dxa"/>
            <w:bottom w:w="0" w:type="dxa"/>
            <w:right w:w="10"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widowControl/>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磋商内容</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widowControl/>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与采购内容一致</w:t>
            </w:r>
          </w:p>
        </w:tc>
      </w:tr>
    </w:tbl>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说明：以上各项有1项不合格，评审不予通过，作为未实质性响应磋商文件。在资格性、符合性检查时，审查未通过的，不得进入后续评审环节。</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3.2.2有下列情形之一的，视为供应商串通磋商，磋商小组应当认定其响应文件无效：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（1）不同供应商的响应文件由同一单位或者个人编制；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不同供应商委托同一单位或者个人办理磋商事宜；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（3）不同供应商的响应文件异常一致或者磋商报价呈规律性差异；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（4）不同供应商的响应文件相互混装；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（5）不同供应商的磋商保证金从同一单位或者个人的账户转出。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3.2.3出现下列情况之一者（但不限于），磋商小组应按无效响应文件处理：</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供应商的磋商报价超过采购预算的；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供应商未经过正常渠道购买磋商文件，或供应商名称与购买磋商文件时登记的供应商名称不符的；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供应商不具备资格条件的；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实质性内容不满足或未响应的（包括但不限于：</w:t>
      </w:r>
      <w:r>
        <w:rPr>
          <w:rFonts w:hint="eastAsia" w:ascii="仿宋" w:hAnsi="仿宋" w:eastAsia="仿宋" w:cs="仿宋"/>
          <w:color w:val="auto"/>
          <w:sz w:val="24"/>
          <w:szCs w:val="24"/>
          <w:highlight w:val="none"/>
          <w:lang w:eastAsia="zh-CN"/>
        </w:rPr>
        <w:t>服务期</w:t>
      </w:r>
      <w:r>
        <w:rPr>
          <w:rFonts w:hint="eastAsia" w:ascii="仿宋" w:hAnsi="仿宋" w:eastAsia="仿宋" w:cs="仿宋"/>
          <w:color w:val="auto"/>
          <w:sz w:val="24"/>
          <w:szCs w:val="24"/>
          <w:highlight w:val="none"/>
        </w:rPr>
        <w:t>、付款方式、主要技术指标等）；</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响应文件的有效性和符合性不符合要求的；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供应商未按磋商文件要求签字、加盖公章的；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响应文件有涂改，涂改处未按磋商文件要求签字的；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无磋商有效期或有效期不符合磋商文件要求的；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供应商针对同一项目递交两份或多份内容不同的响应文件，未书面声明哪一份是有效的或出现选择性报价的；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提供虚假资质、虚假证明（包括第三方提供的虚假证明）、出现虚假应答的，除按无效响应文件处理外，还将按照政府采购的有关规定进行处罚；</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响应文件附加了采购人难以接受的条件或条款的；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供应商前期参与了本次项目方案设计的；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在政府采购或其它重大项目履约过程中有不良记录，未能按期履约的；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磋商报价与市场价格偏离较大、低于成本、磋商小组认为形成不正当竞争的，且在规定时间内无法提供有效书面证明；</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报价子目出现漏项或报价数量与磋商文件要求不符的；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磋商项目的技术参数与磋商文件要求出现重大负偏差的或技术指标有漏项的；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提供虚假技术参数；</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供应商未按磋商文件要求提交磋商保证金的；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8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不符合法律、法规和磋商文件中规定的其他无效情形。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4.磋商澄清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4.1磋商小组有权就磋商响应文件中含混之处向上述步骤初审合格的磋商供应商提出询问或澄清要求；磋商供应商将有关询标澄清、补正、说明的内容应以书面形式提交；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4.2竞争性磋商公告、磋商响应文件作为磋商的依据，澄清、补正、说明的内容只作为磋商参考。磋商澄清时磋商供应商只作说明和解释，不得借此对磋商报价、</w:t>
      </w:r>
      <w:r>
        <w:rPr>
          <w:rFonts w:hint="eastAsia" w:ascii="仿宋" w:hAnsi="仿宋" w:eastAsia="仿宋" w:cs="仿宋"/>
          <w:color w:val="auto"/>
          <w:sz w:val="24"/>
          <w:szCs w:val="24"/>
          <w:highlight w:val="none"/>
          <w:lang w:eastAsia="zh-CN"/>
        </w:rPr>
        <w:t>服务期</w:t>
      </w:r>
      <w:r>
        <w:rPr>
          <w:rFonts w:hint="eastAsia" w:ascii="仿宋" w:hAnsi="仿宋" w:eastAsia="仿宋" w:cs="仿宋"/>
          <w:color w:val="auto"/>
          <w:sz w:val="24"/>
          <w:szCs w:val="24"/>
          <w:highlight w:val="none"/>
        </w:rPr>
        <w:t>、主要技术指标等实质性内容做任何修改；如澄清、补正、说明的内容与磋商响应文件内容有重大相悖或矛盾，将被认定为无效文件；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4.3磋商供应商对磋商响应文件的澄清不得改变磋商报价及实质内容。磋商时，磋商响应文件中出现下列情况，修正原则为：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（1）磋商响应文件中响应报价表内容与磋商响应文件中明细内容不一致的，以响应报价表为准；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（2）磋商报价的大写金额和小写金额不一致的，以大写金额为准；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（4）单价金额小数点有明显错位的，以总价为准，并修改单价；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（5）磋商响应文件正本与副本不一致的，以正本为准；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（6）多处内容交叉不符时，以磋商小组成员会评审结果为准；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（7）文字与图表不符时以文字为准；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5.评审方法及内容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采用综合评分法：二次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5.2磋商小组根据以下内容进行综合比较，自主打分，按最后得分由高到低汇总排序，推荐成交候选3名供应商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若项目划分标段，则</w:t>
      </w:r>
      <w:r>
        <w:rPr>
          <w:rFonts w:hint="eastAsia" w:ascii="仿宋" w:hAnsi="仿宋" w:eastAsia="仿宋" w:cs="仿宋"/>
          <w:color w:val="auto"/>
          <w:sz w:val="24"/>
          <w:szCs w:val="24"/>
          <w:highlight w:val="none"/>
        </w:rPr>
        <w:t>以标段为单位分别推荐成交候选3名供应商；磋商小组根据磋商结果写出磋商意见。</w:t>
      </w:r>
    </w:p>
    <w:p>
      <w:pPr>
        <w:pStyle w:val="1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5.3评审指标分值构成（总计100分）</w:t>
      </w:r>
    </w:p>
    <w:tbl>
      <w:tblPr>
        <w:tblStyle w:val="27"/>
        <w:tblpPr w:leftFromText="180" w:rightFromText="180" w:vertAnchor="text" w:horzAnchor="page" w:tblpX="1244" w:tblpY="77"/>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835"/>
        <w:gridCol w:w="7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117" w:type="pct"/>
            <w:gridSpan w:val="2"/>
            <w:noWrap w:val="0"/>
            <w:vAlign w:val="top"/>
          </w:tcPr>
          <w:p>
            <w:pPr>
              <w:keepNext w:val="0"/>
              <w:keepLines w:val="0"/>
              <w:pageBreakBefore w:val="0"/>
              <w:kinsoku/>
              <w:wordWrap/>
              <w:overflowPunct/>
              <w:topLinePunct w:val="0"/>
              <w:autoSpaceDE/>
              <w:autoSpaceDN/>
              <w:bidi w:val="0"/>
              <w:adjustRightInd/>
              <w:spacing w:line="560" w:lineRule="exact"/>
              <w:jc w:val="center"/>
              <w:rPr>
                <w:rFonts w:hint="eastAsia" w:ascii="仿宋" w:hAnsi="仿宋" w:eastAsia="仿宋" w:cs="仿宋"/>
                <w:bCs/>
                <w:sz w:val="24"/>
                <w:szCs w:val="24"/>
                <w:highlight w:val="none"/>
                <w:lang w:val="en-US" w:eastAsia="zh-CN"/>
              </w:rPr>
            </w:pPr>
            <w:r>
              <w:rPr>
                <w:rFonts w:hint="eastAsia" w:ascii="仿宋" w:hAnsi="仿宋" w:eastAsia="仿宋" w:cs="仿宋"/>
                <w:b/>
                <w:bCs/>
                <w:sz w:val="24"/>
                <w:szCs w:val="24"/>
                <w:highlight w:val="none"/>
              </w:rPr>
              <w:t>评审要素及分值</w:t>
            </w:r>
          </w:p>
        </w:tc>
        <w:tc>
          <w:tcPr>
            <w:tcW w:w="3882" w:type="pct"/>
            <w:noWrap w:val="0"/>
            <w:vAlign w:val="top"/>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b/>
                <w:bCs/>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trPr>
        <w:tc>
          <w:tcPr>
            <w:tcW w:w="685"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报价部分</w:t>
            </w:r>
          </w:p>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（10分）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10分</w:t>
            </w:r>
          </w:p>
        </w:tc>
        <w:tc>
          <w:tcPr>
            <w:tcW w:w="3882" w:type="pct"/>
            <w:noWrap w:val="0"/>
            <w:vAlign w:val="center"/>
          </w:tcPr>
          <w:p>
            <w:pPr>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满足磋商文件要求且</w:t>
            </w:r>
            <w:r>
              <w:rPr>
                <w:rFonts w:hint="eastAsia" w:ascii="仿宋" w:hAnsi="仿宋" w:eastAsia="仿宋" w:cs="仿宋"/>
                <w:color w:val="auto"/>
                <w:sz w:val="24"/>
                <w:szCs w:val="24"/>
                <w:highlight w:val="none"/>
                <w:lang w:val="en-US" w:eastAsia="zh-CN"/>
              </w:rPr>
              <w:t>磋商报价</w:t>
            </w:r>
            <w:r>
              <w:rPr>
                <w:rFonts w:hint="eastAsia" w:ascii="仿宋" w:hAnsi="仿宋" w:eastAsia="仿宋" w:cs="仿宋"/>
                <w:color w:val="auto"/>
                <w:sz w:val="24"/>
                <w:szCs w:val="24"/>
                <w:highlight w:val="none"/>
              </w:rPr>
              <w:t>价格最低的磋商报价为评标基准价，其价格分为满分。其他供应商的价格分统一按照下列公式计算：</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磋商报价得分=(评标基准价／磋商报价)×价格权值×100。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auto"/>
                <w:sz w:val="24"/>
                <w:szCs w:val="24"/>
                <w:highlight w:val="none"/>
              </w:rPr>
              <w:t>符合磋商件规定的监狱企业、残疾人福利性单位优惠条件的供应商，价格给予6%的扣除，用扣除后的价格参与评审。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685" w:type="pct"/>
            <w:vMerge w:val="restar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服务方案（60分）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15分</w:t>
            </w:r>
          </w:p>
        </w:tc>
        <w:tc>
          <w:tcPr>
            <w:tcW w:w="3882" w:type="pct"/>
            <w:noWrap w:val="0"/>
            <w:vAlign w:val="center"/>
          </w:tcPr>
          <w:p>
            <w:pPr>
              <w:spacing w:line="312" w:lineRule="auto"/>
              <w:jc w:val="left"/>
              <w:rPr>
                <w:rFonts w:hint="eastAsia" w:ascii="仿宋" w:hAnsi="仿宋" w:eastAsia="仿宋" w:cs="仿宋"/>
                <w:color w:val="auto"/>
                <w:sz w:val="24"/>
                <w:szCs w:val="24"/>
                <w:highlight w:val="none"/>
              </w:rPr>
            </w:pPr>
            <w:r>
              <w:rPr>
                <w:rFonts w:hint="eastAsia" w:ascii="仿宋_GB2312" w:hAnsi="宋体" w:eastAsia="仿宋_GB2312" w:cs="宋体"/>
                <w:sz w:val="24"/>
                <w:szCs w:val="24"/>
                <w:highlight w:val="none"/>
                <w:lang w:val="en-US" w:eastAsia="zh-CN"/>
              </w:rPr>
              <w:t>1、</w:t>
            </w:r>
            <w:r>
              <w:rPr>
                <w:rFonts w:hint="eastAsia" w:ascii="仿宋_GB2312" w:hAnsi="宋体" w:eastAsia="仿宋_GB2312" w:cs="宋体"/>
                <w:sz w:val="24"/>
                <w:szCs w:val="24"/>
                <w:highlight w:val="none"/>
              </w:rPr>
              <w:t>根</w:t>
            </w:r>
            <w:r>
              <w:rPr>
                <w:rFonts w:hint="eastAsia" w:ascii="仿宋" w:hAnsi="仿宋" w:eastAsia="仿宋" w:cs="仿宋"/>
                <w:color w:val="auto"/>
                <w:sz w:val="24"/>
                <w:szCs w:val="24"/>
                <w:highlight w:val="none"/>
              </w:rPr>
              <w:t>据本次论坛的具体规模和内容要求，供应商需递交一套完整的论坛内容策划总体方案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包括会议日程、议题）</w:t>
            </w:r>
            <w:r>
              <w:rPr>
                <w:rFonts w:hint="eastAsia" w:ascii="仿宋" w:hAnsi="仿宋" w:eastAsia="仿宋" w:cs="仿宋"/>
                <w:color w:val="auto"/>
                <w:sz w:val="24"/>
                <w:szCs w:val="24"/>
                <w:highlight w:val="none"/>
              </w:rPr>
              <w:t>。方案详尽、全面、有效、合理、可实施性强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具有以行业研究为基础的内容逻辑体系</w:t>
            </w:r>
            <w:r>
              <w:rPr>
                <w:rFonts w:hint="eastAsia" w:ascii="仿宋" w:hAnsi="仿宋" w:eastAsia="仿宋" w:cs="仿宋"/>
                <w:color w:val="auto"/>
                <w:sz w:val="24"/>
                <w:szCs w:val="24"/>
                <w:highlight w:val="none"/>
              </w:rPr>
              <w:t>，由磋商小组</w:t>
            </w:r>
            <w:r>
              <w:rPr>
                <w:rFonts w:hint="eastAsia" w:ascii="仿宋" w:hAnsi="仿宋" w:eastAsia="仿宋" w:cs="仿宋"/>
                <w:kern w:val="2"/>
                <w:sz w:val="24"/>
                <w:szCs w:val="24"/>
                <w:highlight w:val="none"/>
                <w:lang w:val="en-US" w:eastAsia="zh-CN" w:bidi="zh-CN"/>
              </w:rPr>
              <w:t>根据文件响应情况计0-15分。</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85" w:type="pct"/>
            <w:vMerge w:val="continue"/>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15分</w:t>
            </w:r>
          </w:p>
        </w:tc>
        <w:tc>
          <w:tcPr>
            <w:tcW w:w="3882" w:type="pct"/>
            <w:noWrap w:val="0"/>
            <w:vAlign w:val="center"/>
          </w:tcPr>
          <w:p>
            <w:pPr>
              <w:spacing w:line="312" w:lineRule="auto"/>
              <w:rPr>
                <w:rFonts w:hint="eastAsia" w:ascii="仿宋" w:hAnsi="仿宋" w:eastAsia="仿宋" w:cs="仿宋"/>
                <w:color w:val="auto"/>
                <w:sz w:val="24"/>
                <w:szCs w:val="24"/>
                <w:highlight w:val="none"/>
                <w:lang w:val="en-US" w:eastAsia="zh-CN"/>
              </w:rPr>
            </w:pPr>
            <w:r>
              <w:rPr>
                <w:rFonts w:hint="eastAsia" w:ascii="仿宋_GB2312" w:hAnsi="宋体" w:eastAsia="仿宋_GB2312" w:cs="宋体"/>
                <w:sz w:val="24"/>
                <w:szCs w:val="24"/>
                <w:highlight w:val="none"/>
                <w:lang w:val="en-US" w:eastAsia="zh-CN"/>
              </w:rPr>
              <w:t>2、</w:t>
            </w:r>
            <w:r>
              <w:rPr>
                <w:rFonts w:hint="eastAsia" w:ascii="仿宋_GB2312" w:hAnsi="宋体" w:eastAsia="仿宋_GB2312" w:cs="宋体"/>
                <w:sz w:val="24"/>
                <w:szCs w:val="24"/>
                <w:highlight w:val="none"/>
              </w:rPr>
              <w:t>嘉宾邀请方案：会议议程中邀请汽车行业知名专家、行业主流整车企业、汽车零部件企业、</w:t>
            </w:r>
            <w:r>
              <w:rPr>
                <w:rFonts w:hint="eastAsia" w:ascii="仿宋_GB2312" w:hAnsi="宋体" w:eastAsia="仿宋_GB2312" w:cs="宋体"/>
                <w:sz w:val="24"/>
                <w:szCs w:val="24"/>
                <w:highlight w:val="none"/>
                <w:lang w:val="en-US" w:eastAsia="zh-CN"/>
              </w:rPr>
              <w:t>新能源及</w:t>
            </w:r>
            <w:r>
              <w:rPr>
                <w:rFonts w:hint="eastAsia" w:ascii="仿宋_GB2312" w:hAnsi="宋体" w:eastAsia="仿宋_GB2312" w:cs="宋体"/>
                <w:sz w:val="24"/>
                <w:szCs w:val="24"/>
                <w:highlight w:val="none"/>
              </w:rPr>
              <w:t>智能网联服务商等相关单位参会，邀请</w:t>
            </w:r>
            <w:r>
              <w:rPr>
                <w:rFonts w:hint="eastAsia" w:ascii="仿宋_GB2312" w:hAnsi="宋体" w:eastAsia="仿宋_GB2312" w:cs="宋体"/>
                <w:sz w:val="24"/>
                <w:szCs w:val="24"/>
                <w:highlight w:val="none"/>
                <w:lang w:val="en-US" w:eastAsia="zh-CN"/>
              </w:rPr>
              <w:t>的参会</w:t>
            </w:r>
            <w:r>
              <w:rPr>
                <w:rFonts w:hint="eastAsia" w:ascii="仿宋_GB2312" w:hAnsi="宋体" w:eastAsia="仿宋_GB2312" w:cs="宋体"/>
                <w:sz w:val="24"/>
                <w:szCs w:val="24"/>
                <w:highlight w:val="none"/>
              </w:rPr>
              <w:t>人员及企业能代表行业较高水平，具有行业影响力，对陕西省汽车产业发展起到助力作用，</w:t>
            </w:r>
            <w:r>
              <w:rPr>
                <w:rFonts w:hint="eastAsia" w:ascii="仿宋" w:hAnsi="仿宋" w:eastAsia="仿宋" w:cs="仿宋"/>
                <w:color w:val="auto"/>
                <w:sz w:val="24"/>
                <w:szCs w:val="24"/>
                <w:highlight w:val="none"/>
              </w:rPr>
              <w:t>由磋商小组</w:t>
            </w:r>
            <w:r>
              <w:rPr>
                <w:rFonts w:hint="eastAsia" w:ascii="仿宋" w:hAnsi="仿宋" w:eastAsia="仿宋" w:cs="仿宋"/>
                <w:kern w:val="2"/>
                <w:sz w:val="24"/>
                <w:szCs w:val="24"/>
                <w:highlight w:val="none"/>
                <w:lang w:val="en-US" w:eastAsia="zh-CN" w:bidi="zh-CN"/>
              </w:rPr>
              <w:t>根据文件响应情况计0-15分。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vMerge w:val="continue"/>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000000"/>
                <w:sz w:val="24"/>
                <w:szCs w:val="24"/>
                <w:highlight w:val="none"/>
                <w:lang w:eastAsia="zh-CN"/>
              </w:rPr>
            </w:pP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15分</w:t>
            </w:r>
          </w:p>
        </w:tc>
        <w:tc>
          <w:tcPr>
            <w:tcW w:w="3882" w:type="pct"/>
            <w:noWrap w:val="0"/>
            <w:vAlign w:val="center"/>
          </w:tcPr>
          <w:p>
            <w:pPr>
              <w:pStyle w:val="9"/>
              <w:rPr>
                <w:rFonts w:hint="eastAsia" w:ascii="仿宋" w:hAnsi="仿宋" w:eastAsia="仿宋" w:cs="仿宋"/>
                <w:color w:val="auto"/>
                <w:sz w:val="24"/>
                <w:szCs w:val="24"/>
                <w:highlight w:val="none"/>
                <w:lang w:val="en-US" w:eastAsia="zh-CN"/>
              </w:rPr>
            </w:pPr>
            <w:r>
              <w:rPr>
                <w:rFonts w:hint="eastAsia" w:ascii="仿宋_GB2312" w:hAnsi="宋体" w:eastAsia="仿宋_GB2312" w:cs="宋体"/>
                <w:sz w:val="24"/>
                <w:szCs w:val="24"/>
                <w:highlight w:val="none"/>
                <w:lang w:val="en-US" w:eastAsia="zh-CN"/>
              </w:rPr>
              <w:t>3、</w:t>
            </w:r>
            <w:r>
              <w:rPr>
                <w:rFonts w:hint="eastAsia" w:ascii="仿宋_GB2312" w:hAnsi="宋体" w:eastAsia="仿宋_GB2312" w:cs="宋体"/>
                <w:sz w:val="24"/>
                <w:szCs w:val="24"/>
                <w:highlight w:val="none"/>
              </w:rPr>
              <w:t>论坛组织实施方案：针对本次论坛邀请参会专家及嘉宾在接待、用餐、住宿、接送站等方面递交一套完整的实施方案</w:t>
            </w:r>
            <w:r>
              <w:rPr>
                <w:rFonts w:hint="eastAsia" w:ascii="仿宋_GB2312" w:hAnsi="宋体" w:eastAsia="仿宋_GB2312" w:cs="宋体"/>
                <w:sz w:val="24"/>
                <w:szCs w:val="24"/>
                <w:highlight w:val="none"/>
                <w:lang w:eastAsia="zh-CN"/>
              </w:rPr>
              <w:t>，</w:t>
            </w:r>
            <w:r>
              <w:rPr>
                <w:rFonts w:hint="eastAsia" w:ascii="仿宋_GB2312" w:hAnsi="宋体" w:eastAsia="仿宋_GB2312" w:cs="宋体"/>
                <w:sz w:val="24"/>
                <w:szCs w:val="24"/>
                <w:highlight w:val="none"/>
              </w:rPr>
              <w:t>方案详尽、全面、有效、合理、可实施性强；</w:t>
            </w:r>
            <w:r>
              <w:rPr>
                <w:rFonts w:hint="eastAsia" w:ascii="仿宋" w:hAnsi="仿宋" w:eastAsia="仿宋" w:cs="仿宋"/>
                <w:color w:val="auto"/>
                <w:sz w:val="24"/>
                <w:szCs w:val="24"/>
                <w:highlight w:val="none"/>
              </w:rPr>
              <w:t>由磋商小组</w:t>
            </w:r>
            <w:r>
              <w:rPr>
                <w:rFonts w:hint="eastAsia" w:ascii="仿宋" w:hAnsi="仿宋" w:eastAsia="仿宋" w:cs="仿宋"/>
                <w:kern w:val="2"/>
                <w:sz w:val="24"/>
                <w:szCs w:val="24"/>
                <w:highlight w:val="none"/>
                <w:lang w:val="en-US" w:eastAsia="zh-CN" w:bidi="zh-CN"/>
              </w:rPr>
              <w:t>根据文件响应情况计0-15分。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vMerge w:val="continue"/>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000000"/>
                <w:sz w:val="24"/>
                <w:szCs w:val="24"/>
                <w:highlight w:val="none"/>
                <w:lang w:eastAsia="zh-CN"/>
              </w:rPr>
            </w:pP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15分</w:t>
            </w:r>
          </w:p>
        </w:tc>
        <w:tc>
          <w:tcPr>
            <w:tcW w:w="3882" w:type="pct"/>
            <w:noWrap w:val="0"/>
            <w:vAlign w:val="center"/>
          </w:tcPr>
          <w:p>
            <w:pPr>
              <w:spacing w:line="312" w:lineRule="auto"/>
              <w:rPr>
                <w:rFonts w:hint="eastAsia" w:ascii="仿宋" w:hAnsi="仿宋" w:eastAsia="仿宋" w:cs="仿宋"/>
                <w:color w:val="auto"/>
                <w:sz w:val="24"/>
                <w:szCs w:val="24"/>
                <w:highlight w:val="none"/>
                <w:lang w:val="en-US" w:eastAsia="zh-CN"/>
              </w:rPr>
            </w:pPr>
            <w:r>
              <w:rPr>
                <w:rFonts w:hint="eastAsia" w:ascii="仿宋_GB2312" w:hAnsi="宋体" w:eastAsia="仿宋_GB2312" w:cs="宋体"/>
                <w:sz w:val="24"/>
                <w:szCs w:val="24"/>
                <w:highlight w:val="none"/>
                <w:lang w:val="en-US" w:eastAsia="zh-CN"/>
              </w:rPr>
              <w:t>4、</w:t>
            </w:r>
            <w:r>
              <w:rPr>
                <w:rFonts w:hint="eastAsia" w:ascii="仿宋_GB2312" w:hAnsi="宋体" w:eastAsia="仿宋_GB2312" w:cs="宋体"/>
                <w:sz w:val="24"/>
                <w:szCs w:val="24"/>
                <w:highlight w:val="none"/>
              </w:rPr>
              <w:t>宣传和推广方案，本次论坛需邀请汽车行业相关知名媒体对会议进行前期预热、现场直播</w:t>
            </w:r>
            <w:r>
              <w:rPr>
                <w:rFonts w:hint="eastAsia" w:ascii="仿宋_GB2312" w:hAnsi="宋体" w:eastAsia="仿宋_GB2312" w:cs="宋体"/>
                <w:sz w:val="24"/>
                <w:szCs w:val="24"/>
                <w:highlight w:val="none"/>
                <w:lang w:eastAsia="zh-CN"/>
              </w:rPr>
              <w:t>、</w:t>
            </w:r>
            <w:r>
              <w:rPr>
                <w:rFonts w:hint="eastAsia" w:ascii="仿宋_GB2312" w:hAnsi="宋体" w:eastAsia="仿宋_GB2312" w:cs="宋体"/>
                <w:sz w:val="24"/>
                <w:szCs w:val="24"/>
                <w:highlight w:val="none"/>
              </w:rPr>
              <w:t>媒体专访</w:t>
            </w:r>
            <w:r>
              <w:rPr>
                <w:rFonts w:hint="eastAsia" w:ascii="仿宋_GB2312" w:hAnsi="宋体" w:eastAsia="仿宋_GB2312" w:cs="宋体"/>
                <w:sz w:val="24"/>
                <w:szCs w:val="24"/>
                <w:highlight w:val="none"/>
                <w:lang w:val="en-US" w:eastAsia="zh-CN"/>
              </w:rPr>
              <w:t>及会后宣传</w:t>
            </w:r>
            <w:r>
              <w:rPr>
                <w:rFonts w:hint="eastAsia" w:ascii="仿宋_GB2312" w:hAnsi="宋体" w:eastAsia="仿宋_GB2312" w:cs="宋体"/>
                <w:sz w:val="24"/>
                <w:szCs w:val="24"/>
                <w:highlight w:val="none"/>
              </w:rPr>
              <w:t>。宣传推广方案详尽、全面、有效、合理、可实施性强，</w:t>
            </w:r>
            <w:r>
              <w:rPr>
                <w:rFonts w:hint="eastAsia" w:ascii="仿宋" w:hAnsi="仿宋" w:eastAsia="仿宋" w:cs="仿宋"/>
                <w:color w:val="auto"/>
                <w:sz w:val="24"/>
                <w:szCs w:val="24"/>
                <w:highlight w:val="none"/>
              </w:rPr>
              <w:t>由磋商小组</w:t>
            </w:r>
            <w:r>
              <w:rPr>
                <w:rFonts w:hint="eastAsia" w:ascii="仿宋" w:hAnsi="仿宋" w:eastAsia="仿宋" w:cs="仿宋"/>
                <w:kern w:val="2"/>
                <w:sz w:val="24"/>
                <w:szCs w:val="24"/>
                <w:highlight w:val="none"/>
                <w:lang w:val="en-US" w:eastAsia="zh-CN" w:bidi="zh-CN"/>
              </w:rPr>
              <w:t>根据文件响应情况计0-15分。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trPr>
        <w:tc>
          <w:tcPr>
            <w:tcW w:w="685"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疫情防控措施</w:t>
            </w:r>
          </w:p>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3882" w:type="pct"/>
            <w:noWrap w:val="0"/>
            <w:vAlign w:val="center"/>
          </w:tcPr>
          <w:p>
            <w:pPr>
              <w:pStyle w:val="45"/>
              <w:numPr>
                <w:ilvl w:val="0"/>
                <w:numId w:val="6"/>
              </w:numPr>
              <w:spacing w:after="0" w:line="360" w:lineRule="auto"/>
              <w:ind w:left="-38" w:firstLineChars="0"/>
              <w:jc w:val="both"/>
              <w:rPr>
                <w:rFonts w:hint="eastAsia" w:ascii="仿宋" w:hAnsi="仿宋" w:eastAsia="仿宋" w:cs="仿宋"/>
                <w:color w:val="auto"/>
                <w:kern w:val="2"/>
                <w:sz w:val="24"/>
                <w:szCs w:val="24"/>
                <w:highlight w:val="none"/>
                <w:lang w:val="en-US" w:eastAsia="zh-CN" w:bidi="ar-SA"/>
              </w:rPr>
            </w:pPr>
            <w:r>
              <w:rPr>
                <w:rFonts w:hint="eastAsia" w:ascii="仿宋_GB2312" w:hAnsi="宋体" w:eastAsia="仿宋_GB2312" w:cs="宋体"/>
                <w:sz w:val="24"/>
                <w:szCs w:val="24"/>
                <w:highlight w:val="none"/>
                <w:lang w:val="en-US" w:eastAsia="zh-CN"/>
              </w:rPr>
              <w:t>疫情防控措施：针对</w:t>
            </w:r>
            <w:r>
              <w:rPr>
                <w:rFonts w:hint="eastAsia" w:ascii="仿宋_GB2312" w:hAnsi="宋体" w:eastAsia="仿宋_GB2312" w:cs="宋体"/>
                <w:sz w:val="24"/>
                <w:szCs w:val="24"/>
                <w:highlight w:val="none"/>
              </w:rPr>
              <w:t>本次论坛</w:t>
            </w:r>
            <w:r>
              <w:rPr>
                <w:rFonts w:hint="eastAsia" w:ascii="仿宋_GB2312" w:hAnsi="宋体" w:eastAsia="仿宋_GB2312" w:cs="宋体"/>
                <w:sz w:val="24"/>
                <w:szCs w:val="24"/>
                <w:highlight w:val="none"/>
                <w:lang w:val="en-US" w:eastAsia="zh-CN"/>
              </w:rPr>
              <w:t>活动提供有效完善的疫情防控方案，</w:t>
            </w:r>
            <w:r>
              <w:rPr>
                <w:rFonts w:hint="eastAsia" w:ascii="仿宋_GB2312" w:hAnsi="宋体" w:eastAsia="仿宋_GB2312" w:cs="宋体"/>
                <w:sz w:val="24"/>
                <w:szCs w:val="24"/>
                <w:highlight w:val="none"/>
              </w:rPr>
              <w:t>方案描述</w:t>
            </w:r>
            <w:r>
              <w:rPr>
                <w:rFonts w:hint="eastAsia" w:ascii="仿宋_GB2312" w:hAnsi="宋体" w:eastAsia="仿宋_GB2312" w:cs="宋体"/>
                <w:sz w:val="24"/>
                <w:szCs w:val="24"/>
                <w:highlight w:val="none"/>
                <w:lang w:val="en-US" w:eastAsia="zh-CN"/>
              </w:rPr>
              <w:t>合理、</w:t>
            </w:r>
            <w:r>
              <w:rPr>
                <w:rFonts w:hint="eastAsia" w:ascii="仿宋_GB2312" w:hAnsi="宋体" w:eastAsia="仿宋_GB2312" w:cs="宋体"/>
                <w:sz w:val="24"/>
                <w:szCs w:val="24"/>
                <w:highlight w:val="none"/>
              </w:rPr>
              <w:t>详细、清晰，</w:t>
            </w:r>
            <w:r>
              <w:rPr>
                <w:rFonts w:hint="eastAsia" w:ascii="仿宋" w:hAnsi="仿宋" w:eastAsia="仿宋" w:cs="仿宋"/>
                <w:color w:val="auto"/>
                <w:sz w:val="24"/>
                <w:szCs w:val="24"/>
                <w:highlight w:val="none"/>
              </w:rPr>
              <w:t>由磋商小组</w:t>
            </w:r>
            <w:r>
              <w:rPr>
                <w:rFonts w:hint="eastAsia" w:ascii="仿宋" w:hAnsi="仿宋" w:eastAsia="仿宋" w:cs="仿宋"/>
                <w:kern w:val="2"/>
                <w:sz w:val="24"/>
                <w:szCs w:val="24"/>
                <w:highlight w:val="none"/>
                <w:lang w:val="en-US" w:eastAsia="zh-CN" w:bidi="zh-CN"/>
              </w:rPr>
              <w:t>根据文件响应情况计0-5分。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vMerge w:val="restar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服务措施</w:t>
            </w:r>
          </w:p>
          <w:p>
            <w:pPr>
              <w:pStyle w:val="10"/>
              <w:rPr>
                <w:rFonts w:hint="default"/>
                <w:highlight w:val="none"/>
                <w:lang w:val="en-US" w:eastAsia="zh-CN"/>
              </w:rPr>
            </w:pPr>
            <w:r>
              <w:rPr>
                <w:rFonts w:hint="eastAsia" w:ascii="仿宋" w:hAnsi="仿宋" w:eastAsia="仿宋" w:cs="仿宋"/>
                <w:color w:val="auto"/>
                <w:kern w:val="2"/>
                <w:sz w:val="24"/>
                <w:szCs w:val="24"/>
                <w:highlight w:val="none"/>
                <w:lang w:val="en-US" w:eastAsia="zh-CN" w:bidi="ar-SA"/>
              </w:rPr>
              <w:t>（10分）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3882" w:type="pct"/>
            <w:noWrap w:val="0"/>
            <w:vAlign w:val="center"/>
          </w:tcPr>
          <w:p>
            <w:pPr>
              <w:pStyle w:val="10"/>
              <w:numPr>
                <w:ilvl w:val="0"/>
                <w:numId w:val="0"/>
              </w:numPr>
              <w:ind w:left="0" w:leftChars="0" w:firstLine="0" w:firstLineChars="0"/>
              <w:rPr>
                <w:rFonts w:hint="eastAsia" w:ascii="仿宋_GB2312" w:hAnsi="宋体" w:eastAsia="仿宋_GB2312" w:cs="宋体"/>
                <w:color w:val="auto"/>
                <w:kern w:val="2"/>
                <w:sz w:val="24"/>
                <w:szCs w:val="24"/>
                <w:highlight w:val="none"/>
                <w:lang w:val="en-US" w:eastAsia="zh-CN" w:bidi="ar-SA"/>
              </w:rPr>
            </w:pPr>
            <w:r>
              <w:rPr>
                <w:rFonts w:hint="eastAsia" w:ascii="仿宋_GB2312" w:hAnsi="宋体" w:eastAsia="仿宋_GB2312" w:cs="宋体"/>
                <w:color w:val="auto"/>
                <w:kern w:val="2"/>
                <w:sz w:val="24"/>
                <w:szCs w:val="24"/>
                <w:highlight w:val="none"/>
                <w:lang w:val="en-US" w:eastAsia="zh-CN" w:bidi="ar-SA"/>
              </w:rPr>
              <w:t>1、</w:t>
            </w:r>
            <w:r>
              <w:rPr>
                <w:rFonts w:hint="eastAsia" w:ascii="仿宋_GB2312" w:hAnsi="宋体" w:eastAsia="仿宋_GB2312" w:cs="宋体"/>
                <w:color w:val="auto"/>
                <w:kern w:val="2"/>
                <w:sz w:val="24"/>
                <w:szCs w:val="24"/>
                <w:highlight w:val="none"/>
                <w:lang w:val="zh-CN" w:eastAsia="zh-CN" w:bidi="ar-SA"/>
              </w:rPr>
              <w:t>服务承诺：</w:t>
            </w:r>
            <w:r>
              <w:rPr>
                <w:rFonts w:hint="eastAsia" w:ascii="仿宋_GB2312" w:hAnsi="宋体" w:eastAsia="仿宋_GB2312" w:cs="宋体"/>
                <w:color w:val="auto"/>
                <w:kern w:val="2"/>
                <w:sz w:val="24"/>
                <w:szCs w:val="24"/>
                <w:highlight w:val="none"/>
                <w:lang w:val="en-US" w:eastAsia="zh-CN" w:bidi="ar-SA"/>
              </w:rPr>
              <w:t>服务承诺</w:t>
            </w:r>
            <w:r>
              <w:rPr>
                <w:rFonts w:hint="eastAsia" w:ascii="仿宋_GB2312" w:hAnsi="宋体" w:eastAsia="仿宋_GB2312" w:cs="宋体"/>
                <w:color w:val="auto"/>
                <w:kern w:val="2"/>
                <w:sz w:val="24"/>
                <w:szCs w:val="24"/>
                <w:highlight w:val="none"/>
                <w:lang w:val="zh-CN" w:eastAsia="zh-CN" w:bidi="ar-SA"/>
              </w:rPr>
              <w:t>保证服务质量，承诺在项目交付前无条件服从并落实采购人对设计方案提出的修改要求且不得增加相应费用</w:t>
            </w:r>
            <w:r>
              <w:rPr>
                <w:rFonts w:hint="eastAsia" w:ascii="仿宋_GB2312" w:hAnsi="宋体" w:eastAsia="仿宋_GB2312" w:cs="宋体"/>
                <w:color w:val="auto"/>
                <w:kern w:val="2"/>
                <w:sz w:val="24"/>
                <w:szCs w:val="24"/>
                <w:highlight w:val="none"/>
                <w:lang w:val="en-US" w:eastAsia="zh-CN" w:bidi="ar-SA"/>
              </w:rPr>
              <w:t>；</w:t>
            </w:r>
            <w:r>
              <w:rPr>
                <w:rFonts w:hint="eastAsia" w:ascii="仿宋_GB2312" w:hAnsi="宋体" w:eastAsia="仿宋_GB2312" w:cs="宋体"/>
                <w:color w:val="auto"/>
                <w:kern w:val="2"/>
                <w:sz w:val="24"/>
                <w:szCs w:val="24"/>
                <w:highlight w:val="none"/>
                <w:lang w:val="zh-CN" w:eastAsia="zh-CN" w:bidi="ar-SA"/>
              </w:rPr>
              <w:t>由磋商小组</w:t>
            </w:r>
            <w:r>
              <w:rPr>
                <w:rFonts w:hint="eastAsia" w:ascii="仿宋_GB2312" w:hAnsi="宋体" w:eastAsia="仿宋_GB2312" w:cs="宋体"/>
                <w:color w:val="auto"/>
                <w:kern w:val="2"/>
                <w:sz w:val="24"/>
                <w:szCs w:val="24"/>
                <w:highlight w:val="none"/>
                <w:lang w:val="en-US" w:eastAsia="zh-CN" w:bidi="ar-SA"/>
              </w:rPr>
              <w:t>根据文件响应情况计0-5分。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vMerge w:val="continue"/>
            <w:noWrap w:val="0"/>
            <w:vAlign w:val="center"/>
          </w:tcPr>
          <w:p>
            <w:pPr>
              <w:pStyle w:val="10"/>
              <w:rPr>
                <w:rFonts w:hint="eastAsia" w:ascii="仿宋" w:hAnsi="仿宋" w:eastAsia="仿宋" w:cs="仿宋"/>
                <w:color w:val="auto"/>
                <w:kern w:val="2"/>
                <w:sz w:val="24"/>
                <w:szCs w:val="24"/>
                <w:highlight w:val="none"/>
                <w:lang w:val="en-US" w:eastAsia="zh-CN" w:bidi="ar-SA"/>
              </w:rPr>
            </w:pP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3882" w:type="pct"/>
            <w:noWrap w:val="0"/>
            <w:vAlign w:val="center"/>
          </w:tcPr>
          <w:p>
            <w:pPr>
              <w:pStyle w:val="10"/>
              <w:numPr>
                <w:ilvl w:val="0"/>
                <w:numId w:val="0"/>
              </w:numPr>
              <w:ind w:left="0" w:leftChars="0" w:firstLine="0" w:firstLineChars="0"/>
              <w:rPr>
                <w:rFonts w:hint="eastAsia" w:ascii="仿宋_GB2312" w:hAnsi="宋体" w:eastAsia="仿宋_GB2312" w:cs="宋体"/>
                <w:color w:val="auto"/>
                <w:kern w:val="2"/>
                <w:sz w:val="24"/>
                <w:szCs w:val="24"/>
                <w:highlight w:val="none"/>
                <w:lang w:val="en-US" w:eastAsia="zh-CN" w:bidi="ar-SA"/>
              </w:rPr>
            </w:pPr>
            <w:r>
              <w:rPr>
                <w:rFonts w:hint="eastAsia" w:ascii="仿宋_GB2312" w:hAnsi="宋体" w:eastAsia="仿宋_GB2312" w:cs="宋体"/>
                <w:color w:val="auto"/>
                <w:kern w:val="2"/>
                <w:sz w:val="24"/>
                <w:szCs w:val="24"/>
                <w:highlight w:val="none"/>
                <w:lang w:val="en-US" w:eastAsia="zh-CN" w:bidi="ar-SA"/>
              </w:rPr>
              <w:t>2、</w:t>
            </w:r>
            <w:r>
              <w:rPr>
                <w:rFonts w:hint="eastAsia" w:ascii="仿宋_GB2312" w:hAnsi="宋体" w:eastAsia="仿宋_GB2312" w:cs="宋体"/>
                <w:color w:val="auto"/>
                <w:kern w:val="2"/>
                <w:sz w:val="24"/>
                <w:szCs w:val="24"/>
                <w:highlight w:val="none"/>
                <w:lang w:val="zh-CN" w:eastAsia="zh-CN" w:bidi="ar-SA"/>
              </w:rPr>
              <w:t>后勤保障：提供</w:t>
            </w:r>
            <w:r>
              <w:rPr>
                <w:rFonts w:hint="eastAsia" w:ascii="仿宋_GB2312" w:hAnsi="宋体" w:eastAsia="仿宋_GB2312" w:cs="宋体"/>
                <w:color w:val="auto"/>
                <w:kern w:val="2"/>
                <w:sz w:val="24"/>
                <w:szCs w:val="24"/>
                <w:highlight w:val="none"/>
                <w:lang w:val="en-US" w:eastAsia="zh-CN" w:bidi="ar-SA"/>
              </w:rPr>
              <w:t>本次论坛</w:t>
            </w:r>
            <w:r>
              <w:rPr>
                <w:rFonts w:hint="eastAsia" w:ascii="仿宋_GB2312" w:hAnsi="宋体" w:eastAsia="仿宋_GB2312" w:cs="宋体"/>
                <w:color w:val="auto"/>
                <w:kern w:val="2"/>
                <w:sz w:val="24"/>
                <w:szCs w:val="24"/>
                <w:highlight w:val="none"/>
                <w:lang w:val="zh-CN" w:eastAsia="zh-CN" w:bidi="ar-SA"/>
              </w:rPr>
              <w:t>安保、消防等后勤保障措施和突发情况预案。措施完备、可行性强、针对性强</w:t>
            </w:r>
            <w:r>
              <w:rPr>
                <w:rFonts w:hint="eastAsia" w:ascii="仿宋_GB2312" w:hAnsi="宋体" w:eastAsia="仿宋_GB2312" w:cs="宋体"/>
                <w:color w:val="auto"/>
                <w:kern w:val="2"/>
                <w:sz w:val="24"/>
                <w:szCs w:val="24"/>
                <w:highlight w:val="none"/>
                <w:lang w:val="en-US" w:eastAsia="zh-CN" w:bidi="ar-SA"/>
              </w:rPr>
              <w:t>，</w:t>
            </w:r>
            <w:r>
              <w:rPr>
                <w:rFonts w:hint="eastAsia" w:ascii="仿宋_GB2312" w:hAnsi="宋体" w:eastAsia="仿宋_GB2312" w:cs="宋体"/>
                <w:color w:val="auto"/>
                <w:kern w:val="2"/>
                <w:sz w:val="24"/>
                <w:szCs w:val="24"/>
                <w:highlight w:val="none"/>
                <w:lang w:val="zh-CN" w:eastAsia="zh-CN" w:bidi="ar-SA"/>
              </w:rPr>
              <w:t>由磋商小组</w:t>
            </w:r>
            <w:r>
              <w:rPr>
                <w:rFonts w:hint="eastAsia" w:ascii="仿宋_GB2312" w:hAnsi="宋体" w:eastAsia="仿宋_GB2312" w:cs="宋体"/>
                <w:color w:val="auto"/>
                <w:kern w:val="2"/>
                <w:sz w:val="24"/>
                <w:szCs w:val="24"/>
                <w:highlight w:val="none"/>
                <w:lang w:val="en-US" w:eastAsia="zh-CN" w:bidi="ar-SA"/>
              </w:rPr>
              <w:t>根据文件响应情况计0-5分。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人员配备（5分）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3882" w:type="pct"/>
            <w:noWrap w:val="0"/>
            <w:vAlign w:val="center"/>
          </w:tcPr>
          <w:p>
            <w:pPr>
              <w:rPr>
                <w:rFonts w:hint="eastAsia" w:ascii="仿宋_GB2312" w:hAnsi="宋体" w:eastAsia="仿宋_GB2312" w:cs="宋体"/>
                <w:sz w:val="24"/>
                <w:szCs w:val="24"/>
                <w:highlight w:val="none"/>
                <w:lang w:val="en-US" w:eastAsia="zh-CN"/>
              </w:rPr>
            </w:pPr>
            <w:r>
              <w:rPr>
                <w:rFonts w:hint="eastAsia" w:ascii="仿宋_GB2312" w:hAnsi="宋体" w:eastAsia="仿宋_GB2312" w:cs="宋体"/>
                <w:sz w:val="24"/>
                <w:szCs w:val="24"/>
                <w:highlight w:val="none"/>
              </w:rPr>
              <w:t>项目实施团队完备、人员配备合理、相应专业技术人员齐全、拥有专职汽车行业研究人员，分工明确</w:t>
            </w:r>
            <w:r>
              <w:rPr>
                <w:rFonts w:hint="eastAsia" w:ascii="仿宋_GB2312" w:hAnsi="宋体" w:eastAsia="仿宋_GB2312" w:cs="宋体"/>
                <w:sz w:val="24"/>
                <w:szCs w:val="24"/>
                <w:highlight w:val="none"/>
                <w:lang w:eastAsia="zh-CN"/>
              </w:rPr>
              <w:t>，</w:t>
            </w:r>
            <w:r>
              <w:rPr>
                <w:rFonts w:hint="eastAsia" w:ascii="仿宋_GB2312" w:hAnsi="宋体" w:eastAsia="仿宋_GB2312" w:cs="宋体"/>
                <w:color w:val="auto"/>
                <w:kern w:val="2"/>
                <w:sz w:val="24"/>
                <w:szCs w:val="24"/>
                <w:highlight w:val="none"/>
                <w:lang w:val="zh-CN" w:eastAsia="zh-CN" w:bidi="ar-SA"/>
              </w:rPr>
              <w:t>由磋商小组</w:t>
            </w:r>
            <w:r>
              <w:rPr>
                <w:rFonts w:hint="eastAsia" w:ascii="仿宋_GB2312" w:hAnsi="宋体" w:eastAsia="仿宋_GB2312" w:cs="宋体"/>
                <w:color w:val="auto"/>
                <w:kern w:val="2"/>
                <w:sz w:val="24"/>
                <w:szCs w:val="24"/>
                <w:highlight w:val="none"/>
                <w:lang w:val="en-US" w:eastAsia="zh-CN" w:bidi="ar-SA"/>
              </w:rPr>
              <w:t>根据文件响应情况计0-5分。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增值服务（5分）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3882" w:type="pct"/>
            <w:noWrap w:val="0"/>
            <w:vAlign w:val="center"/>
          </w:tcPr>
          <w:p>
            <w:pPr>
              <w:rPr>
                <w:rFonts w:hint="eastAsia" w:ascii="仿宋" w:hAnsi="仿宋" w:eastAsia="仿宋" w:cs="仿宋"/>
                <w:color w:val="auto"/>
                <w:kern w:val="2"/>
                <w:sz w:val="24"/>
                <w:szCs w:val="24"/>
                <w:highlight w:val="none"/>
                <w:lang w:val="en-US" w:eastAsia="zh-CN" w:bidi="ar-SA"/>
              </w:rPr>
            </w:pPr>
            <w:r>
              <w:rPr>
                <w:rFonts w:hint="eastAsia" w:ascii="仿宋_GB2312" w:hAnsi="宋体" w:eastAsia="仿宋_GB2312" w:cs="宋体"/>
                <w:sz w:val="24"/>
                <w:szCs w:val="24"/>
                <w:highlight w:val="none"/>
                <w:lang w:val="en-US" w:eastAsia="zh-CN"/>
              </w:rPr>
              <w:t>增值服务：</w:t>
            </w:r>
            <w:r>
              <w:rPr>
                <w:rFonts w:hint="eastAsia" w:ascii="仿宋_GB2312" w:hAnsi="宋体" w:eastAsia="仿宋_GB2312" w:cs="宋体"/>
                <w:sz w:val="24"/>
                <w:szCs w:val="24"/>
                <w:highlight w:val="none"/>
              </w:rPr>
              <w:t>供应商根据自身情况，结合本次论坛所能做出的其他承诺，</w:t>
            </w:r>
            <w:r>
              <w:rPr>
                <w:rFonts w:hint="eastAsia" w:ascii="仿宋_GB2312" w:hAnsi="宋体" w:eastAsia="仿宋_GB2312" w:cs="宋体"/>
                <w:color w:val="auto"/>
                <w:kern w:val="2"/>
                <w:sz w:val="24"/>
                <w:szCs w:val="24"/>
                <w:highlight w:val="none"/>
                <w:lang w:val="zh-CN" w:eastAsia="zh-CN" w:bidi="ar-SA"/>
              </w:rPr>
              <w:t>由磋商小组</w:t>
            </w:r>
            <w:r>
              <w:rPr>
                <w:rFonts w:hint="eastAsia" w:ascii="仿宋_GB2312" w:hAnsi="宋体" w:eastAsia="仿宋_GB2312" w:cs="宋体"/>
                <w:color w:val="auto"/>
                <w:kern w:val="2"/>
                <w:sz w:val="24"/>
                <w:szCs w:val="24"/>
                <w:highlight w:val="none"/>
                <w:lang w:val="en-US" w:eastAsia="zh-CN" w:bidi="ar-SA"/>
              </w:rPr>
              <w:t>根据文件响应情况计0-5分。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85"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业绩    （5分）</w:t>
            </w:r>
          </w:p>
        </w:tc>
        <w:tc>
          <w:tcPr>
            <w:tcW w:w="432" w:type="pct"/>
            <w:noWrap w:val="0"/>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5分</w:t>
            </w:r>
          </w:p>
        </w:tc>
        <w:tc>
          <w:tcPr>
            <w:tcW w:w="3882" w:type="pct"/>
            <w:noWrap w:val="0"/>
            <w:vAlign w:val="center"/>
          </w:tcPr>
          <w:p>
            <w:pPr>
              <w:numPr>
                <w:ilvl w:val="0"/>
                <w:numId w:val="0"/>
              </w:numPr>
              <w:ind w:left="-12" w:leftChars="-5"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供应商具有2019年1月至今同类业绩，提供合同复印件或中标通知书并加盖公章（原件备查），每提供一个得1分，最高得5分。</w:t>
            </w:r>
          </w:p>
        </w:tc>
      </w:tr>
    </w:tbl>
    <w:p>
      <w:pPr>
        <w:keepNext w:val="0"/>
        <w:keepLines w:val="0"/>
        <w:pageBreakBefore w:val="0"/>
        <w:widowControl w:val="0"/>
        <w:kinsoku/>
        <w:wordWrap/>
        <w:topLinePunct w:val="0"/>
        <w:autoSpaceDE/>
        <w:autoSpaceDN/>
        <w:bidi w:val="0"/>
        <w:spacing w:line="460" w:lineRule="exact"/>
        <w:textAlignment w:val="auto"/>
        <w:rPr>
          <w:rFonts w:hint="eastAsia" w:ascii="仿宋" w:hAnsi="仿宋" w:eastAsia="仿宋" w:cs="仿宋"/>
          <w:color w:val="auto"/>
          <w:sz w:val="24"/>
          <w:szCs w:val="24"/>
          <w:highlight w:val="none"/>
        </w:rPr>
      </w:pP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0" w:type="pct"/>
            <w:vAlign w:val="center"/>
          </w:tcPr>
          <w:p>
            <w:pPr>
              <w:jc w:val="left"/>
              <w:rPr>
                <w:rFonts w:ascii="仿宋" w:hAnsi="仿宋" w:eastAsia="仿宋"/>
                <w:sz w:val="24"/>
                <w:highlight w:val="none"/>
              </w:rPr>
            </w:pPr>
            <w:bookmarkStart w:id="83" w:name="_Toc5721_WPSOffice_Level2"/>
            <w:bookmarkStart w:id="84" w:name="_Toc30254_WPSOffice_Level2"/>
            <w:bookmarkStart w:id="85" w:name="_Toc19224_WPSOffice_Level2"/>
            <w:r>
              <w:rPr>
                <w:rFonts w:hint="eastAsia" w:ascii="仿宋" w:hAnsi="仿宋" w:eastAsia="仿宋"/>
                <w:sz w:val="24"/>
                <w:highlight w:val="none"/>
              </w:rPr>
              <w:t>备注：1、在评审期间，磋商小组只对需要询问的供应商进行询问；</w:t>
            </w:r>
          </w:p>
          <w:p>
            <w:pPr>
              <w:jc w:val="left"/>
              <w:rPr>
                <w:rFonts w:hint="eastAsia" w:ascii="仿宋" w:hAnsi="仿宋" w:eastAsia="仿宋"/>
                <w:sz w:val="24"/>
                <w:highlight w:val="none"/>
                <w:lang w:eastAsia="zh-CN"/>
              </w:rPr>
            </w:pPr>
            <w:r>
              <w:rPr>
                <w:rFonts w:hint="eastAsia" w:ascii="仿宋" w:hAnsi="仿宋" w:eastAsia="仿宋"/>
                <w:sz w:val="24"/>
                <w:highlight w:val="none"/>
              </w:rPr>
              <w:t>2、以上证明材料提供复印件加盖供应商公章装订在正、副本中</w:t>
            </w:r>
            <w:r>
              <w:rPr>
                <w:rFonts w:hint="eastAsia" w:ascii="仿宋" w:hAnsi="仿宋" w:eastAsia="仿宋"/>
                <w:sz w:val="24"/>
                <w:highlight w:val="none"/>
                <w:lang w:eastAsia="zh-CN"/>
              </w:rPr>
              <w:t>。</w:t>
            </w:r>
          </w:p>
        </w:tc>
      </w:tr>
      <w:bookmarkEnd w:id="83"/>
      <w:bookmarkEnd w:id="84"/>
      <w:bookmarkEnd w:id="85"/>
    </w:tbl>
    <w:p>
      <w:pPr>
        <w:keepNext w:val="0"/>
        <w:keepLines w:val="0"/>
        <w:pageBreakBefore w:val="0"/>
        <w:widowControl w:val="0"/>
        <w:kinsoku/>
        <w:wordWrap/>
        <w:topLinePunct w:val="0"/>
        <w:autoSpaceDE/>
        <w:autoSpaceDN/>
        <w:bidi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5.4评标排序</w:t>
      </w:r>
    </w:p>
    <w:p>
      <w:pPr>
        <w:keepNext w:val="0"/>
        <w:keepLines w:val="0"/>
        <w:pageBreakBefore w:val="0"/>
        <w:widowControl w:val="0"/>
        <w:kinsoku/>
        <w:wordWrap/>
        <w:topLinePunct w:val="0"/>
        <w:autoSpaceDE/>
        <w:autoSpaceDN/>
        <w:bidi w:val="0"/>
        <w:spacing w:line="4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小组成员应当按照评审办法的规定，独立评分并署名。各供应商的综合得分为商务和技术得分与报价得分之和。按照综合得分由高到低的顺序，磋商小组对供应商进行排名。如最终得分相同时，则取磋商价报价较低的优先；磋商报价也相同时，则取投磋商文件中商务文件得分较高的优先。当一个供应商的综合得分在多个标段同时排名第一时，仅保留合同金额较大标段的中标资格，合同金额较小标段各供应商排序依次递</w:t>
      </w:r>
      <w:r>
        <w:rPr>
          <w:rFonts w:hint="eastAsia" w:ascii="仿宋" w:hAnsi="仿宋" w:eastAsia="仿宋" w:cs="仿宋"/>
          <w:color w:val="auto"/>
          <w:sz w:val="24"/>
          <w:szCs w:val="24"/>
          <w:highlight w:val="none"/>
          <w:lang w:val="en-US" w:eastAsia="zh-CN"/>
        </w:rPr>
        <w:t>补</w:t>
      </w:r>
      <w:r>
        <w:rPr>
          <w:rFonts w:hint="eastAsia" w:ascii="仿宋" w:hAnsi="仿宋" w:eastAsia="仿宋" w:cs="仿宋"/>
          <w:color w:val="auto"/>
          <w:sz w:val="24"/>
          <w:szCs w:val="24"/>
          <w:highlight w:val="none"/>
        </w:rPr>
        <w:t>。</w:t>
      </w:r>
    </w:p>
    <w:p>
      <w:pPr>
        <w:keepNext w:val="0"/>
        <w:keepLines w:val="0"/>
        <w:pageBreakBefore w:val="0"/>
        <w:widowControl w:val="0"/>
        <w:kinsoku/>
        <w:wordWrap/>
        <w:topLinePunct w:val="0"/>
        <w:autoSpaceDE/>
        <w:autoSpaceDN/>
        <w:bidi w:val="0"/>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6.需要落实的政府采购政策</w:t>
      </w:r>
    </w:p>
    <w:p>
      <w:pPr>
        <w:keepNext w:val="0"/>
        <w:keepLines w:val="0"/>
        <w:pageBreakBefore w:val="0"/>
        <w:widowControl w:val="0"/>
        <w:kinsoku/>
        <w:wordWrap/>
        <w:topLinePunct w:val="0"/>
        <w:autoSpaceDE/>
        <w:autoSpaceDN/>
        <w:bidi w:val="0"/>
        <w:spacing w:line="460" w:lineRule="exact"/>
        <w:ind w:firstLine="540" w:firstLineChars="22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满足以下文件要求中任意一条（及以上），其制造（生产）产品的价格给予6%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工程3%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的扣除，用扣除后价格参与评审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对于同时属于小微企业、监狱企业或残疾人福利性单位的，不重复进行</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报价扣除。</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1.1根据财政部、工业和信息化部关于印发《政府采购促进中小企业发展管理办法》的通知(财库〔2020〕46号)。在政府采购活动中，供应商提供的货物、工程或者服务符合下列情形的，享受《办法》规定的中小企业扶持政策:</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(一)在货物采购项目中，货物由中小企业制造，即货物由中小企业生产且使用该中小企业商号或者注册商标；</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(二)在工程采购项目中，工程由中小企业承建，即工程施工单位为中小企业；</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(三)在服务采购项目中，服务由中小企业承接，即提供服务的人员为中小企业依照《中华人民共和国劳动合同法》订立劳动合同的从业人员。</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在货物采购项目中，供应商提供的货物既有中小企业制造货物，也有大型企业制造货物的，不享受本办法规定的中小企业扶持政策。</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以联合体形式参加政府采购活动，联合体各方均为中小企业的，联合体视同中小企业。其中，联合体各方均为小微企业的，联合体视同小微企业</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topLinePunct w:val="0"/>
        <w:autoSpaceDE/>
        <w:autoSpaceDN/>
        <w:bidi w:val="0"/>
        <w:spacing w:line="460" w:lineRule="exact"/>
        <w:ind w:firstLine="540" w:firstLineChars="225"/>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联合协议中约定，小型、微型企业和监狱企业的协议合同金额占到联合体协议合同总金额30%以上的，可给予联合体2%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工程1%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的价格扣除。</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依据《政府采购促进中小企业发展管理办法》规定享受扶持政策获得政府采购合同的，小微企业不得将合同分包给大中型企业，中型企业不得将合同分包给大型企业。</w:t>
      </w:r>
    </w:p>
    <w:p>
      <w:pPr>
        <w:keepNext w:val="0"/>
        <w:keepLines w:val="0"/>
        <w:pageBreakBefore w:val="0"/>
        <w:widowControl w:val="0"/>
        <w:kinsoku/>
        <w:wordWrap/>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中小企业参加政府采购活动，应当出具本办法规定的《中小企业声明函》（见附件），并对声明的真实性负责。否则，按照有关规定予以处理。</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.1.2监狱和戒毒企业应符合《财政部司法部关于政府采购支持监狱企业发展有关问题的通知》--财库〔2014〕68号，并提供声明，并对声明的真实性负责。</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xml:space="preserve">.1.3符合条件的残疾人福利性单位在参加政府采购活动时，应当提供财库〔2017〕141号文规定的《残疾人福利性单位声明函》，并对声明的真实性负责。 </w:t>
      </w:r>
    </w:p>
    <w:p>
      <w:pPr>
        <w:keepNext w:val="0"/>
        <w:keepLines w:val="0"/>
        <w:pageBreakBefore w:val="0"/>
        <w:widowControl w:val="0"/>
        <w:kinsoku/>
        <w:wordWrap/>
        <w:overflowPunct w:val="0"/>
        <w:topLinePunct w:val="0"/>
        <w:autoSpaceDE/>
        <w:autoSpaceDN/>
        <w:bidi w:val="0"/>
        <w:adjustRightInd w:val="0"/>
        <w:snapToGrid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所投</w:t>
      </w:r>
      <w:r>
        <w:rPr>
          <w:rFonts w:hint="eastAsia" w:ascii="仿宋" w:hAnsi="仿宋" w:eastAsia="仿宋" w:cs="仿宋"/>
          <w:color w:val="auto"/>
          <w:sz w:val="24"/>
          <w:szCs w:val="24"/>
          <w:highlight w:val="none"/>
        </w:rPr>
        <w:t>产品政府采购政策</w:t>
      </w:r>
      <w:r>
        <w:rPr>
          <w:rFonts w:hint="eastAsia" w:ascii="仿宋" w:hAnsi="仿宋" w:eastAsia="仿宋" w:cs="仿宋"/>
          <w:bCs/>
          <w:color w:val="auto"/>
          <w:sz w:val="24"/>
          <w:szCs w:val="24"/>
          <w:highlight w:val="none"/>
        </w:rPr>
        <w:t>（所投产品满足以下文件要求中任意一条（及以上），其价格给予3%的扣除，用扣除后价格参与评审。</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.2.1节能产品根据《国务院办公厅关于建立政府强制采购节能产品制度的通知》（国办发〔2007〕51号）的规定，以财库〔2019〕9号为准。</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.2.2环境标志产品根据《环境标志产品政府采购实施的意见》（财库[2006]90号）的规定，以财库〔2019〕9号为准。</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2.3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.2.4对于已列入品目清单的产品类别，采购人可在采购需求中提出更高的节约资源和保护环境要求，对符合条件的获证产品给予优先待遇。</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.2.5供应商在</w:t>
      </w:r>
      <w:r>
        <w:rPr>
          <w:rFonts w:hint="eastAsia" w:ascii="仿宋" w:hAnsi="仿宋" w:eastAsia="仿宋" w:cs="仿宋"/>
          <w:bCs/>
          <w:color w:val="auto"/>
          <w:sz w:val="24"/>
          <w:szCs w:val="24"/>
          <w:highlight w:val="none"/>
          <w:lang w:val="en-US" w:eastAsia="zh-CN"/>
        </w:rPr>
        <w:t>响应</w:t>
      </w:r>
      <w:r>
        <w:rPr>
          <w:rFonts w:hint="eastAsia" w:ascii="仿宋" w:hAnsi="仿宋" w:eastAsia="仿宋" w:cs="仿宋"/>
          <w:bCs/>
          <w:color w:val="auto"/>
          <w:sz w:val="24"/>
          <w:szCs w:val="24"/>
          <w:highlight w:val="none"/>
        </w:rPr>
        <w:t>文件中对所</w:t>
      </w:r>
      <w:r>
        <w:rPr>
          <w:rFonts w:hint="eastAsia" w:ascii="仿宋" w:hAnsi="仿宋" w:eastAsia="仿宋" w:cs="仿宋"/>
          <w:bCs/>
          <w:color w:val="auto"/>
          <w:sz w:val="24"/>
          <w:szCs w:val="24"/>
          <w:highlight w:val="none"/>
          <w:lang w:val="en-US" w:eastAsia="zh-CN"/>
        </w:rPr>
        <w:t>投</w:t>
      </w:r>
      <w:r>
        <w:rPr>
          <w:rFonts w:hint="eastAsia" w:ascii="仿宋" w:hAnsi="仿宋" w:eastAsia="仿宋" w:cs="仿宋"/>
          <w:bCs/>
          <w:color w:val="auto"/>
          <w:sz w:val="24"/>
          <w:szCs w:val="24"/>
          <w:highlight w:val="none"/>
        </w:rPr>
        <w:t>产品为节能、环保、环境标志产品清单中的产品，在</w:t>
      </w:r>
      <w:r>
        <w:rPr>
          <w:rFonts w:hint="eastAsia" w:ascii="仿宋" w:hAnsi="仿宋" w:eastAsia="仿宋" w:cs="仿宋"/>
          <w:bCs/>
          <w:color w:val="auto"/>
          <w:sz w:val="24"/>
          <w:szCs w:val="24"/>
          <w:highlight w:val="none"/>
          <w:lang w:val="en-US" w:eastAsia="zh-CN"/>
        </w:rPr>
        <w:t>磋商</w:t>
      </w:r>
      <w:r>
        <w:rPr>
          <w:rFonts w:hint="eastAsia" w:ascii="仿宋" w:hAnsi="仿宋" w:eastAsia="仿宋" w:cs="仿宋"/>
          <w:bCs/>
          <w:color w:val="auto"/>
          <w:sz w:val="24"/>
          <w:szCs w:val="24"/>
          <w:highlight w:val="none"/>
        </w:rPr>
        <w:t>报价时必须对此类产品单独分项报价，计算出小计金额。未提供节能、环保、环境标志产品计分明细表的不给予计分。</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.2.6若节能、环保、环境标志清单内的产品仅是构成</w:t>
      </w:r>
      <w:r>
        <w:rPr>
          <w:rFonts w:hint="eastAsia" w:ascii="仿宋" w:hAnsi="仿宋" w:eastAsia="仿宋" w:cs="仿宋"/>
          <w:bCs/>
          <w:color w:val="auto"/>
          <w:sz w:val="24"/>
          <w:szCs w:val="24"/>
          <w:highlight w:val="none"/>
          <w:lang w:val="en-US" w:eastAsia="zh-CN"/>
        </w:rPr>
        <w:t>所投</w:t>
      </w:r>
      <w:r>
        <w:rPr>
          <w:rFonts w:hint="eastAsia" w:ascii="仿宋" w:hAnsi="仿宋" w:eastAsia="仿宋" w:cs="仿宋"/>
          <w:bCs/>
          <w:color w:val="auto"/>
          <w:sz w:val="24"/>
          <w:szCs w:val="24"/>
          <w:highlight w:val="none"/>
        </w:rPr>
        <w:t>产品的部件、组件或零件的，则该产品不享受鼓励优惠政策。</w:t>
      </w:r>
    </w:p>
    <w:p>
      <w:pPr>
        <w:keepNext w:val="0"/>
        <w:keepLines w:val="0"/>
        <w:pageBreakBefore w:val="0"/>
        <w:widowControl w:val="0"/>
        <w:kinsoku/>
        <w:wordWrap/>
        <w:topLinePunct w:val="0"/>
        <w:autoSpaceDE/>
        <w:autoSpaceDN/>
        <w:bidi w:val="0"/>
        <w:adjustRightInd w:val="0"/>
        <w:snapToGrid w:val="0"/>
        <w:spacing w:line="46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.2.7节能、环保、环境标志产品不重复计分；同时列入国家级清单和省级清单的产品不重复计分。</w:t>
      </w:r>
    </w:p>
    <w:p>
      <w:pP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br w:type="page"/>
      </w:r>
    </w:p>
    <w:p>
      <w:pPr>
        <w:widowControl/>
        <w:spacing w:line="240" w:lineRule="auto"/>
        <w:jc w:val="center"/>
        <w:outlineLvl w:val="0"/>
        <w:rPr>
          <w:rFonts w:hint="eastAsia" w:ascii="仿宋" w:hAnsi="仿宋" w:eastAsia="仿宋" w:cs="仿宋"/>
          <w:b/>
          <w:bCs/>
          <w:color w:val="auto"/>
          <w:kern w:val="2"/>
          <w:sz w:val="36"/>
          <w:szCs w:val="36"/>
          <w:highlight w:val="none"/>
          <w:lang w:val="en-US" w:eastAsia="zh-CN" w:bidi="ar-SA"/>
        </w:rPr>
      </w:pPr>
      <w:bookmarkStart w:id="86" w:name="_Toc13105"/>
      <w:bookmarkStart w:id="87" w:name="_Toc17274"/>
      <w:r>
        <w:rPr>
          <w:rFonts w:hint="eastAsia" w:ascii="仿宋" w:hAnsi="仿宋" w:eastAsia="仿宋" w:cs="仿宋"/>
          <w:b/>
          <w:bCs/>
          <w:color w:val="auto"/>
          <w:kern w:val="2"/>
          <w:sz w:val="36"/>
          <w:szCs w:val="36"/>
          <w:highlight w:val="none"/>
          <w:lang w:val="en-US" w:eastAsia="zh-CN" w:bidi="ar-SA"/>
        </w:rPr>
        <w:t>第六章  竞争性磋商响应文件格式</w:t>
      </w:r>
      <w:bookmarkEnd w:id="86"/>
      <w:bookmarkEnd w:id="87"/>
    </w:p>
    <w:p>
      <w:pPr>
        <w:adjustRightInd w:val="0"/>
        <w:snapToGrid w:val="0"/>
        <w:spacing w:line="360" w:lineRule="auto"/>
        <w:ind w:right="600"/>
        <w:jc w:val="right"/>
        <w:rPr>
          <w:rFonts w:hint="eastAsia" w:ascii="仿宋" w:hAnsi="仿宋" w:eastAsia="仿宋" w:cs="仿宋"/>
          <w:b/>
          <w:color w:val="auto"/>
          <w:sz w:val="20"/>
          <w:szCs w:val="20"/>
          <w:highlight w:val="none"/>
        </w:rPr>
      </w:pPr>
      <w:bookmarkStart w:id="88" w:name="_Toc10930_WPSOffice_Level1"/>
      <w:bookmarkStart w:id="89" w:name="_Toc19196"/>
      <w:bookmarkStart w:id="90" w:name="_Toc25996_WPSOffice_Level1"/>
      <w:bookmarkStart w:id="91" w:name="_Toc5592_WPSOffice_Level1"/>
    </w:p>
    <w:p>
      <w:pPr>
        <w:adjustRightInd w:val="0"/>
        <w:snapToGrid w:val="0"/>
        <w:spacing w:line="360" w:lineRule="auto"/>
        <w:ind w:right="600"/>
        <w:jc w:val="righ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（正本或副本）</w:t>
      </w:r>
    </w:p>
    <w:p>
      <w:pPr>
        <w:wordWrap w:val="0"/>
        <w:spacing w:line="360" w:lineRule="auto"/>
        <w:ind w:right="980"/>
        <w:rPr>
          <w:rFonts w:hint="eastAsia" w:ascii="仿宋" w:hAnsi="仿宋" w:eastAsia="仿宋" w:cs="仿宋"/>
          <w:b/>
          <w:color w:val="auto"/>
          <w:sz w:val="28"/>
          <w:szCs w:val="28"/>
          <w:highlight w:val="none"/>
        </w:rPr>
      </w:pPr>
    </w:p>
    <w:p>
      <w:pPr>
        <w:wordWrap w:val="0"/>
        <w:spacing w:line="360" w:lineRule="auto"/>
        <w:ind w:right="98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项目编号：</w:t>
      </w:r>
    </w:p>
    <w:p>
      <w:pPr>
        <w:spacing w:line="360" w:lineRule="auto"/>
        <w:rPr>
          <w:rFonts w:hint="eastAsia" w:ascii="仿宋" w:hAnsi="仿宋" w:eastAsia="仿宋" w:cs="仿宋"/>
          <w:b/>
          <w:color w:val="auto"/>
          <w:sz w:val="24"/>
          <w:szCs w:val="24"/>
          <w:highlight w:val="none"/>
        </w:rPr>
      </w:pPr>
    </w:p>
    <w:p>
      <w:pPr>
        <w:adjustRightInd w:val="0"/>
        <w:snapToGrid w:val="0"/>
        <w:spacing w:line="360" w:lineRule="auto"/>
        <w:jc w:val="center"/>
        <w:rPr>
          <w:rFonts w:hint="eastAsia" w:ascii="仿宋" w:hAnsi="仿宋" w:eastAsia="仿宋" w:cs="仿宋"/>
          <w:bCs/>
          <w:color w:val="auto"/>
          <w:sz w:val="48"/>
          <w:szCs w:val="48"/>
          <w:highlight w:val="none"/>
        </w:rPr>
      </w:pPr>
      <w:r>
        <w:rPr>
          <w:rFonts w:hint="eastAsia" w:ascii="仿宋" w:hAnsi="仿宋" w:eastAsia="仿宋" w:cs="仿宋"/>
          <w:bCs/>
          <w:color w:val="auto"/>
          <w:sz w:val="48"/>
          <w:szCs w:val="48"/>
          <w:highlight w:val="none"/>
          <w:u w:val="single"/>
        </w:rPr>
        <w:t xml:space="preserve">                       </w:t>
      </w:r>
      <w:r>
        <w:rPr>
          <w:rFonts w:hint="eastAsia" w:ascii="仿宋" w:hAnsi="仿宋" w:eastAsia="仿宋" w:cs="仿宋"/>
          <w:bCs/>
          <w:color w:val="auto"/>
          <w:sz w:val="48"/>
          <w:szCs w:val="48"/>
          <w:highlight w:val="none"/>
        </w:rPr>
        <w:t>项目</w:t>
      </w:r>
    </w:p>
    <w:p>
      <w:pPr>
        <w:adjustRightInd w:val="0"/>
        <w:snapToGrid w:val="0"/>
        <w:spacing w:line="360" w:lineRule="auto"/>
        <w:jc w:val="center"/>
        <w:rPr>
          <w:rFonts w:hint="eastAsia" w:ascii="仿宋" w:hAnsi="仿宋" w:eastAsia="仿宋" w:cs="仿宋"/>
          <w:bCs/>
          <w:color w:val="auto"/>
          <w:sz w:val="48"/>
          <w:szCs w:val="48"/>
          <w:highlight w:val="none"/>
        </w:rPr>
      </w:pPr>
    </w:p>
    <w:p>
      <w:pPr>
        <w:adjustRightInd w:val="0"/>
        <w:snapToGrid w:val="0"/>
        <w:spacing w:line="360" w:lineRule="auto"/>
        <w:jc w:val="center"/>
        <w:rPr>
          <w:rFonts w:hint="eastAsia" w:ascii="仿宋" w:hAnsi="仿宋" w:eastAsia="仿宋" w:cs="仿宋"/>
          <w:bCs/>
          <w:color w:val="auto"/>
          <w:sz w:val="48"/>
          <w:szCs w:val="48"/>
          <w:highlight w:val="none"/>
        </w:rPr>
      </w:pPr>
    </w:p>
    <w:p>
      <w:pPr>
        <w:adjustRightInd w:val="0"/>
        <w:snapToGrid w:val="0"/>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竞争性磋商响应文件</w:t>
      </w:r>
    </w:p>
    <w:p>
      <w:pPr>
        <w:adjustRightInd w:val="0"/>
        <w:snapToGrid w:val="0"/>
        <w:spacing w:line="360" w:lineRule="auto"/>
        <w:jc w:val="center"/>
        <w:rPr>
          <w:rFonts w:hint="eastAsia" w:ascii="仿宋" w:hAnsi="仿宋" w:eastAsia="仿宋" w:cs="仿宋"/>
          <w:b/>
          <w:color w:val="auto"/>
          <w:sz w:val="28"/>
          <w:szCs w:val="24"/>
          <w:highlight w:val="none"/>
        </w:rPr>
      </w:pPr>
    </w:p>
    <w:p>
      <w:pPr>
        <w:adjustRightInd w:val="0"/>
        <w:snapToGrid w:val="0"/>
        <w:spacing w:line="360" w:lineRule="auto"/>
        <w:rPr>
          <w:rFonts w:hint="eastAsia" w:ascii="仿宋" w:hAnsi="仿宋" w:eastAsia="仿宋" w:cs="仿宋"/>
          <w:b/>
          <w:color w:val="auto"/>
          <w:sz w:val="28"/>
          <w:szCs w:val="24"/>
          <w:highlight w:val="none"/>
        </w:rPr>
      </w:pPr>
    </w:p>
    <w:p>
      <w:pPr>
        <w:pStyle w:val="16"/>
        <w:rPr>
          <w:rFonts w:hint="eastAsia" w:ascii="仿宋" w:hAnsi="仿宋" w:eastAsia="仿宋" w:cs="仿宋"/>
          <w:b/>
          <w:color w:val="auto"/>
          <w:sz w:val="28"/>
          <w:szCs w:val="18"/>
          <w:highlight w:val="none"/>
        </w:rPr>
      </w:pPr>
    </w:p>
    <w:p>
      <w:pPr>
        <w:ind w:firstLine="1405" w:firstLineChars="5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供应商名称</w:t>
      </w:r>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（公章）</w:t>
      </w:r>
    </w:p>
    <w:p>
      <w:pPr>
        <w:keepNext w:val="0"/>
        <w:keepLines w:val="0"/>
        <w:pageBreakBefore w:val="0"/>
        <w:widowControl w:val="0"/>
        <w:kinsoku/>
        <w:wordWrap/>
        <w:overflowPunct/>
        <w:topLinePunct w:val="0"/>
        <w:autoSpaceDE/>
        <w:autoSpaceDN/>
        <w:bidi w:val="0"/>
        <w:adjustRightInd/>
        <w:snapToGrid/>
        <w:spacing w:line="240" w:lineRule="auto"/>
        <w:ind w:firstLine="1405" w:firstLineChars="5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w:t>
      </w:r>
    </w:p>
    <w:p>
      <w:pPr>
        <w:ind w:firstLine="1405" w:firstLineChars="5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或授权代表：</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（签字或盖章）</w:t>
      </w:r>
    </w:p>
    <w:p>
      <w:pPr>
        <w:ind w:firstLine="1405" w:firstLineChars="5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日      期：</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年</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月</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日</w:t>
      </w:r>
    </w:p>
    <w:p>
      <w:pPr>
        <w:adjustRightInd w:val="0"/>
        <w:snapToGrid w:val="0"/>
        <w:spacing w:line="360" w:lineRule="auto"/>
        <w:rPr>
          <w:rFonts w:hint="eastAsia" w:ascii="仿宋" w:hAnsi="仿宋" w:eastAsia="仿宋" w:cs="仿宋"/>
          <w:b/>
          <w:color w:val="auto"/>
          <w:sz w:val="20"/>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10"/>
        <w:rPr>
          <w:rFonts w:hint="eastAsia"/>
          <w:highlight w:val="none"/>
        </w:rPr>
      </w:pPr>
    </w:p>
    <w:p>
      <w:pPr>
        <w:spacing w:line="360" w:lineRule="auto"/>
        <w:jc w:val="center"/>
        <w:rPr>
          <w:rFonts w:hint="eastAsia" w:ascii="仿宋" w:hAnsi="仿宋" w:eastAsia="仿宋" w:cs="仿宋"/>
          <w:b/>
          <w:bCs/>
          <w:color w:val="auto"/>
          <w:spacing w:val="4"/>
          <w:sz w:val="48"/>
          <w:szCs w:val="48"/>
          <w:highlight w:val="none"/>
        </w:rPr>
      </w:pPr>
      <w:r>
        <w:rPr>
          <w:rFonts w:hint="eastAsia" w:ascii="仿宋" w:hAnsi="仿宋" w:eastAsia="仿宋" w:cs="仿宋"/>
          <w:b/>
          <w:bCs/>
          <w:color w:val="auto"/>
          <w:spacing w:val="4"/>
          <w:sz w:val="48"/>
          <w:szCs w:val="48"/>
          <w:highlight w:val="none"/>
        </w:rPr>
        <w:t>目   录</w:t>
      </w:r>
    </w:p>
    <w:p>
      <w:pPr>
        <w:spacing w:line="360" w:lineRule="auto"/>
        <w:jc w:val="left"/>
        <w:rPr>
          <w:rFonts w:hint="eastAsia" w:ascii="仿宋" w:hAnsi="仿宋" w:eastAsia="仿宋" w:cs="仿宋"/>
          <w:b/>
          <w:bCs/>
          <w:color w:val="auto"/>
          <w:spacing w:val="4"/>
          <w:sz w:val="32"/>
          <w:szCs w:val="32"/>
          <w:highlight w:val="none"/>
        </w:rPr>
      </w:pP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磋商函…………………………………………（页码）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法定代表人身份证明…………………………（页码）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法人授权委托书………………………………（页码）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报价表…………………………………………（页码）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近年承接的类似项目情况表…………………（页码）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项目实施</w:t>
      </w:r>
      <w:r>
        <w:rPr>
          <w:rFonts w:hint="eastAsia" w:ascii="仿宋" w:hAnsi="仿宋" w:eastAsia="仿宋" w:cs="仿宋"/>
          <w:color w:val="auto"/>
          <w:sz w:val="28"/>
          <w:szCs w:val="28"/>
          <w:highlight w:val="none"/>
        </w:rPr>
        <w:t>方案…………………………………（页码）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商务</w:t>
      </w:r>
      <w:r>
        <w:rPr>
          <w:rFonts w:hint="eastAsia" w:ascii="仿宋" w:hAnsi="仿宋" w:eastAsia="仿宋" w:cs="仿宋"/>
          <w:color w:val="auto"/>
          <w:sz w:val="28"/>
          <w:szCs w:val="28"/>
          <w:highlight w:val="none"/>
          <w:lang w:val="en-US" w:eastAsia="zh-CN"/>
        </w:rPr>
        <w:t>和技术</w:t>
      </w:r>
      <w:r>
        <w:rPr>
          <w:rFonts w:hint="eastAsia" w:ascii="仿宋" w:hAnsi="仿宋" w:eastAsia="仿宋" w:cs="仿宋"/>
          <w:color w:val="auto"/>
          <w:sz w:val="28"/>
          <w:szCs w:val="28"/>
          <w:highlight w:val="none"/>
        </w:rPr>
        <w:t>偏离说明…………………………（页码）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资格证明文件…………………………………（页码）</w:t>
      </w:r>
    </w:p>
    <w:p>
      <w:pPr>
        <w:numPr>
          <w:ilvl w:val="0"/>
          <w:numId w:val="7"/>
        </w:numPr>
        <w:spacing w:line="360" w:lineRule="auto"/>
        <w:ind w:left="480" w:leftChars="20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其他资料………………………………………（页码）</w:t>
      </w:r>
    </w:p>
    <w:p>
      <w:pPr>
        <w:numPr>
          <w:ilvl w:val="0"/>
          <w:numId w:val="8"/>
        </w:numPr>
        <w:jc w:val="center"/>
        <w:rPr>
          <w:rFonts w:hint="eastAsia" w:ascii="仿宋" w:hAnsi="仿宋" w:eastAsia="仿宋" w:cs="仿宋"/>
          <w:b/>
          <w:bCs/>
          <w:color w:val="auto"/>
          <w:sz w:val="32"/>
          <w:szCs w:val="32"/>
          <w:highlight w:val="none"/>
        </w:rPr>
      </w:pPr>
      <w:r>
        <w:rPr>
          <w:rFonts w:hint="eastAsia" w:ascii="仿宋" w:hAnsi="仿宋" w:eastAsia="仿宋" w:cs="仿宋"/>
          <w:bCs/>
          <w:color w:val="auto"/>
          <w:sz w:val="32"/>
          <w:szCs w:val="32"/>
          <w:highlight w:val="none"/>
        </w:rPr>
        <w:br w:type="page"/>
      </w:r>
      <w:r>
        <w:rPr>
          <w:rFonts w:hint="eastAsia" w:ascii="仿宋" w:hAnsi="仿宋" w:eastAsia="仿宋" w:cs="仿宋"/>
          <w:b/>
          <w:bCs/>
          <w:color w:val="auto"/>
          <w:sz w:val="32"/>
          <w:szCs w:val="32"/>
          <w:highlight w:val="none"/>
        </w:rPr>
        <w:t>磋商函</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陕西德仁招标有限公司：</w:t>
      </w:r>
    </w:p>
    <w:p>
      <w:pPr>
        <w:autoSpaceDE w:val="0"/>
        <w:autoSpaceDN w:val="0"/>
        <w:adjustRightInd w:val="0"/>
        <w:spacing w:line="360" w:lineRule="auto"/>
        <w:ind w:firstLine="6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我单位收到贵公司</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rPr>
        <w:t>项目名称；项目编号</w:t>
      </w:r>
      <w:r>
        <w:rPr>
          <w:rFonts w:hint="eastAsia" w:ascii="仿宋" w:hAnsi="仿宋" w:eastAsia="仿宋" w:cs="仿宋"/>
          <w:color w:val="auto"/>
          <w:sz w:val="24"/>
          <w:szCs w:val="24"/>
          <w:highlight w:val="none"/>
          <w:u w:val="single"/>
          <w:lang w:val="zh-CN"/>
        </w:rPr>
        <w:t>）</w:t>
      </w:r>
      <w:r>
        <w:rPr>
          <w:rFonts w:hint="eastAsia" w:ascii="仿宋" w:hAnsi="仿宋" w:eastAsia="仿宋" w:cs="仿宋"/>
          <w:color w:val="auto"/>
          <w:sz w:val="24"/>
          <w:szCs w:val="24"/>
          <w:highlight w:val="none"/>
          <w:lang w:val="zh-CN"/>
        </w:rPr>
        <w:t>竞争性磋商文件，经详细研究，我们决定参加本次</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lang w:val="zh-CN"/>
        </w:rPr>
        <w:t>活动并</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lang w:val="zh-CN"/>
        </w:rPr>
        <w:t>。为此，我方郑重声明以下诸点，并负法律责任。</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、愿意按照竞争性磋商采购文件中的一切要求，提供磋商技术服务，完成合同的责任和义务。</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、按竞争性磋商采购文件的规定，我公司的第一次磋商报价为：人民币（</w:t>
      </w:r>
      <w:r>
        <w:rPr>
          <w:rFonts w:hint="eastAsia" w:ascii="仿宋" w:hAnsi="仿宋" w:eastAsia="仿宋" w:cs="仿宋"/>
          <w:color w:val="auto"/>
          <w:sz w:val="24"/>
          <w:szCs w:val="24"/>
          <w:highlight w:val="none"/>
          <w:u w:val="single"/>
          <w:lang w:val="zh-CN"/>
        </w:rPr>
        <w:t>大写）：（￥：元）</w:t>
      </w:r>
      <w:r>
        <w:rPr>
          <w:rFonts w:hint="eastAsia" w:ascii="仿宋" w:hAnsi="仿宋" w:eastAsia="仿宋" w:cs="仿宋"/>
          <w:color w:val="auto"/>
          <w:sz w:val="24"/>
          <w:szCs w:val="24"/>
          <w:highlight w:val="none"/>
          <w:lang w:val="zh-CN"/>
        </w:rPr>
        <w:t>，并对其后的磋商报价负法律责任。</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zh-CN"/>
        </w:rPr>
        <w:t>、我方提交的磋商响应文件正本一份、副本二份、电子</w:t>
      </w:r>
      <w:r>
        <w:rPr>
          <w:rFonts w:hint="eastAsia" w:ascii="仿宋" w:hAnsi="仿宋" w:eastAsia="仿宋" w:cs="仿宋"/>
          <w:color w:val="auto"/>
          <w:sz w:val="24"/>
          <w:szCs w:val="24"/>
          <w:highlight w:val="none"/>
          <w:lang w:val="en-US" w:eastAsia="zh-CN"/>
        </w:rPr>
        <w:t>文件</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U盘</w:t>
      </w:r>
      <w:r>
        <w:rPr>
          <w:rFonts w:hint="eastAsia" w:ascii="仿宋" w:hAnsi="仿宋" w:eastAsia="仿宋" w:cs="仿宋"/>
          <w:color w:val="auto"/>
          <w:sz w:val="24"/>
          <w:szCs w:val="24"/>
          <w:highlight w:val="none"/>
          <w:lang w:val="zh-CN"/>
        </w:rPr>
        <w:t>）一份。</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zh-CN"/>
        </w:rPr>
        <w:t>、我方已详细阅读了竞争性磋商采购文件，完全理解并放弃提出含糊不清或易形成歧义的表述和资料。</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zh-CN"/>
        </w:rPr>
        <w:t>、磋商后在规定的有效期内撤回磋商，我方愿接受政府采购的有关处罚决定。</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zh-CN"/>
        </w:rPr>
        <w:t>、同意向贵方提供可能要求的，与本次磋商有关的任何证据或资料，我们完全理解最低磋商报价不作为成交的唯一条件，且尊重磋商小组的评审结论和结果。</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zh-CN"/>
        </w:rPr>
        <w:t>、我方的磋商响应文件在磋商后有效期为</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90</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日历天，若我方成交，磋商响应文件有效期延长至合同执行完毕。</w:t>
      </w:r>
    </w:p>
    <w:p>
      <w:pPr>
        <w:autoSpaceDE w:val="0"/>
        <w:autoSpaceDN w:val="0"/>
        <w:adjustRightInd w:val="0"/>
        <w:snapToGrid w:val="0"/>
        <w:spacing w:line="360" w:lineRule="auto"/>
        <w:ind w:firstLine="6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、有关于本磋商采购文件的函电，请按下列地址联系。</w:t>
      </w:r>
    </w:p>
    <w:p>
      <w:pPr>
        <w:autoSpaceDE w:val="0"/>
        <w:autoSpaceDN w:val="0"/>
        <w:adjustRightInd w:val="0"/>
        <w:spacing w:line="360" w:lineRule="auto"/>
        <w:ind w:firstLine="1440" w:firstLineChars="6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盖章</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ind w:firstLine="1440" w:firstLineChars="6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val="zh-CN"/>
        </w:rPr>
        <w:t>地址：</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ind w:firstLine="1440" w:firstLineChars="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开户银行：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账 号：</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ind w:firstLine="1440" w:firstLineChars="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传 真：</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ind w:firstLine="1440" w:firstLineChars="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法定代表人或委托代理人（签字或盖章）</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u w:val="single"/>
        </w:rPr>
        <w:t xml:space="preserve">               </w:t>
      </w:r>
    </w:p>
    <w:p>
      <w:pPr>
        <w:pStyle w:val="74"/>
        <w:spacing w:line="360" w:lineRule="auto"/>
        <w:ind w:firstLine="3600" w:firstLineChars="15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zh-CN"/>
        </w:rPr>
        <w:t>日</w:t>
      </w:r>
    </w:p>
    <w:p>
      <w:pPr>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br w:type="page"/>
      </w:r>
    </w:p>
    <w:p>
      <w:pPr>
        <w:overflowPunct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 xml:space="preserve">    二、法定代表人身份证明</w:t>
      </w:r>
    </w:p>
    <w:tbl>
      <w:tblPr>
        <w:tblStyle w:val="2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030"/>
        <w:gridCol w:w="1895"/>
        <w:gridCol w:w="218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540" w:type="dxa"/>
            <w:gridSpan w:val="5"/>
            <w:vAlign w:val="center"/>
          </w:tcPr>
          <w:p>
            <w:pPr>
              <w:tabs>
                <w:tab w:val="left" w:pos="210"/>
              </w:tabs>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致：陕西德仁招标有限公司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restart"/>
            <w:vAlign w:val="center"/>
          </w:tcPr>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企</w:t>
            </w:r>
          </w:p>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业</w:t>
            </w:r>
          </w:p>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w:t>
            </w:r>
          </w:p>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企业名称</w:t>
            </w:r>
          </w:p>
        </w:tc>
        <w:tc>
          <w:tcPr>
            <w:tcW w:w="6271" w:type="dxa"/>
            <w:gridSpan w:val="3"/>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hint="eastAsia" w:ascii="仿宋" w:hAnsi="仿宋" w:eastAsia="仿宋" w:cs="仿宋"/>
                <w:color w:val="auto"/>
                <w:kern w:val="0"/>
                <w:sz w:val="24"/>
                <w:szCs w:val="24"/>
                <w:highlight w:val="none"/>
              </w:rPr>
            </w:pP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法定地址</w:t>
            </w:r>
          </w:p>
        </w:tc>
        <w:tc>
          <w:tcPr>
            <w:tcW w:w="6271" w:type="dxa"/>
            <w:gridSpan w:val="3"/>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hint="eastAsia" w:ascii="仿宋" w:hAnsi="仿宋" w:eastAsia="仿宋" w:cs="仿宋"/>
                <w:color w:val="auto"/>
                <w:kern w:val="0"/>
                <w:sz w:val="24"/>
                <w:szCs w:val="24"/>
                <w:highlight w:val="none"/>
              </w:rPr>
            </w:pP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邮政编码</w:t>
            </w:r>
          </w:p>
        </w:tc>
        <w:tc>
          <w:tcPr>
            <w:tcW w:w="6271" w:type="dxa"/>
            <w:gridSpan w:val="3"/>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hint="eastAsia" w:ascii="仿宋" w:hAnsi="仿宋" w:eastAsia="仿宋" w:cs="仿宋"/>
                <w:color w:val="auto"/>
                <w:kern w:val="0"/>
                <w:sz w:val="24"/>
                <w:szCs w:val="24"/>
                <w:highlight w:val="none"/>
              </w:rPr>
            </w:pP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工商登记机关</w:t>
            </w:r>
          </w:p>
        </w:tc>
        <w:tc>
          <w:tcPr>
            <w:tcW w:w="6271" w:type="dxa"/>
            <w:gridSpan w:val="3"/>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39" w:type="dxa"/>
            <w:vMerge w:val="continue"/>
            <w:vAlign w:val="center"/>
          </w:tcPr>
          <w:p>
            <w:pPr>
              <w:tabs>
                <w:tab w:val="left" w:pos="210"/>
              </w:tabs>
              <w:spacing w:line="360" w:lineRule="auto"/>
              <w:ind w:firstLine="480" w:firstLineChars="200"/>
              <w:jc w:val="center"/>
              <w:rPr>
                <w:rFonts w:hint="eastAsia" w:ascii="仿宋" w:hAnsi="仿宋" w:eastAsia="仿宋" w:cs="仿宋"/>
                <w:color w:val="auto"/>
                <w:kern w:val="0"/>
                <w:sz w:val="24"/>
                <w:szCs w:val="24"/>
                <w:highlight w:val="none"/>
              </w:rPr>
            </w:pP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税务登记机关</w:t>
            </w:r>
          </w:p>
        </w:tc>
        <w:tc>
          <w:tcPr>
            <w:tcW w:w="6271" w:type="dxa"/>
            <w:gridSpan w:val="3"/>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hint="eastAsia" w:ascii="仿宋" w:hAnsi="仿宋" w:eastAsia="仿宋" w:cs="仿宋"/>
                <w:color w:val="auto"/>
                <w:kern w:val="0"/>
                <w:sz w:val="24"/>
                <w:szCs w:val="24"/>
                <w:highlight w:val="none"/>
              </w:rPr>
            </w:pP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2"/>
                <w:szCs w:val="22"/>
                <w:highlight w:val="none"/>
                <w:lang w:val="en-US" w:eastAsia="zh-CN"/>
              </w:rPr>
              <w:t>统一社会信用代码</w:t>
            </w:r>
          </w:p>
        </w:tc>
        <w:tc>
          <w:tcPr>
            <w:tcW w:w="6271" w:type="dxa"/>
            <w:gridSpan w:val="3"/>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39" w:type="dxa"/>
            <w:vMerge w:val="restart"/>
            <w:vAlign w:val="center"/>
          </w:tcPr>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w:t>
            </w:r>
          </w:p>
          <w:p>
            <w:pPr>
              <w:tabs>
                <w:tab w:val="left" w:pos="210"/>
              </w:tabs>
              <w:spacing w:line="360" w:lineRule="auto"/>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人</w:t>
            </w: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姓名</w:t>
            </w:r>
          </w:p>
        </w:tc>
        <w:tc>
          <w:tcPr>
            <w:tcW w:w="1895" w:type="dxa"/>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p>
        </w:tc>
        <w:tc>
          <w:tcPr>
            <w:tcW w:w="2186" w:type="dxa"/>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性别</w:t>
            </w:r>
          </w:p>
        </w:tc>
        <w:tc>
          <w:tcPr>
            <w:tcW w:w="2190" w:type="dxa"/>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239" w:type="dxa"/>
            <w:vMerge w:val="continue"/>
            <w:vAlign w:val="center"/>
          </w:tcPr>
          <w:p>
            <w:pPr>
              <w:tabs>
                <w:tab w:val="left" w:pos="210"/>
              </w:tabs>
              <w:spacing w:line="360" w:lineRule="auto"/>
              <w:ind w:firstLine="480" w:firstLineChars="200"/>
              <w:jc w:val="center"/>
              <w:rPr>
                <w:rFonts w:hint="eastAsia" w:ascii="仿宋" w:hAnsi="仿宋" w:eastAsia="仿宋" w:cs="仿宋"/>
                <w:color w:val="auto"/>
                <w:kern w:val="0"/>
                <w:sz w:val="24"/>
                <w:szCs w:val="24"/>
                <w:highlight w:val="none"/>
              </w:rPr>
            </w:pPr>
          </w:p>
        </w:tc>
        <w:tc>
          <w:tcPr>
            <w:tcW w:w="2030" w:type="dxa"/>
            <w:vAlign w:val="center"/>
          </w:tcPr>
          <w:p>
            <w:pPr>
              <w:tabs>
                <w:tab w:val="left" w:pos="210"/>
              </w:tabs>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职务</w:t>
            </w:r>
          </w:p>
        </w:tc>
        <w:tc>
          <w:tcPr>
            <w:tcW w:w="1895" w:type="dxa"/>
            <w:vAlign w:val="center"/>
          </w:tcPr>
          <w:p>
            <w:pPr>
              <w:tabs>
                <w:tab w:val="left" w:pos="210"/>
              </w:tabs>
              <w:spacing w:line="360" w:lineRule="auto"/>
              <w:jc w:val="left"/>
              <w:rPr>
                <w:rFonts w:hint="eastAsia" w:ascii="仿宋" w:hAnsi="仿宋" w:eastAsia="仿宋" w:cs="仿宋"/>
                <w:color w:val="auto"/>
                <w:kern w:val="0"/>
                <w:sz w:val="24"/>
                <w:szCs w:val="24"/>
                <w:highlight w:val="none"/>
              </w:rPr>
            </w:pPr>
          </w:p>
        </w:tc>
        <w:tc>
          <w:tcPr>
            <w:tcW w:w="2186" w:type="dxa"/>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联系电话</w:t>
            </w:r>
          </w:p>
        </w:tc>
        <w:tc>
          <w:tcPr>
            <w:tcW w:w="2190" w:type="dxa"/>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1239" w:type="dxa"/>
            <w:vMerge w:val="restart"/>
            <w:vAlign w:val="center"/>
          </w:tcPr>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w:t>
            </w:r>
          </w:p>
          <w:p>
            <w:pPr>
              <w:tabs>
                <w:tab w:val="left" w:pos="210"/>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人身份证复印件</w:t>
            </w:r>
          </w:p>
        </w:tc>
        <w:tc>
          <w:tcPr>
            <w:tcW w:w="3925" w:type="dxa"/>
            <w:gridSpan w:val="2"/>
            <w:vMerge w:val="restart"/>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（正反面）</w:t>
            </w:r>
          </w:p>
        </w:tc>
        <w:tc>
          <w:tcPr>
            <w:tcW w:w="4376" w:type="dxa"/>
            <w:gridSpan w:val="2"/>
            <w:vAlign w:val="center"/>
          </w:tcPr>
          <w:p>
            <w:pPr>
              <w:tabs>
                <w:tab w:val="left" w:pos="210"/>
              </w:tabs>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jc w:val="center"/>
        </w:trPr>
        <w:tc>
          <w:tcPr>
            <w:tcW w:w="1239" w:type="dxa"/>
            <w:vMerge w:val="continue"/>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p>
        </w:tc>
        <w:tc>
          <w:tcPr>
            <w:tcW w:w="3925" w:type="dxa"/>
            <w:gridSpan w:val="2"/>
            <w:vMerge w:val="continue"/>
            <w:vAlign w:val="center"/>
          </w:tcPr>
          <w:p>
            <w:pPr>
              <w:tabs>
                <w:tab w:val="left" w:pos="210"/>
              </w:tabs>
              <w:spacing w:line="360" w:lineRule="auto"/>
              <w:ind w:firstLine="480" w:firstLineChars="200"/>
              <w:jc w:val="left"/>
              <w:rPr>
                <w:rFonts w:hint="eastAsia" w:ascii="仿宋" w:hAnsi="仿宋" w:eastAsia="仿宋" w:cs="仿宋"/>
                <w:color w:val="auto"/>
                <w:kern w:val="0"/>
                <w:sz w:val="24"/>
                <w:szCs w:val="24"/>
                <w:highlight w:val="none"/>
              </w:rPr>
            </w:pPr>
          </w:p>
        </w:tc>
        <w:tc>
          <w:tcPr>
            <w:tcW w:w="4376" w:type="dxa"/>
            <w:gridSpan w:val="2"/>
            <w:vAlign w:val="bottom"/>
          </w:tcPr>
          <w:p>
            <w:pPr>
              <w:tabs>
                <w:tab w:val="left" w:pos="210"/>
              </w:tabs>
              <w:spacing w:line="360" w:lineRule="auto"/>
              <w:ind w:firstLine="2160" w:firstLineChars="9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（公章）</w:t>
            </w:r>
          </w:p>
          <w:p>
            <w:pPr>
              <w:tabs>
                <w:tab w:val="left" w:pos="210"/>
              </w:tabs>
              <w:spacing w:line="360" w:lineRule="auto"/>
              <w:jc w:val="left"/>
              <w:rPr>
                <w:rFonts w:hint="eastAsia" w:ascii="仿宋" w:hAnsi="仿宋" w:eastAsia="仿宋" w:cs="仿宋"/>
                <w:color w:val="auto"/>
                <w:kern w:val="0"/>
                <w:sz w:val="24"/>
                <w:szCs w:val="24"/>
                <w:highlight w:val="none"/>
              </w:rPr>
            </w:pPr>
          </w:p>
          <w:p>
            <w:pPr>
              <w:tabs>
                <w:tab w:val="left" w:pos="210"/>
              </w:tabs>
              <w:spacing w:line="360" w:lineRule="auto"/>
              <w:jc w:val="left"/>
              <w:rPr>
                <w:rFonts w:hint="eastAsia" w:ascii="仿宋" w:hAnsi="仿宋" w:eastAsia="仿宋" w:cs="仿宋"/>
                <w:color w:val="auto"/>
                <w:kern w:val="0"/>
                <w:sz w:val="24"/>
                <w:szCs w:val="24"/>
                <w:highlight w:val="none"/>
              </w:rPr>
            </w:pPr>
          </w:p>
          <w:p>
            <w:pPr>
              <w:tabs>
                <w:tab w:val="left" w:pos="210"/>
              </w:tabs>
              <w:spacing w:line="360" w:lineRule="auto"/>
              <w:jc w:val="left"/>
              <w:rPr>
                <w:rFonts w:hint="eastAsia" w:ascii="仿宋" w:hAnsi="仿宋" w:eastAsia="仿宋" w:cs="仿宋"/>
                <w:color w:val="auto"/>
                <w:kern w:val="0"/>
                <w:sz w:val="24"/>
                <w:szCs w:val="24"/>
                <w:highlight w:val="none"/>
              </w:rPr>
            </w:pPr>
          </w:p>
          <w:p>
            <w:pPr>
              <w:adjustRightInd w:val="0"/>
              <w:snapToGrid w:val="0"/>
              <w:spacing w:line="480" w:lineRule="auto"/>
              <w:ind w:firstLine="480" w:firstLineChars="200"/>
              <w:jc w:val="righ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tc>
      </w:tr>
    </w:tbl>
    <w:p>
      <w:pPr>
        <w:overflowPunct w:val="0"/>
        <w:spacing w:line="360" w:lineRule="auto"/>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Cs/>
          <w:color w:val="auto"/>
          <w:sz w:val="32"/>
          <w:szCs w:val="32"/>
          <w:highlight w:val="none"/>
        </w:rPr>
        <w:br w:type="page"/>
      </w:r>
      <w:r>
        <w:rPr>
          <w:rFonts w:hint="eastAsia" w:ascii="仿宋" w:hAnsi="仿宋" w:eastAsia="仿宋" w:cs="仿宋"/>
          <w:b/>
          <w:bCs/>
          <w:color w:val="auto"/>
          <w:sz w:val="32"/>
          <w:szCs w:val="32"/>
          <w:highlight w:val="none"/>
        </w:rPr>
        <w:t>三、法人授权委托书</w:t>
      </w:r>
    </w:p>
    <w:p>
      <w:pPr>
        <w:overflowPunct w:val="0"/>
        <w:spacing w:line="360" w:lineRule="auto"/>
        <w:ind w:left="125" w:leftChars="52" w:firstLine="550" w:firstLineChars="250"/>
        <w:rPr>
          <w:rFonts w:hint="eastAsia" w:ascii="仿宋" w:hAnsi="仿宋" w:eastAsia="仿宋" w:cs="仿宋"/>
          <w:color w:val="auto"/>
          <w:sz w:val="22"/>
          <w:szCs w:val="22"/>
          <w:highlight w:val="none"/>
        </w:rPr>
      </w:pPr>
    </w:p>
    <w:p>
      <w:pPr>
        <w:overflowPunct w:val="0"/>
        <w:spacing w:line="480" w:lineRule="auto"/>
        <w:ind w:left="125" w:leftChars="52"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本授权委托书声明：我（法定代表人姓名）系注册于</w:t>
      </w:r>
      <w:r>
        <w:rPr>
          <w:rFonts w:hint="eastAsia" w:ascii="仿宋" w:hAnsi="仿宋" w:eastAsia="仿宋" w:cs="仿宋"/>
          <w:color w:val="auto"/>
          <w:sz w:val="24"/>
          <w:szCs w:val="24"/>
          <w:highlight w:val="none"/>
          <w:u w:val="single"/>
        </w:rPr>
        <w:t xml:space="preserve">  （磋商供应商地址）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xml:space="preserve">        （磋商供应商名称）</w:t>
      </w:r>
      <w:r>
        <w:rPr>
          <w:rFonts w:hint="eastAsia" w:ascii="仿宋" w:hAnsi="仿宋" w:eastAsia="仿宋" w:cs="仿宋"/>
          <w:color w:val="auto"/>
          <w:sz w:val="24"/>
          <w:szCs w:val="24"/>
          <w:highlight w:val="none"/>
        </w:rPr>
        <w:t>的法定代表人，现授权（被授权人姓名、职务）为我公司合法代理人，就签署</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u w:val="single"/>
          <w:lang w:val="en-US" w:eastAsia="zh-CN"/>
        </w:rPr>
        <w:t>项目</w:t>
      </w:r>
      <w:r>
        <w:rPr>
          <w:rFonts w:hint="eastAsia" w:ascii="仿宋" w:hAnsi="仿宋" w:eastAsia="仿宋" w:cs="仿宋"/>
          <w:color w:val="auto"/>
          <w:sz w:val="24"/>
          <w:szCs w:val="24"/>
          <w:highlight w:val="none"/>
          <w:u w:val="single"/>
        </w:rPr>
        <w:t xml:space="preserve">编号）     </w:t>
      </w:r>
      <w:r>
        <w:rPr>
          <w:rFonts w:hint="eastAsia" w:ascii="仿宋" w:hAnsi="仿宋" w:eastAsia="仿宋" w:cs="仿宋"/>
          <w:color w:val="auto"/>
          <w:sz w:val="24"/>
          <w:szCs w:val="24"/>
          <w:highlight w:val="none"/>
        </w:rPr>
        <w:t>的磋商及合同的执行和完成，以本公司名义处理一切与之有关的事宜。</w:t>
      </w:r>
    </w:p>
    <w:p>
      <w:pPr>
        <w:overflowPunct w:val="0"/>
        <w:spacing w:line="360" w:lineRule="auto"/>
        <w:ind w:left="124" w:leftChars="51" w:hanging="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代理人无转委托权，特此委托。</w:t>
      </w:r>
    </w:p>
    <w:p>
      <w:pPr>
        <w:overflowPunct w:val="0"/>
        <w:spacing w:line="480" w:lineRule="auto"/>
        <w:ind w:firstLine="840" w:firstLine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法人代表</w:t>
      </w:r>
      <w:r>
        <w:rPr>
          <w:rFonts w:hint="eastAsia" w:ascii="仿宋" w:hAnsi="仿宋" w:eastAsia="仿宋" w:cs="仿宋"/>
          <w:color w:val="auto"/>
          <w:sz w:val="24"/>
          <w:szCs w:val="24"/>
          <w:highlight w:val="none"/>
          <w:lang w:val="en-US" w:eastAsia="zh-CN"/>
        </w:rPr>
        <w:t>人（签字或盖章）</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被授权人签字：</w:t>
      </w:r>
    </w:p>
    <w:p>
      <w:pPr>
        <w:overflowPunct w:val="0"/>
        <w:spacing w:line="480" w:lineRule="auto"/>
        <w:ind w:firstLine="840" w:firstLine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        务：                         职        务：</w:t>
      </w:r>
    </w:p>
    <w:p>
      <w:pPr>
        <w:overflowPunct w:val="0"/>
        <w:spacing w:line="480" w:lineRule="auto"/>
        <w:ind w:firstLine="840" w:firstLine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  份 证 号：                         身  份 证 号：</w:t>
      </w:r>
    </w:p>
    <w:p>
      <w:pPr>
        <w:overflowPunct w:val="0"/>
        <w:spacing w:line="480" w:lineRule="auto"/>
        <w:ind w:firstLine="240" w:firstLineChars="1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附：法定代表人、被授权人身份证复印件。</w:t>
      </w:r>
    </w:p>
    <w:tbl>
      <w:tblPr>
        <w:tblStyle w:val="27"/>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trPr>
        <w:tc>
          <w:tcPr>
            <w:tcW w:w="4790" w:type="dxa"/>
            <w:tcBorders>
              <w:top w:val="single" w:color="auto" w:sz="4" w:space="0"/>
              <w:left w:val="single" w:color="auto" w:sz="4" w:space="0"/>
              <w:right w:val="single" w:color="auto" w:sz="4" w:space="0"/>
            </w:tcBorders>
            <w:vAlign w:val="center"/>
          </w:tcPr>
          <w:p>
            <w:pPr>
              <w:overflowPunct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法定代表人身份证复印件</w:t>
            </w:r>
          </w:p>
          <w:p>
            <w:pPr>
              <w:overflowPunct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（正、反面）</w:t>
            </w:r>
          </w:p>
        </w:tc>
        <w:tc>
          <w:tcPr>
            <w:tcW w:w="4790" w:type="dxa"/>
            <w:tcBorders>
              <w:left w:val="single" w:color="auto" w:sz="4" w:space="0"/>
            </w:tcBorders>
            <w:vAlign w:val="center"/>
          </w:tcPr>
          <w:p>
            <w:pPr>
              <w:overflowPunct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被授权人身份证复印件</w:t>
            </w:r>
          </w:p>
          <w:p>
            <w:pPr>
              <w:overflowPunct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（正、反面）</w:t>
            </w:r>
          </w:p>
        </w:tc>
      </w:tr>
    </w:tbl>
    <w:p>
      <w:pPr>
        <w:overflowPunct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（本授权的有效期为磋商之日起90个日历日）</w:t>
      </w:r>
    </w:p>
    <w:p>
      <w:pPr>
        <w:overflowPunct w:val="0"/>
        <w:spacing w:line="360" w:lineRule="auto"/>
        <w:ind w:firstLine="5520" w:firstLineChars="23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供应商名称（盖章）：</w:t>
      </w:r>
      <w:r>
        <w:rPr>
          <w:rFonts w:hint="eastAsia" w:ascii="仿宋" w:hAnsi="仿宋" w:eastAsia="仿宋" w:cs="仿宋"/>
          <w:color w:val="auto"/>
          <w:sz w:val="24"/>
          <w:szCs w:val="24"/>
          <w:highlight w:val="none"/>
          <w:u w:val="single"/>
        </w:rPr>
        <w:t xml:space="preserve">               </w:t>
      </w:r>
    </w:p>
    <w:p>
      <w:pPr>
        <w:overflowPunct w:val="0"/>
        <w:spacing w:line="360" w:lineRule="auto"/>
        <w:ind w:firstLine="6000" w:firstLineChars="2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b/>
          <w:bCs/>
          <w:color w:val="auto"/>
          <w:sz w:val="32"/>
          <w:szCs w:val="32"/>
          <w:highlight w:val="none"/>
          <w:lang w:eastAsia="zh-CN"/>
        </w:rPr>
      </w:pPr>
      <w:bookmarkStart w:id="92" w:name="_Toc18383"/>
      <w:bookmarkStart w:id="93" w:name="_Toc26642"/>
      <w:r>
        <w:rPr>
          <w:rFonts w:hint="eastAsia" w:ascii="仿宋" w:hAnsi="仿宋" w:eastAsia="仿宋" w:cs="仿宋"/>
          <w:b/>
          <w:bCs/>
          <w:color w:val="auto"/>
          <w:sz w:val="32"/>
          <w:szCs w:val="32"/>
          <w:highlight w:val="none"/>
        </w:rPr>
        <w:t>四、报价表</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第一次</w:t>
      </w:r>
      <w:r>
        <w:rPr>
          <w:rFonts w:hint="eastAsia" w:ascii="仿宋" w:hAnsi="仿宋" w:eastAsia="仿宋" w:cs="仿宋"/>
          <w:b/>
          <w:bCs/>
          <w:color w:val="auto"/>
          <w:sz w:val="32"/>
          <w:szCs w:val="32"/>
          <w:highlight w:val="none"/>
          <w:lang w:eastAsia="zh-CN"/>
        </w:rPr>
        <w:t>）</w:t>
      </w:r>
      <w:bookmarkEnd w:id="92"/>
      <w:bookmarkEnd w:id="93"/>
    </w:p>
    <w:tbl>
      <w:tblPr>
        <w:tblStyle w:val="27"/>
        <w:tblpPr w:leftFromText="180" w:rightFromText="180" w:vertAnchor="text" w:horzAnchor="page" w:tblpX="1616" w:tblpY="436"/>
        <w:tblOverlap w:val="never"/>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200" w:type="dxa"/>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667" w:type="dxa"/>
            <w:vAlign w:val="center"/>
          </w:tcPr>
          <w:p>
            <w:pPr>
              <w:widowControl/>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200"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tc>
        <w:tc>
          <w:tcPr>
            <w:tcW w:w="6667" w:type="dxa"/>
            <w:vAlign w:val="center"/>
          </w:tcPr>
          <w:p>
            <w:pPr>
              <w:jc w:val="center"/>
              <w:rPr>
                <w:rFonts w:hint="eastAsia" w:ascii="仿宋" w:hAnsi="仿宋" w:eastAsia="仿宋" w:cs="仿宋"/>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2200"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w:t>
            </w:r>
            <w:r>
              <w:rPr>
                <w:rFonts w:hint="eastAsia" w:ascii="仿宋" w:hAnsi="仿宋" w:eastAsia="仿宋" w:cs="仿宋"/>
                <w:color w:val="auto"/>
                <w:sz w:val="24"/>
                <w:szCs w:val="24"/>
                <w:highlight w:val="none"/>
                <w:lang w:val="en-US" w:eastAsia="zh-CN"/>
              </w:rPr>
              <w:t>总</w:t>
            </w:r>
            <w:r>
              <w:rPr>
                <w:rFonts w:hint="eastAsia" w:ascii="仿宋" w:hAnsi="仿宋" w:eastAsia="仿宋" w:cs="仿宋"/>
                <w:color w:val="auto"/>
                <w:sz w:val="24"/>
                <w:szCs w:val="24"/>
                <w:highlight w:val="none"/>
              </w:rPr>
              <w:t>报价</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6667"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p>
          <w:p>
            <w:pPr>
              <w:pStyle w:val="16"/>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200" w:type="dxa"/>
            <w:vAlign w:val="center"/>
          </w:tcPr>
          <w:p>
            <w:pPr>
              <w:widowControl/>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服务期</w:t>
            </w:r>
          </w:p>
        </w:tc>
        <w:tc>
          <w:tcPr>
            <w:tcW w:w="6667" w:type="dxa"/>
            <w:vAlign w:val="center"/>
          </w:tcPr>
          <w:p>
            <w:pPr>
              <w:widowControl/>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200" w:type="dxa"/>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667" w:type="dxa"/>
            <w:vAlign w:val="center"/>
          </w:tcPr>
          <w:p>
            <w:pPr>
              <w:widowControl/>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867" w:type="dxa"/>
            <w:gridSpan w:val="2"/>
            <w:vAlign w:val="center"/>
          </w:tcPr>
          <w:p>
            <w:pPr>
              <w:widowControl/>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widowControl/>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w:t>
            </w:r>
            <w:r>
              <w:rPr>
                <w:rFonts w:hint="eastAsia" w:ascii="仿宋" w:hAnsi="仿宋" w:eastAsia="仿宋" w:cs="仿宋"/>
                <w:color w:val="auto"/>
                <w:sz w:val="24"/>
                <w:szCs w:val="24"/>
                <w:highlight w:val="none"/>
                <w:lang w:eastAsia="zh-CN"/>
              </w:rPr>
              <w:t>报价为</w:t>
            </w:r>
            <w:r>
              <w:rPr>
                <w:rFonts w:hint="eastAsia" w:ascii="仿宋" w:hAnsi="仿宋" w:eastAsia="仿宋" w:cs="仿宋"/>
                <w:color w:val="auto"/>
                <w:sz w:val="24"/>
                <w:szCs w:val="24"/>
                <w:highlight w:val="none"/>
              </w:rPr>
              <w:t>供应商完成磋商项目所需的全部费用（包括劳务费、国家按现行税收政策征收的一切税费等）。</w:t>
            </w:r>
          </w:p>
          <w:p>
            <w:pPr>
              <w:pStyle w:val="10"/>
              <w:rPr>
                <w:rFonts w:hint="eastAsia" w:eastAsia="仿宋"/>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.磋商报价以元为单位，</w:t>
            </w:r>
            <w:r>
              <w:rPr>
                <w:rFonts w:hint="eastAsia" w:ascii="仿宋" w:hAnsi="仿宋" w:eastAsia="仿宋" w:cs="仿宋"/>
                <w:color w:val="auto"/>
                <w:sz w:val="24"/>
                <w:szCs w:val="24"/>
                <w:highlight w:val="none"/>
                <w:lang w:val="en-US" w:eastAsia="zh-CN"/>
              </w:rPr>
              <w:t>保留小数点后两位，</w:t>
            </w:r>
            <w:r>
              <w:rPr>
                <w:rFonts w:hint="eastAsia" w:ascii="仿宋" w:hAnsi="仿宋" w:eastAsia="仿宋" w:cs="仿宋"/>
                <w:color w:val="auto"/>
                <w:sz w:val="24"/>
                <w:szCs w:val="24"/>
                <w:highlight w:val="none"/>
              </w:rPr>
              <w:t>大小写不一致时，以大写为准。</w:t>
            </w:r>
          </w:p>
        </w:tc>
      </w:tr>
    </w:tbl>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ind w:firstLine="3828" w:firstLineChars="159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828" w:firstLineChars="159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w:t>
      </w:r>
    </w:p>
    <w:p>
      <w:pPr>
        <w:spacing w:line="360" w:lineRule="auto"/>
        <w:ind w:firstLine="3828" w:firstLineChars="159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(签字或盖章)</w:t>
      </w:r>
    </w:p>
    <w:p>
      <w:pPr>
        <w:overflowPunct w:val="0"/>
        <w:spacing w:line="360" w:lineRule="auto"/>
        <w:jc w:val="center"/>
        <w:rPr>
          <w:rFonts w:hint="eastAsia" w:ascii="仿宋" w:hAnsi="仿宋" w:eastAsia="仿宋" w:cs="仿宋"/>
          <w:color w:val="auto"/>
          <w:sz w:val="24"/>
          <w:szCs w:val="24"/>
          <w:highlight w:val="none"/>
        </w:rPr>
        <w:sectPr>
          <w:pgSz w:w="11906" w:h="16838"/>
          <w:pgMar w:top="1440" w:right="1059" w:bottom="1440" w:left="1387" w:header="850" w:footer="992" w:gutter="0"/>
          <w:pgNumType w:fmt="numberInDash"/>
          <w:cols w:space="0" w:num="1"/>
          <w:docGrid w:type="lines" w:linePitch="317" w:charSpace="0"/>
        </w:sectPr>
      </w:pPr>
      <w:r>
        <w:rPr>
          <w:rFonts w:hint="eastAsia" w:ascii="仿宋" w:hAnsi="仿宋" w:eastAsia="仿宋" w:cs="仿宋"/>
          <w:color w:val="auto"/>
          <w:sz w:val="24"/>
          <w:szCs w:val="24"/>
          <w:highlight w:val="none"/>
        </w:rPr>
        <w:t xml:space="preserve">          日      期：  年  月   日</w:t>
      </w:r>
    </w:p>
    <w:p>
      <w:pPr>
        <w:pStyle w:val="10"/>
        <w:jc w:val="cente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分项报价表（第一次）</w:t>
      </w:r>
    </w:p>
    <w:p>
      <w:pPr>
        <w:spacing w:line="360" w:lineRule="auto"/>
        <w:ind w:firstLine="2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spacing w:line="360" w:lineRule="auto"/>
        <w:ind w:firstLine="2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项目编号：   </w:t>
      </w:r>
    </w:p>
    <w:tbl>
      <w:tblPr>
        <w:tblStyle w:val="27"/>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315"/>
        <w:gridCol w:w="1247"/>
        <w:gridCol w:w="1185"/>
        <w:gridCol w:w="1267"/>
        <w:gridCol w:w="1446"/>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0"/>
            <w:vAlign w:val="center"/>
          </w:tcPr>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2315" w:type="dxa"/>
            <w:noWrap w:val="0"/>
            <w:vAlign w:val="center"/>
          </w:tcPr>
          <w:p>
            <w:pPr>
              <w:overflowPunct w:val="0"/>
              <w:spacing w:line="360" w:lineRule="auto"/>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服务内容</w:t>
            </w:r>
          </w:p>
        </w:tc>
        <w:tc>
          <w:tcPr>
            <w:tcW w:w="1247" w:type="dxa"/>
            <w:noWrap w:val="0"/>
            <w:vAlign w:val="center"/>
          </w:tcPr>
          <w:p>
            <w:pPr>
              <w:overflowPunct w:val="0"/>
              <w:spacing w:line="360" w:lineRule="auto"/>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rPr>
              <w:t>单位</w:t>
            </w:r>
          </w:p>
        </w:tc>
        <w:tc>
          <w:tcPr>
            <w:tcW w:w="1185" w:type="dxa"/>
            <w:noWrap w:val="0"/>
            <w:vAlign w:val="center"/>
          </w:tcPr>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数量</w:t>
            </w:r>
          </w:p>
        </w:tc>
        <w:tc>
          <w:tcPr>
            <w:tcW w:w="1267" w:type="dxa"/>
            <w:noWrap w:val="0"/>
            <w:vAlign w:val="center"/>
          </w:tcPr>
          <w:p>
            <w:pPr>
              <w:overflowPunct w:val="0"/>
              <w:spacing w:line="360" w:lineRule="auto"/>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rPr>
              <w:t>单价</w:t>
            </w:r>
            <w:r>
              <w:rPr>
                <w:rFonts w:hint="eastAsia" w:ascii="仿宋" w:hAnsi="仿宋" w:eastAsia="仿宋" w:cs="仿宋"/>
                <w:b/>
                <w:bCs/>
                <w:color w:val="auto"/>
                <w:sz w:val="24"/>
                <w:highlight w:val="none"/>
                <w:lang w:val="en-US" w:eastAsia="zh-CN"/>
              </w:rPr>
              <w:t>（元）</w:t>
            </w:r>
          </w:p>
        </w:tc>
        <w:tc>
          <w:tcPr>
            <w:tcW w:w="1446" w:type="dxa"/>
            <w:noWrap w:val="0"/>
            <w:vAlign w:val="center"/>
          </w:tcPr>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合计</w:t>
            </w:r>
          </w:p>
        </w:tc>
        <w:tc>
          <w:tcPr>
            <w:tcW w:w="884" w:type="dxa"/>
            <w:noWrap w:val="0"/>
            <w:vAlign w:val="center"/>
          </w:tcPr>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2315"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247" w:type="dxa"/>
            <w:noWrap w:val="0"/>
            <w:vAlign w:val="center"/>
          </w:tcPr>
          <w:p>
            <w:pPr>
              <w:overflowPunct w:val="0"/>
              <w:spacing w:line="360" w:lineRule="auto"/>
              <w:jc w:val="center"/>
              <w:rPr>
                <w:rFonts w:hint="eastAsia" w:ascii="仿宋" w:hAnsi="仿宋" w:eastAsia="仿宋" w:cs="仿宋"/>
                <w:color w:val="auto"/>
                <w:sz w:val="24"/>
                <w:highlight w:val="none"/>
                <w:lang w:val="en-US" w:eastAsia="zh-CN"/>
              </w:rPr>
            </w:pPr>
          </w:p>
        </w:tc>
        <w:tc>
          <w:tcPr>
            <w:tcW w:w="1185" w:type="dxa"/>
            <w:noWrap w:val="0"/>
            <w:vAlign w:val="center"/>
          </w:tcPr>
          <w:p>
            <w:pPr>
              <w:overflowPunct w:val="0"/>
              <w:spacing w:line="360" w:lineRule="auto"/>
              <w:jc w:val="center"/>
              <w:rPr>
                <w:rFonts w:hint="default" w:ascii="仿宋" w:hAnsi="仿宋" w:eastAsia="仿宋" w:cs="仿宋"/>
                <w:color w:val="auto"/>
                <w:sz w:val="24"/>
                <w:highlight w:val="none"/>
                <w:lang w:val="en-US" w:eastAsia="zh-CN"/>
              </w:rPr>
            </w:pPr>
          </w:p>
        </w:tc>
        <w:tc>
          <w:tcPr>
            <w:tcW w:w="1267"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446"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884" w:type="dxa"/>
            <w:noWrap w:val="0"/>
            <w:vAlign w:val="center"/>
          </w:tcPr>
          <w:p>
            <w:pPr>
              <w:overflowPunct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2315"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247" w:type="dxa"/>
            <w:noWrap w:val="0"/>
            <w:vAlign w:val="center"/>
          </w:tcPr>
          <w:p>
            <w:pPr>
              <w:overflowPunct w:val="0"/>
              <w:spacing w:line="360" w:lineRule="auto"/>
              <w:jc w:val="center"/>
              <w:rPr>
                <w:rFonts w:hint="eastAsia" w:ascii="仿宋" w:hAnsi="仿宋" w:eastAsia="仿宋" w:cs="仿宋"/>
                <w:color w:val="auto"/>
                <w:sz w:val="24"/>
                <w:highlight w:val="none"/>
                <w:lang w:val="en-US" w:eastAsia="zh-CN"/>
              </w:rPr>
            </w:pPr>
          </w:p>
        </w:tc>
        <w:tc>
          <w:tcPr>
            <w:tcW w:w="1185" w:type="dxa"/>
            <w:noWrap w:val="0"/>
            <w:vAlign w:val="center"/>
          </w:tcPr>
          <w:p>
            <w:pPr>
              <w:overflowPunct w:val="0"/>
              <w:spacing w:line="360" w:lineRule="auto"/>
              <w:jc w:val="center"/>
              <w:rPr>
                <w:rFonts w:hint="default" w:ascii="仿宋" w:hAnsi="仿宋" w:eastAsia="仿宋" w:cs="仿宋"/>
                <w:color w:val="auto"/>
                <w:sz w:val="24"/>
                <w:highlight w:val="none"/>
                <w:lang w:val="en-US" w:eastAsia="zh-CN"/>
              </w:rPr>
            </w:pPr>
          </w:p>
        </w:tc>
        <w:tc>
          <w:tcPr>
            <w:tcW w:w="1267"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446"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884" w:type="dxa"/>
            <w:noWrap w:val="0"/>
            <w:vAlign w:val="center"/>
          </w:tcPr>
          <w:p>
            <w:pPr>
              <w:overflowPunct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2315"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247" w:type="dxa"/>
            <w:noWrap w:val="0"/>
            <w:vAlign w:val="center"/>
          </w:tcPr>
          <w:p>
            <w:pPr>
              <w:overflowPunct w:val="0"/>
              <w:spacing w:line="360" w:lineRule="auto"/>
              <w:jc w:val="center"/>
              <w:rPr>
                <w:rFonts w:hint="eastAsia" w:ascii="仿宋" w:hAnsi="仿宋" w:eastAsia="仿宋" w:cs="仿宋"/>
                <w:color w:val="auto"/>
                <w:sz w:val="24"/>
                <w:highlight w:val="none"/>
                <w:lang w:val="en-US" w:eastAsia="zh-CN"/>
              </w:rPr>
            </w:pPr>
          </w:p>
        </w:tc>
        <w:tc>
          <w:tcPr>
            <w:tcW w:w="1185" w:type="dxa"/>
            <w:noWrap w:val="0"/>
            <w:vAlign w:val="center"/>
          </w:tcPr>
          <w:p>
            <w:pPr>
              <w:overflowPunct w:val="0"/>
              <w:spacing w:line="360" w:lineRule="auto"/>
              <w:jc w:val="center"/>
              <w:rPr>
                <w:rFonts w:hint="default" w:ascii="仿宋" w:hAnsi="仿宋" w:eastAsia="仿宋" w:cs="仿宋"/>
                <w:color w:val="auto"/>
                <w:sz w:val="24"/>
                <w:highlight w:val="none"/>
                <w:lang w:val="en-US" w:eastAsia="zh-CN"/>
              </w:rPr>
            </w:pPr>
          </w:p>
        </w:tc>
        <w:tc>
          <w:tcPr>
            <w:tcW w:w="1267"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446"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884" w:type="dxa"/>
            <w:noWrap w:val="0"/>
            <w:vAlign w:val="center"/>
          </w:tcPr>
          <w:p>
            <w:pPr>
              <w:overflowPunct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2315"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247" w:type="dxa"/>
            <w:noWrap w:val="0"/>
            <w:vAlign w:val="center"/>
          </w:tcPr>
          <w:p>
            <w:pPr>
              <w:overflowPunct w:val="0"/>
              <w:spacing w:line="360" w:lineRule="auto"/>
              <w:jc w:val="center"/>
              <w:rPr>
                <w:rFonts w:hint="eastAsia" w:ascii="仿宋" w:hAnsi="仿宋" w:eastAsia="仿宋" w:cs="仿宋"/>
                <w:color w:val="auto"/>
                <w:sz w:val="24"/>
                <w:highlight w:val="none"/>
                <w:lang w:val="en-US" w:eastAsia="zh-CN"/>
              </w:rPr>
            </w:pPr>
          </w:p>
        </w:tc>
        <w:tc>
          <w:tcPr>
            <w:tcW w:w="1185" w:type="dxa"/>
            <w:noWrap w:val="0"/>
            <w:vAlign w:val="center"/>
          </w:tcPr>
          <w:p>
            <w:pPr>
              <w:overflowPunct w:val="0"/>
              <w:spacing w:line="360" w:lineRule="auto"/>
              <w:jc w:val="center"/>
              <w:rPr>
                <w:rFonts w:hint="default" w:ascii="仿宋" w:hAnsi="仿宋" w:eastAsia="仿宋" w:cs="仿宋"/>
                <w:color w:val="auto"/>
                <w:sz w:val="24"/>
                <w:highlight w:val="none"/>
                <w:lang w:val="en-US" w:eastAsia="zh-CN"/>
              </w:rPr>
            </w:pPr>
          </w:p>
        </w:tc>
        <w:tc>
          <w:tcPr>
            <w:tcW w:w="1267"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446"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884" w:type="dxa"/>
            <w:noWrap w:val="0"/>
            <w:vAlign w:val="center"/>
          </w:tcPr>
          <w:p>
            <w:pPr>
              <w:overflowPunct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0"/>
            <w:vAlign w:val="center"/>
          </w:tcPr>
          <w:p>
            <w:pPr>
              <w:overflowPunct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2315" w:type="dxa"/>
            <w:noWrap w:val="0"/>
            <w:vAlign w:val="center"/>
          </w:tcPr>
          <w:p>
            <w:pPr>
              <w:pStyle w:val="26"/>
              <w:ind w:left="0" w:leftChars="0" w:firstLine="0" w:firstLineChars="0"/>
              <w:rPr>
                <w:rFonts w:hint="default" w:eastAsia="仿宋"/>
                <w:highlight w:val="none"/>
                <w:lang w:val="en-US" w:eastAsia="zh-CN"/>
              </w:rPr>
            </w:pPr>
          </w:p>
        </w:tc>
        <w:tc>
          <w:tcPr>
            <w:tcW w:w="1247" w:type="dxa"/>
            <w:noWrap w:val="0"/>
            <w:vAlign w:val="center"/>
          </w:tcPr>
          <w:p>
            <w:pPr>
              <w:overflowPunct w:val="0"/>
              <w:spacing w:line="360" w:lineRule="auto"/>
              <w:jc w:val="center"/>
              <w:rPr>
                <w:rFonts w:hint="eastAsia" w:ascii="仿宋" w:hAnsi="仿宋" w:eastAsia="仿宋" w:cs="仿宋"/>
                <w:color w:val="auto"/>
                <w:sz w:val="24"/>
                <w:highlight w:val="none"/>
                <w:lang w:val="en-US" w:eastAsia="zh-CN"/>
              </w:rPr>
            </w:pPr>
          </w:p>
        </w:tc>
        <w:tc>
          <w:tcPr>
            <w:tcW w:w="1185" w:type="dxa"/>
            <w:noWrap w:val="0"/>
            <w:vAlign w:val="center"/>
          </w:tcPr>
          <w:p>
            <w:pPr>
              <w:overflowPunct w:val="0"/>
              <w:spacing w:line="360" w:lineRule="auto"/>
              <w:jc w:val="center"/>
              <w:rPr>
                <w:rFonts w:hint="default" w:ascii="仿宋" w:hAnsi="仿宋" w:eastAsia="仿宋" w:cs="仿宋"/>
                <w:color w:val="auto"/>
                <w:sz w:val="24"/>
                <w:highlight w:val="none"/>
                <w:lang w:val="en-US" w:eastAsia="zh-CN"/>
              </w:rPr>
            </w:pPr>
          </w:p>
        </w:tc>
        <w:tc>
          <w:tcPr>
            <w:tcW w:w="1267"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1446" w:type="dxa"/>
            <w:noWrap w:val="0"/>
            <w:vAlign w:val="center"/>
          </w:tcPr>
          <w:p>
            <w:pPr>
              <w:overflowPunct w:val="0"/>
              <w:spacing w:line="360" w:lineRule="auto"/>
              <w:jc w:val="center"/>
              <w:rPr>
                <w:rFonts w:hint="eastAsia" w:ascii="仿宋" w:hAnsi="仿宋" w:eastAsia="仿宋" w:cs="仿宋"/>
                <w:color w:val="auto"/>
                <w:sz w:val="24"/>
                <w:highlight w:val="none"/>
              </w:rPr>
            </w:pPr>
          </w:p>
        </w:tc>
        <w:tc>
          <w:tcPr>
            <w:tcW w:w="884" w:type="dxa"/>
            <w:noWrap w:val="0"/>
            <w:vAlign w:val="center"/>
          </w:tcPr>
          <w:p>
            <w:pPr>
              <w:overflowPunct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3109" w:type="dxa"/>
            <w:gridSpan w:val="2"/>
            <w:noWrap w:val="0"/>
            <w:vAlign w:val="center"/>
          </w:tcPr>
          <w:p>
            <w:pPr>
              <w:pStyle w:val="10"/>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vertAlign w:val="baseline"/>
                <w:lang w:val="en-US" w:eastAsia="zh-CN"/>
              </w:rPr>
              <w:t>合计</w:t>
            </w:r>
          </w:p>
        </w:tc>
        <w:tc>
          <w:tcPr>
            <w:tcW w:w="6029" w:type="dxa"/>
            <w:gridSpan w:val="5"/>
            <w:noWrap w:val="0"/>
            <w:vAlign w:val="center"/>
          </w:tcPr>
          <w:p>
            <w:pPr>
              <w:pStyle w:val="1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大写：</w:t>
            </w:r>
          </w:p>
          <w:p>
            <w:pPr>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vertAlign w:val="baseline"/>
                <w:lang w:val="en-US" w:eastAsia="zh-CN"/>
              </w:rPr>
              <w:t>小写：</w:t>
            </w:r>
          </w:p>
        </w:tc>
      </w:tr>
    </w:tbl>
    <w:p>
      <w:pPr>
        <w:spacing w:line="360" w:lineRule="auto"/>
        <w:ind w:firstLine="3840" w:firstLineChars="1600"/>
        <w:jc w:val="left"/>
        <w:rPr>
          <w:rFonts w:hint="eastAsia" w:ascii="仿宋" w:hAnsi="仿宋" w:eastAsia="仿宋" w:cs="仿宋"/>
          <w:color w:val="auto"/>
          <w:sz w:val="24"/>
          <w:szCs w:val="24"/>
          <w:highlight w:val="none"/>
        </w:rPr>
      </w:pPr>
    </w:p>
    <w:p>
      <w:pPr>
        <w:spacing w:line="360" w:lineRule="auto"/>
        <w:ind w:firstLine="3840" w:firstLineChars="1600"/>
        <w:jc w:val="left"/>
        <w:rPr>
          <w:rFonts w:hint="eastAsia" w:ascii="仿宋" w:hAnsi="仿宋" w:eastAsia="仿宋" w:cs="仿宋"/>
          <w:color w:val="auto"/>
          <w:sz w:val="24"/>
          <w:szCs w:val="24"/>
          <w:highlight w:val="none"/>
        </w:rPr>
      </w:pPr>
    </w:p>
    <w:p>
      <w:pPr>
        <w:spacing w:line="360" w:lineRule="auto"/>
        <w:ind w:firstLine="3840" w:firstLineChars="16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828" w:firstLineChars="159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w:t>
      </w:r>
    </w:p>
    <w:p>
      <w:pPr>
        <w:spacing w:line="360" w:lineRule="auto"/>
        <w:ind w:firstLine="3828" w:firstLineChars="159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(签字或盖章)</w:t>
      </w:r>
    </w:p>
    <w:p>
      <w:pPr>
        <w:overflowPunct w:val="0"/>
        <w:spacing w:line="360" w:lineRule="auto"/>
        <w:jc w:val="center"/>
        <w:rPr>
          <w:rFonts w:hint="eastAsia" w:ascii="仿宋" w:hAnsi="仿宋" w:eastAsia="仿宋" w:cs="仿宋"/>
          <w:color w:val="auto"/>
          <w:sz w:val="24"/>
          <w:szCs w:val="24"/>
          <w:highlight w:val="none"/>
          <w:lang w:val="en-US" w:eastAsia="zh-CN"/>
        </w:rPr>
        <w:sectPr>
          <w:pgSz w:w="11906" w:h="16838"/>
          <w:pgMar w:top="1440" w:right="1059" w:bottom="1440" w:left="1387" w:header="850" w:footer="992" w:gutter="0"/>
          <w:pgNumType w:fmt="numberInDash"/>
          <w:cols w:space="0" w:num="1"/>
          <w:docGrid w:type="lines" w:linePitch="317" w:charSpace="0"/>
        </w:sectPr>
      </w:pPr>
      <w:r>
        <w:rPr>
          <w:rFonts w:hint="eastAsia" w:ascii="仿宋" w:hAnsi="仿宋" w:eastAsia="仿宋" w:cs="仿宋"/>
          <w:color w:val="auto"/>
          <w:sz w:val="24"/>
          <w:szCs w:val="24"/>
          <w:highlight w:val="none"/>
        </w:rPr>
        <w:t xml:space="preserve">          日      期：  年  月  </w:t>
      </w:r>
      <w:r>
        <w:rPr>
          <w:rFonts w:hint="eastAsia" w:ascii="仿宋" w:hAnsi="仿宋" w:eastAsia="仿宋" w:cs="仿宋"/>
          <w:color w:val="auto"/>
          <w:sz w:val="24"/>
          <w:szCs w:val="24"/>
          <w:highlight w:val="none"/>
          <w:lang w:val="en-US" w:eastAsia="zh-CN"/>
        </w:rPr>
        <w:t>日</w:t>
      </w:r>
    </w:p>
    <w:p>
      <w:pPr>
        <w:overflowPunct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、近三年承接的类似项目情况表</w:t>
      </w:r>
    </w:p>
    <w:p>
      <w:pPr>
        <w:keepNext/>
        <w:keepLines/>
        <w:spacing w:line="240" w:lineRule="auto"/>
        <w:jc w:val="center"/>
        <w:rPr>
          <w:rFonts w:hint="eastAsia" w:ascii="仿宋" w:hAnsi="仿宋" w:eastAsia="仿宋" w:cs="仿宋"/>
          <w:b/>
          <w:bCs/>
          <w:color w:val="auto"/>
          <w:sz w:val="28"/>
          <w:szCs w:val="28"/>
          <w:highlight w:val="none"/>
        </w:rPr>
      </w:pPr>
      <w:bookmarkStart w:id="94" w:name="_Toc12299"/>
      <w:bookmarkStart w:id="95" w:name="_Toc9895"/>
      <w:bookmarkStart w:id="96" w:name="_Toc711"/>
      <w:bookmarkStart w:id="97" w:name="_Toc6236"/>
      <w:r>
        <w:rPr>
          <w:rFonts w:hint="eastAsia" w:ascii="仿宋" w:hAnsi="仿宋" w:eastAsia="仿宋" w:cs="仿宋"/>
          <w:b/>
          <w:bCs/>
          <w:color w:val="auto"/>
          <w:sz w:val="28"/>
          <w:szCs w:val="28"/>
          <w:highlight w:val="none"/>
        </w:rPr>
        <w:t>1、业绩统计表</w:t>
      </w:r>
      <w:bookmarkEnd w:id="94"/>
      <w:bookmarkEnd w:id="95"/>
      <w:bookmarkEnd w:id="96"/>
      <w:bookmarkEnd w:id="97"/>
    </w:p>
    <w:p>
      <w:pPr>
        <w:rPr>
          <w:rFonts w:hint="eastAsia" w:ascii="仿宋" w:hAnsi="仿宋" w:eastAsia="仿宋" w:cs="仿宋"/>
          <w:color w:val="auto"/>
          <w:sz w:val="22"/>
          <w:szCs w:val="28"/>
          <w:highlight w:val="none"/>
        </w:rPr>
      </w:pPr>
    </w:p>
    <w:tbl>
      <w:tblPr>
        <w:tblStyle w:val="27"/>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316"/>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ind w:firstLine="240" w:firstLineChars="100"/>
              <w:rPr>
                <w:rFonts w:hint="eastAsia" w:ascii="仿宋" w:hAnsi="仿宋" w:eastAsia="仿宋" w:cs="仿宋"/>
                <w:color w:val="auto"/>
                <w:sz w:val="24"/>
                <w:szCs w:val="24"/>
                <w:highlight w:val="none"/>
              </w:rPr>
            </w:pPr>
            <w:bookmarkStart w:id="98" w:name="_Toc32041"/>
            <w:bookmarkStart w:id="99" w:name="_Toc11643"/>
            <w:bookmarkStart w:id="100" w:name="_Toc17531"/>
            <w:bookmarkStart w:id="101" w:name="_Toc18459"/>
            <w:r>
              <w:rPr>
                <w:rFonts w:hint="eastAsia" w:ascii="仿宋" w:hAnsi="仿宋" w:eastAsia="仿宋" w:cs="仿宋"/>
                <w:color w:val="auto"/>
                <w:sz w:val="24"/>
                <w:szCs w:val="24"/>
                <w:highlight w:val="none"/>
              </w:rPr>
              <w:t>序号</w:t>
            </w:r>
            <w:bookmarkEnd w:id="98"/>
            <w:bookmarkEnd w:id="99"/>
            <w:bookmarkEnd w:id="100"/>
            <w:bookmarkEnd w:id="101"/>
          </w:p>
        </w:tc>
        <w:tc>
          <w:tcPr>
            <w:tcW w:w="3316" w:type="dxa"/>
            <w:vAlign w:val="center"/>
          </w:tcPr>
          <w:p>
            <w:pPr>
              <w:keepNext/>
              <w:keepLines/>
              <w:ind w:firstLine="720" w:firstLineChars="300"/>
              <w:rPr>
                <w:rFonts w:hint="eastAsia" w:ascii="仿宋" w:hAnsi="仿宋" w:eastAsia="仿宋" w:cs="仿宋"/>
                <w:color w:val="auto"/>
                <w:sz w:val="24"/>
                <w:szCs w:val="24"/>
                <w:highlight w:val="none"/>
              </w:rPr>
            </w:pPr>
            <w:bookmarkStart w:id="102" w:name="_Toc8421"/>
            <w:bookmarkStart w:id="103" w:name="_Toc15125"/>
            <w:bookmarkStart w:id="104" w:name="_Toc21399"/>
            <w:bookmarkStart w:id="105" w:name="_Toc7655"/>
            <w:r>
              <w:rPr>
                <w:rFonts w:hint="eastAsia" w:ascii="仿宋" w:hAnsi="仿宋" w:eastAsia="仿宋" w:cs="仿宋"/>
                <w:color w:val="auto"/>
                <w:sz w:val="24"/>
                <w:szCs w:val="24"/>
                <w:highlight w:val="none"/>
              </w:rPr>
              <w:t>业绩名称</w:t>
            </w:r>
            <w:bookmarkEnd w:id="102"/>
            <w:bookmarkEnd w:id="103"/>
            <w:bookmarkEnd w:id="104"/>
            <w:bookmarkEnd w:id="105"/>
          </w:p>
        </w:tc>
        <w:tc>
          <w:tcPr>
            <w:tcW w:w="2280" w:type="dxa"/>
            <w:vAlign w:val="center"/>
          </w:tcPr>
          <w:p>
            <w:pPr>
              <w:keepNext/>
              <w:keepLines/>
              <w:ind w:firstLine="480" w:firstLineChars="200"/>
              <w:rPr>
                <w:rFonts w:hint="eastAsia" w:ascii="仿宋" w:hAnsi="仿宋" w:eastAsia="仿宋" w:cs="仿宋"/>
                <w:color w:val="auto"/>
                <w:sz w:val="24"/>
                <w:szCs w:val="24"/>
                <w:highlight w:val="none"/>
              </w:rPr>
            </w:pPr>
            <w:bookmarkStart w:id="106" w:name="_Toc24868"/>
            <w:bookmarkStart w:id="107" w:name="_Toc21582"/>
            <w:bookmarkStart w:id="108" w:name="_Toc27463"/>
            <w:bookmarkStart w:id="109" w:name="_Toc10940"/>
            <w:r>
              <w:rPr>
                <w:rFonts w:hint="eastAsia" w:ascii="仿宋" w:hAnsi="仿宋" w:eastAsia="仿宋" w:cs="仿宋"/>
                <w:color w:val="auto"/>
                <w:sz w:val="24"/>
                <w:szCs w:val="24"/>
                <w:highlight w:val="none"/>
              </w:rPr>
              <w:t>执行时间</w:t>
            </w:r>
            <w:bookmarkEnd w:id="106"/>
            <w:bookmarkEnd w:id="107"/>
            <w:bookmarkEnd w:id="108"/>
            <w:bookmarkEnd w:id="109"/>
          </w:p>
        </w:tc>
        <w:tc>
          <w:tcPr>
            <w:tcW w:w="2281" w:type="dxa"/>
            <w:vAlign w:val="center"/>
          </w:tcPr>
          <w:p>
            <w:pPr>
              <w:keepNext/>
              <w:keepLines/>
              <w:ind w:firstLine="720" w:firstLineChars="300"/>
              <w:rPr>
                <w:rFonts w:hint="eastAsia" w:ascii="仿宋" w:hAnsi="仿宋" w:eastAsia="仿宋" w:cs="仿宋"/>
                <w:color w:val="auto"/>
                <w:sz w:val="24"/>
                <w:szCs w:val="24"/>
                <w:highlight w:val="none"/>
              </w:rPr>
            </w:pPr>
            <w:bookmarkStart w:id="110" w:name="_Toc5850"/>
            <w:bookmarkStart w:id="111" w:name="_Toc25473"/>
            <w:bookmarkStart w:id="112" w:name="_Toc16665"/>
            <w:bookmarkStart w:id="113" w:name="_Toc30689"/>
            <w:r>
              <w:rPr>
                <w:rFonts w:hint="eastAsia" w:ascii="仿宋" w:hAnsi="仿宋" w:eastAsia="仿宋" w:cs="仿宋"/>
                <w:color w:val="auto"/>
                <w:sz w:val="24"/>
                <w:szCs w:val="24"/>
                <w:highlight w:val="none"/>
              </w:rPr>
              <w:t>备注</w:t>
            </w:r>
            <w:bookmarkEnd w:id="110"/>
            <w:bookmarkEnd w:id="111"/>
            <w:bookmarkEnd w:id="112"/>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43" w:type="dxa"/>
            <w:vAlign w:val="center"/>
          </w:tcPr>
          <w:p>
            <w:pPr>
              <w:keepNext/>
              <w:keepLines/>
              <w:rPr>
                <w:rFonts w:hint="eastAsia" w:ascii="仿宋" w:hAnsi="仿宋" w:eastAsia="仿宋" w:cs="仿宋"/>
                <w:color w:val="auto"/>
                <w:sz w:val="24"/>
                <w:szCs w:val="24"/>
                <w:highlight w:val="none"/>
              </w:rPr>
            </w:pPr>
          </w:p>
        </w:tc>
        <w:tc>
          <w:tcPr>
            <w:tcW w:w="3316" w:type="dxa"/>
            <w:vAlign w:val="center"/>
          </w:tcPr>
          <w:p>
            <w:pPr>
              <w:keepNext/>
              <w:keepLines/>
              <w:rPr>
                <w:rFonts w:hint="eastAsia" w:ascii="仿宋" w:hAnsi="仿宋" w:eastAsia="仿宋" w:cs="仿宋"/>
                <w:color w:val="auto"/>
                <w:sz w:val="24"/>
                <w:szCs w:val="24"/>
                <w:highlight w:val="none"/>
              </w:rPr>
            </w:pPr>
          </w:p>
        </w:tc>
        <w:tc>
          <w:tcPr>
            <w:tcW w:w="2280" w:type="dxa"/>
            <w:vAlign w:val="center"/>
          </w:tcPr>
          <w:p>
            <w:pPr>
              <w:keepNext/>
              <w:keepLines/>
              <w:rPr>
                <w:rFonts w:hint="eastAsia" w:ascii="仿宋" w:hAnsi="仿宋" w:eastAsia="仿宋" w:cs="仿宋"/>
                <w:color w:val="auto"/>
                <w:sz w:val="24"/>
                <w:szCs w:val="24"/>
                <w:highlight w:val="none"/>
              </w:rPr>
            </w:pPr>
          </w:p>
        </w:tc>
        <w:tc>
          <w:tcPr>
            <w:tcW w:w="2281" w:type="dxa"/>
            <w:vAlign w:val="center"/>
          </w:tcPr>
          <w:p>
            <w:pPr>
              <w:keepNext/>
              <w:keepLines/>
              <w:rPr>
                <w:rFonts w:hint="eastAsia" w:ascii="仿宋" w:hAnsi="仿宋" w:eastAsia="仿宋" w:cs="仿宋"/>
                <w:color w:val="auto"/>
                <w:sz w:val="24"/>
                <w:szCs w:val="24"/>
                <w:highlight w:val="none"/>
              </w:rPr>
            </w:pPr>
          </w:p>
        </w:tc>
      </w:tr>
    </w:tbl>
    <w:p>
      <w:pPr>
        <w:outlineLvl w:val="9"/>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spacing w:line="360" w:lineRule="auto"/>
        <w:ind w:firstLine="3828" w:firstLineChars="159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828" w:firstLineChars="159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w:t>
      </w:r>
    </w:p>
    <w:p>
      <w:pPr>
        <w:spacing w:line="360" w:lineRule="auto"/>
        <w:ind w:firstLine="3828" w:firstLineChars="159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(签字或盖章)</w:t>
      </w:r>
    </w:p>
    <w:p>
      <w:pPr>
        <w:rPr>
          <w:rFonts w:hint="eastAsia" w:ascii="仿宋" w:hAnsi="仿宋" w:eastAsia="仿宋" w:cs="仿宋"/>
          <w:b/>
          <w:color w:val="auto"/>
          <w:sz w:val="28"/>
          <w:szCs w:val="28"/>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日      期：  年  月   日</w:t>
      </w:r>
      <w:r>
        <w:rPr>
          <w:rFonts w:hint="eastAsia" w:ascii="仿宋" w:hAnsi="仿宋" w:eastAsia="仿宋" w:cs="仿宋"/>
          <w:b/>
          <w:color w:val="auto"/>
          <w:sz w:val="28"/>
          <w:szCs w:val="28"/>
          <w:highlight w:val="none"/>
        </w:rPr>
        <w:br w:type="page"/>
      </w:r>
    </w:p>
    <w:p>
      <w:pPr>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2、附表</w:t>
      </w:r>
    </w:p>
    <w:tbl>
      <w:tblPr>
        <w:tblStyle w:val="27"/>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项目所在地</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名称</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地址</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联系电话</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lang w:val="en-US" w:eastAsia="zh-CN"/>
              </w:rPr>
              <w:t>金额</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项目完成时间</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承担的工作</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项目描述</w:t>
            </w:r>
          </w:p>
        </w:tc>
        <w:tc>
          <w:tcPr>
            <w:tcW w:w="6147" w:type="dxa"/>
            <w:vAlign w:val="center"/>
          </w:tcPr>
          <w:p>
            <w:pPr>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43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147" w:type="dxa"/>
            <w:vAlign w:val="center"/>
          </w:tcPr>
          <w:p>
            <w:pPr>
              <w:jc w:val="left"/>
              <w:rPr>
                <w:rFonts w:hint="eastAsia" w:ascii="仿宋" w:hAnsi="仿宋" w:eastAsia="仿宋" w:cs="仿宋"/>
                <w:color w:val="auto"/>
                <w:sz w:val="24"/>
                <w:szCs w:val="24"/>
                <w:highlight w:val="none"/>
              </w:rPr>
            </w:pPr>
          </w:p>
        </w:tc>
      </w:tr>
    </w:tbl>
    <w:p>
      <w:pPr>
        <w:jc w:val="left"/>
        <w:rPr>
          <w:rFonts w:hint="eastAsia" w:ascii="仿宋" w:hAnsi="仿宋" w:eastAsia="仿宋" w:cs="仿宋"/>
          <w:color w:val="auto"/>
          <w:sz w:val="22"/>
          <w:szCs w:val="22"/>
          <w:highlight w:val="none"/>
        </w:rPr>
      </w:pP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注：1、本表可复制，一个业绩附一张表。</w:t>
      </w:r>
    </w:p>
    <w:p>
      <w:pP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2、附同类型业绩的合同复印件。</w:t>
      </w:r>
    </w:p>
    <w:p>
      <w:pP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3、以上资料复印件（加盖供应商公章），附在响应文件中的“近年承接的类似项目情况表”后。</w:t>
      </w:r>
    </w:p>
    <w:p>
      <w:pPr>
        <w:rPr>
          <w:rFonts w:hint="eastAsia"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rPr>
        <w:br w:type="page"/>
      </w:r>
    </w:p>
    <w:p>
      <w:pPr>
        <w:pStyle w:val="12"/>
        <w:spacing w:before="120"/>
        <w:ind w:left="0" w:right="34"/>
        <w:jc w:val="center"/>
        <w:rPr>
          <w:rFonts w:hint="eastAsia"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lang w:val="en-US" w:eastAsia="zh-CN"/>
        </w:rPr>
        <w:t>六</w:t>
      </w:r>
      <w:r>
        <w:rPr>
          <w:rFonts w:hint="eastAsia" w:ascii="仿宋" w:hAnsi="仿宋" w:eastAsia="仿宋" w:cs="仿宋"/>
          <w:b/>
          <w:bCs/>
          <w:color w:val="auto"/>
          <w:kern w:val="2"/>
          <w:sz w:val="32"/>
          <w:szCs w:val="32"/>
          <w:highlight w:val="none"/>
        </w:rPr>
        <w:t>、</w:t>
      </w:r>
      <w:r>
        <w:rPr>
          <w:rFonts w:hint="eastAsia" w:ascii="仿宋" w:hAnsi="仿宋" w:eastAsia="仿宋" w:cs="仿宋"/>
          <w:b/>
          <w:bCs/>
          <w:color w:val="auto"/>
          <w:kern w:val="2"/>
          <w:sz w:val="32"/>
          <w:szCs w:val="32"/>
          <w:highlight w:val="none"/>
          <w:lang w:val="en-US" w:eastAsia="zh-CN"/>
        </w:rPr>
        <w:t>项目实施</w:t>
      </w:r>
      <w:r>
        <w:rPr>
          <w:rFonts w:hint="eastAsia" w:ascii="仿宋" w:hAnsi="仿宋" w:eastAsia="仿宋" w:cs="仿宋"/>
          <w:b/>
          <w:bCs/>
          <w:color w:val="auto"/>
          <w:kern w:val="2"/>
          <w:sz w:val="32"/>
          <w:szCs w:val="32"/>
          <w:highlight w:val="none"/>
        </w:rPr>
        <w:t>方案</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200025</wp:posOffset>
                </wp:positionV>
                <wp:extent cx="526161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26161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5pt;margin-top:15.75pt;height:0.05pt;width:414.3pt;z-index:251659264;mso-width-relative:page;mso-height-relative:page;" filled="f" stroked="t" coordsize="21600,21600" o:gfxdata="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gPMEjXAAAACAEAAA8AAAAAAAAAAQAgAAAAIgAAAGRycy9kb3ducmV2LnhtbFBLAQIUABQA&#10;AAAIAIdO4kDgb7F28QEAAOgDAAAOAAAAAAAAAAEAIAAAACYBAABkcnMvZTJvRG9jLnhtbFBLBQYA&#10;AAAABgAGAFkBAACJBQAAAAA=&#10;">
                <v:fill on="f" focussize="0,0"/>
                <v:stroke color="#000000" joinstyle="round"/>
                <v:imagedata o:title=""/>
                <o:lock v:ext="edit" aspectratio="f"/>
              </v:line>
            </w:pict>
          </mc:Fallback>
        </mc:AlternateContent>
      </w:r>
    </w:p>
    <w:p>
      <w:pPr>
        <w:rPr>
          <w:rFonts w:hint="eastAsia" w:ascii="仿宋" w:hAnsi="仿宋" w:eastAsia="仿宋" w:cs="仿宋"/>
          <w:bCs/>
          <w:i/>
          <w:iCs/>
          <w:color w:val="auto"/>
          <w:sz w:val="22"/>
          <w:szCs w:val="22"/>
          <w:highlight w:val="none"/>
        </w:rPr>
      </w:pPr>
      <w:r>
        <w:rPr>
          <w:rFonts w:hint="eastAsia" w:ascii="仿宋" w:hAnsi="仿宋" w:eastAsia="仿宋" w:cs="仿宋"/>
          <w:bCs/>
          <w:i/>
          <w:iCs/>
          <w:color w:val="auto"/>
          <w:sz w:val="22"/>
          <w:szCs w:val="22"/>
          <w:highlight w:val="none"/>
        </w:rPr>
        <w:br w:type="page"/>
      </w:r>
    </w:p>
    <w:p>
      <w:pPr>
        <w:pStyle w:val="76"/>
        <w:ind w:firstLine="0" w:firstLineChars="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1.拟派项目负责人简历表</w:t>
      </w:r>
    </w:p>
    <w:tbl>
      <w:tblPr>
        <w:tblStyle w:val="2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703"/>
        <w:gridCol w:w="970"/>
        <w:gridCol w:w="1692"/>
        <w:gridCol w:w="464"/>
        <w:gridCol w:w="1293"/>
        <w:gridCol w:w="13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746"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姓  名</w:t>
            </w:r>
          </w:p>
        </w:tc>
        <w:tc>
          <w:tcPr>
            <w:tcW w:w="1703"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970"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性别</w:t>
            </w:r>
          </w:p>
        </w:tc>
        <w:tc>
          <w:tcPr>
            <w:tcW w:w="2156" w:type="dxa"/>
            <w:gridSpan w:val="2"/>
            <w:tcBorders>
              <w:bottom w:val="single" w:color="auto" w:sz="4" w:space="0"/>
            </w:tcBorders>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293" w:type="dxa"/>
            <w:tcBorders>
              <w:bottom w:val="single" w:color="auto" w:sz="4" w:space="0"/>
            </w:tcBorders>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年龄</w:t>
            </w:r>
          </w:p>
        </w:tc>
        <w:tc>
          <w:tcPr>
            <w:tcW w:w="1370" w:type="dxa"/>
            <w:tcBorders>
              <w:bottom w:val="single" w:color="auto" w:sz="4" w:space="0"/>
            </w:tcBorders>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746"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职 称</w:t>
            </w:r>
          </w:p>
        </w:tc>
        <w:tc>
          <w:tcPr>
            <w:tcW w:w="1703"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970"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学历</w:t>
            </w:r>
          </w:p>
        </w:tc>
        <w:tc>
          <w:tcPr>
            <w:tcW w:w="2156" w:type="dxa"/>
            <w:gridSpan w:val="2"/>
            <w:tcBorders>
              <w:bottom w:val="single" w:color="auto" w:sz="4" w:space="0"/>
            </w:tcBorders>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293" w:type="dxa"/>
            <w:tcBorders>
              <w:bottom w:val="single" w:color="auto" w:sz="4" w:space="0"/>
            </w:tcBorders>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毕业时间</w:t>
            </w:r>
          </w:p>
        </w:tc>
        <w:tc>
          <w:tcPr>
            <w:tcW w:w="1370" w:type="dxa"/>
            <w:tcBorders>
              <w:bottom w:val="single" w:color="auto" w:sz="4" w:space="0"/>
            </w:tcBorders>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746"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毕业院校</w:t>
            </w:r>
          </w:p>
        </w:tc>
        <w:tc>
          <w:tcPr>
            <w:tcW w:w="2673" w:type="dxa"/>
            <w:gridSpan w:val="2"/>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2156" w:type="dxa"/>
            <w:gridSpan w:val="2"/>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所学专业</w:t>
            </w:r>
          </w:p>
        </w:tc>
        <w:tc>
          <w:tcPr>
            <w:tcW w:w="2663" w:type="dxa"/>
            <w:gridSpan w:val="2"/>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1746"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专业工作年限</w:t>
            </w:r>
          </w:p>
        </w:tc>
        <w:tc>
          <w:tcPr>
            <w:tcW w:w="2673" w:type="dxa"/>
            <w:gridSpan w:val="2"/>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2156" w:type="dxa"/>
            <w:gridSpan w:val="2"/>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从事项目经理年限</w:t>
            </w:r>
          </w:p>
        </w:tc>
        <w:tc>
          <w:tcPr>
            <w:tcW w:w="2663" w:type="dxa"/>
            <w:gridSpan w:val="2"/>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rPr>
                <w:rFonts w:hint="eastAsia" w:ascii="仿宋" w:hAnsi="仿宋" w:eastAsia="仿宋" w:cs="仿宋"/>
                <w:color w:val="auto"/>
                <w:spacing w:val="-3"/>
                <w:kern w:val="0"/>
                <w:sz w:val="24"/>
                <w:szCs w:val="24"/>
                <w:highlight w:val="none"/>
              </w:rPr>
            </w:pPr>
            <w:r>
              <w:rPr>
                <w:rFonts w:hint="eastAsia" w:ascii="仿宋" w:hAnsi="仿宋" w:eastAsia="仿宋" w:cs="仿宋"/>
                <w:color w:val="auto"/>
                <w:sz w:val="24"/>
                <w:szCs w:val="24"/>
                <w:highlight w:val="none"/>
              </w:rPr>
              <w:t>注册执业资格</w:t>
            </w:r>
          </w:p>
        </w:tc>
        <w:tc>
          <w:tcPr>
            <w:tcW w:w="4819" w:type="dxa"/>
            <w:gridSpan w:val="4"/>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担任的职务及责任</w:t>
            </w:r>
          </w:p>
        </w:tc>
        <w:tc>
          <w:tcPr>
            <w:tcW w:w="4819" w:type="dxa"/>
            <w:gridSpan w:val="4"/>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9238" w:type="dxa"/>
            <w:gridSpan w:val="7"/>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主要工作经历及业绩：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参加过的类似项目名称</w:t>
            </w: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担任职务</w:t>
            </w: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r>
              <w:rPr>
                <w:rFonts w:hint="eastAsia" w:ascii="仿宋" w:hAnsi="仿宋" w:eastAsia="仿宋" w:cs="仿宋"/>
                <w:color w:val="auto"/>
                <w:spacing w:val="-3"/>
                <w:kern w:val="0"/>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0" w:hRule="exact"/>
        </w:trPr>
        <w:tc>
          <w:tcPr>
            <w:tcW w:w="4419"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1692" w:type="dxa"/>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c>
          <w:tcPr>
            <w:tcW w:w="3127" w:type="dxa"/>
            <w:gridSpan w:val="3"/>
            <w:noWrap w:val="0"/>
            <w:vAlign w:val="center"/>
          </w:tcPr>
          <w:p>
            <w:pPr>
              <w:autoSpaceDE w:val="0"/>
              <w:autoSpaceDN w:val="0"/>
              <w:adjustRightInd w:val="0"/>
              <w:snapToGrid w:val="0"/>
              <w:spacing w:line="360" w:lineRule="auto"/>
              <w:jc w:val="center"/>
              <w:rPr>
                <w:rFonts w:hint="eastAsia" w:ascii="仿宋" w:hAnsi="仿宋" w:eastAsia="仿宋" w:cs="仿宋"/>
                <w:color w:val="auto"/>
                <w:spacing w:val="-3"/>
                <w:kern w:val="0"/>
                <w:sz w:val="24"/>
                <w:szCs w:val="24"/>
                <w:highlight w:val="none"/>
              </w:rPr>
            </w:pPr>
          </w:p>
        </w:tc>
      </w:tr>
    </w:tbl>
    <w:p>
      <w:pPr>
        <w:spacing w:line="360" w:lineRule="auto"/>
        <w:ind w:firstLine="472" w:firstLineChars="196"/>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注：本表</w:t>
      </w:r>
      <w:r>
        <w:rPr>
          <w:rFonts w:hint="eastAsia" w:ascii="仿宋" w:hAnsi="仿宋" w:eastAsia="仿宋" w:cs="仿宋"/>
          <w:b/>
          <w:bCs/>
          <w:color w:val="auto"/>
          <w:sz w:val="24"/>
          <w:szCs w:val="24"/>
          <w:highlight w:val="none"/>
          <w:lang w:val="en-US" w:eastAsia="zh-CN"/>
        </w:rPr>
        <w:t>后附</w:t>
      </w:r>
      <w:r>
        <w:rPr>
          <w:rFonts w:hint="eastAsia" w:ascii="仿宋" w:hAnsi="仿宋" w:eastAsia="仿宋" w:cs="仿宋"/>
          <w:b/>
          <w:color w:val="auto"/>
          <w:sz w:val="24"/>
          <w:szCs w:val="24"/>
          <w:highlight w:val="none"/>
          <w:lang w:val="en-US" w:eastAsia="zh-CN"/>
        </w:rPr>
        <w:t>社保缴纳证明、</w:t>
      </w:r>
      <w:r>
        <w:rPr>
          <w:rFonts w:hint="eastAsia" w:ascii="仿宋" w:hAnsi="仿宋" w:eastAsia="仿宋" w:cs="仿宋"/>
          <w:b/>
          <w:bCs/>
          <w:color w:val="auto"/>
          <w:sz w:val="24"/>
          <w:szCs w:val="24"/>
          <w:highlight w:val="none"/>
        </w:rPr>
        <w:t>身份证、学历证、职称证书复印件并加盖公章。</w:t>
      </w:r>
    </w:p>
    <w:p>
      <w:pPr>
        <w:spacing w:line="480" w:lineRule="auto"/>
        <w:ind w:firstLine="3360" w:firstLineChars="1400"/>
        <w:rPr>
          <w:rFonts w:hint="eastAsia" w:ascii="仿宋" w:hAnsi="仿宋" w:eastAsia="仿宋" w:cs="仿宋"/>
          <w:color w:val="auto"/>
          <w:sz w:val="24"/>
          <w:szCs w:val="24"/>
          <w:highlight w:val="none"/>
        </w:rPr>
      </w:pPr>
    </w:p>
    <w:p>
      <w:pPr>
        <w:spacing w:line="48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pStyle w:val="2"/>
        <w:spacing w:before="156" w:beforeLines="50"/>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rPr>
          <w:rFonts w:hint="eastAsia" w:ascii="仿宋" w:hAnsi="仿宋" w:eastAsia="仿宋" w:cs="仿宋"/>
          <w:color w:val="auto"/>
          <w:sz w:val="28"/>
          <w:szCs w:val="24"/>
          <w:highlight w:val="none"/>
        </w:rPr>
      </w:pPr>
      <w:r>
        <w:rPr>
          <w:rFonts w:hint="eastAsia" w:ascii="仿宋" w:hAnsi="仿宋" w:eastAsia="仿宋" w:cs="仿宋"/>
          <w:color w:val="auto"/>
          <w:sz w:val="28"/>
          <w:szCs w:val="24"/>
          <w:highlight w:val="none"/>
        </w:rPr>
        <w:br w:type="page"/>
      </w:r>
    </w:p>
    <w:p>
      <w:pPr>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2.拟派项目组人员一览表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575"/>
        <w:gridCol w:w="945"/>
        <w:gridCol w:w="945"/>
        <w:gridCol w:w="1050"/>
        <w:gridCol w:w="157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894"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75"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945"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性别</w:t>
            </w:r>
          </w:p>
        </w:tc>
        <w:tc>
          <w:tcPr>
            <w:tcW w:w="945"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工作年限</w:t>
            </w:r>
          </w:p>
        </w:tc>
        <w:tc>
          <w:tcPr>
            <w:tcW w:w="1050"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专业</w:t>
            </w:r>
          </w:p>
        </w:tc>
        <w:tc>
          <w:tcPr>
            <w:tcW w:w="1575"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职称或资格证书</w:t>
            </w:r>
          </w:p>
        </w:tc>
        <w:tc>
          <w:tcPr>
            <w:tcW w:w="2193"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94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050"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1575" w:type="dxa"/>
            <w:noWrap w:val="0"/>
            <w:vAlign w:val="top"/>
          </w:tcPr>
          <w:p>
            <w:pPr>
              <w:tabs>
                <w:tab w:val="left" w:pos="0"/>
              </w:tabs>
              <w:spacing w:line="360" w:lineRule="auto"/>
              <w:rPr>
                <w:rFonts w:hint="eastAsia" w:ascii="仿宋" w:hAnsi="仿宋" w:eastAsia="仿宋" w:cs="仿宋"/>
                <w:color w:val="auto"/>
                <w:sz w:val="24"/>
                <w:szCs w:val="24"/>
                <w:highlight w:val="none"/>
              </w:rPr>
            </w:pPr>
          </w:p>
        </w:tc>
        <w:tc>
          <w:tcPr>
            <w:tcW w:w="2193" w:type="dxa"/>
            <w:noWrap w:val="0"/>
            <w:vAlign w:val="top"/>
          </w:tcPr>
          <w:p>
            <w:pPr>
              <w:tabs>
                <w:tab w:val="left" w:pos="0"/>
              </w:tabs>
              <w:spacing w:line="360" w:lineRule="auto"/>
              <w:rPr>
                <w:rFonts w:hint="eastAsia" w:ascii="仿宋" w:hAnsi="仿宋" w:eastAsia="仿宋" w:cs="仿宋"/>
                <w:color w:val="auto"/>
                <w:sz w:val="24"/>
                <w:szCs w:val="24"/>
                <w:highlight w:val="none"/>
              </w:rPr>
            </w:pPr>
          </w:p>
        </w:tc>
      </w:tr>
    </w:tbl>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sz w:val="24"/>
          <w:szCs w:val="24"/>
          <w:highlight w:val="none"/>
          <w:lang w:val="en-US" w:eastAsia="zh-CN"/>
        </w:rPr>
        <w:t>本表</w:t>
      </w:r>
      <w:r>
        <w:rPr>
          <w:rFonts w:hint="eastAsia" w:ascii="仿宋" w:hAnsi="仿宋" w:eastAsia="仿宋" w:cs="仿宋"/>
          <w:b/>
          <w:color w:val="auto"/>
          <w:sz w:val="24"/>
          <w:szCs w:val="24"/>
          <w:highlight w:val="none"/>
        </w:rPr>
        <w:t>后附</w:t>
      </w:r>
      <w:r>
        <w:rPr>
          <w:rFonts w:hint="eastAsia" w:ascii="仿宋" w:hAnsi="仿宋" w:eastAsia="仿宋" w:cs="仿宋"/>
          <w:b/>
          <w:color w:val="auto"/>
          <w:sz w:val="24"/>
          <w:szCs w:val="24"/>
          <w:highlight w:val="none"/>
          <w:lang w:val="en-US" w:eastAsia="zh-CN"/>
        </w:rPr>
        <w:t>人员名单、</w:t>
      </w:r>
      <w:r>
        <w:rPr>
          <w:rFonts w:hint="eastAsia" w:ascii="仿宋" w:hAnsi="仿宋" w:eastAsia="仿宋" w:cs="仿宋"/>
          <w:b/>
          <w:color w:val="auto"/>
          <w:sz w:val="24"/>
          <w:szCs w:val="24"/>
          <w:highlight w:val="none"/>
        </w:rPr>
        <w:t>身份证、学历证、职称证书复印件并加盖公章。</w:t>
      </w:r>
    </w:p>
    <w:p>
      <w:pPr>
        <w:spacing w:line="360" w:lineRule="auto"/>
        <w:ind w:firstLine="2834" w:firstLineChars="1181"/>
        <w:rPr>
          <w:rFonts w:hint="eastAsia" w:ascii="仿宋" w:hAnsi="仿宋" w:eastAsia="仿宋" w:cs="仿宋"/>
          <w:color w:val="auto"/>
          <w:sz w:val="24"/>
          <w:szCs w:val="24"/>
          <w:highlight w:val="none"/>
        </w:rPr>
      </w:pPr>
    </w:p>
    <w:p>
      <w:pPr>
        <w:spacing w:line="48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pStyle w:val="2"/>
        <w:spacing w:before="156" w:beforeLines="50"/>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10"/>
        <w:rPr>
          <w:rFonts w:hint="eastAsia" w:ascii="仿宋" w:hAnsi="仿宋" w:eastAsia="仿宋" w:cs="仿宋"/>
          <w:bCs/>
          <w:color w:val="auto"/>
          <w:sz w:val="22"/>
          <w:szCs w:val="22"/>
          <w:highlight w:val="none"/>
        </w:rPr>
      </w:pPr>
    </w:p>
    <w:p>
      <w:pPr>
        <w:rPr>
          <w:rFonts w:hint="eastAsia" w:ascii="仿宋" w:hAnsi="仿宋" w:eastAsia="仿宋" w:cs="仿宋"/>
          <w:b/>
          <w:bCs/>
          <w:color w:val="auto"/>
          <w:sz w:val="22"/>
          <w:szCs w:val="22"/>
          <w:highlight w:val="none"/>
        </w:rPr>
      </w:pPr>
    </w:p>
    <w:p>
      <w:pPr>
        <w:numPr>
          <w:ilvl w:val="0"/>
          <w:numId w:val="0"/>
        </w:numPr>
        <w:ind w:leftChars="0"/>
        <w:jc w:val="center"/>
        <w:rPr>
          <w:rFonts w:hint="eastAsia" w:ascii="仿宋" w:hAnsi="仿宋" w:eastAsia="仿宋" w:cs="仿宋"/>
          <w:b/>
          <w:bCs/>
          <w:color w:val="auto"/>
          <w:sz w:val="32"/>
          <w:szCs w:val="32"/>
          <w:highlight w:val="none"/>
          <w:lang w:val="en-US" w:eastAsia="zh-CN"/>
        </w:rPr>
      </w:pPr>
    </w:p>
    <w:p>
      <w:pPr>
        <w:numPr>
          <w:ilvl w:val="0"/>
          <w:numId w:val="0"/>
        </w:numPr>
        <w:ind w:leftChars="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商务</w:t>
      </w:r>
      <w:r>
        <w:rPr>
          <w:rFonts w:hint="eastAsia" w:ascii="仿宋" w:hAnsi="仿宋" w:eastAsia="仿宋" w:cs="仿宋"/>
          <w:b/>
          <w:bCs/>
          <w:color w:val="auto"/>
          <w:sz w:val="32"/>
          <w:szCs w:val="32"/>
          <w:highlight w:val="none"/>
          <w:lang w:val="en-US" w:eastAsia="zh-CN"/>
        </w:rPr>
        <w:t>和技术</w:t>
      </w:r>
      <w:r>
        <w:rPr>
          <w:rFonts w:hint="eastAsia" w:ascii="仿宋" w:hAnsi="仿宋" w:eastAsia="仿宋" w:cs="仿宋"/>
          <w:b/>
          <w:bCs/>
          <w:color w:val="auto"/>
          <w:sz w:val="32"/>
          <w:szCs w:val="32"/>
          <w:highlight w:val="none"/>
        </w:rPr>
        <w:t>偏离说明</w:t>
      </w:r>
    </w:p>
    <w:p>
      <w:pPr>
        <w:pStyle w:val="12"/>
        <w:spacing w:before="120"/>
        <w:ind w:left="0" w:right="34"/>
        <w:jc w:val="center"/>
        <w:rPr>
          <w:rFonts w:hint="eastAsia" w:ascii="仿宋" w:hAnsi="仿宋" w:eastAsia="仿宋" w:cs="仿宋"/>
          <w:b/>
          <w:bCs w:val="0"/>
          <w:color w:val="auto"/>
          <w:sz w:val="36"/>
          <w:szCs w:val="36"/>
          <w:highlight w:val="none"/>
          <w:lang w:val="en-US" w:eastAsia="zh-CN"/>
        </w:rPr>
      </w:pPr>
      <w:r>
        <w:rPr>
          <w:rFonts w:hint="eastAsia" w:ascii="仿宋" w:hAnsi="仿宋" w:eastAsia="仿宋" w:cs="仿宋"/>
          <w:b/>
          <w:bCs w:val="0"/>
          <w:color w:val="auto"/>
          <w:sz w:val="36"/>
          <w:szCs w:val="36"/>
          <w:highlight w:val="none"/>
          <w:lang w:val="en-US" w:eastAsia="zh-CN"/>
        </w:rPr>
        <w:t>1、商务偏离表</w:t>
      </w:r>
    </w:p>
    <w:tbl>
      <w:tblPr>
        <w:tblStyle w:val="28"/>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887"/>
        <w:gridCol w:w="1888"/>
        <w:gridCol w:w="188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序号</w:t>
            </w:r>
          </w:p>
        </w:tc>
        <w:tc>
          <w:tcPr>
            <w:tcW w:w="1887"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磋商要求</w:t>
            </w:r>
          </w:p>
        </w:tc>
        <w:tc>
          <w:tcPr>
            <w:tcW w:w="1888" w:type="dxa"/>
            <w:vAlign w:val="center"/>
          </w:tcPr>
          <w:p>
            <w:pPr>
              <w:jc w:val="center"/>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磋商响应内容</w:t>
            </w:r>
          </w:p>
        </w:tc>
        <w:tc>
          <w:tcPr>
            <w:tcW w:w="1888"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偏离</w:t>
            </w:r>
          </w:p>
        </w:tc>
        <w:tc>
          <w:tcPr>
            <w:tcW w:w="1888"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vAlign w:val="center"/>
          </w:tcPr>
          <w:p>
            <w:pPr>
              <w:jc w:val="center"/>
              <w:rPr>
                <w:rFonts w:hint="eastAsia" w:ascii="仿宋" w:hAnsi="仿宋" w:eastAsia="仿宋" w:cs="仿宋"/>
                <w:highlight w:val="none"/>
              </w:rPr>
            </w:pPr>
          </w:p>
        </w:tc>
        <w:tc>
          <w:tcPr>
            <w:tcW w:w="1887"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vAlign w:val="center"/>
          </w:tcPr>
          <w:p>
            <w:pPr>
              <w:jc w:val="center"/>
              <w:rPr>
                <w:rFonts w:hint="eastAsia" w:ascii="仿宋" w:hAnsi="仿宋" w:eastAsia="仿宋" w:cs="仿宋"/>
                <w:highlight w:val="none"/>
              </w:rPr>
            </w:pPr>
          </w:p>
        </w:tc>
        <w:tc>
          <w:tcPr>
            <w:tcW w:w="1887"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bl>
    <w:p>
      <w:pPr>
        <w:pStyle w:val="12"/>
        <w:spacing w:before="120"/>
        <w:ind w:left="0" w:right="34"/>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1.供应商须按照磋商文件“第四章  商务及合同主要条款”表格部分逐条填写。如实填写该表，如有隐瞒，后果由供应商自负。</w:t>
      </w:r>
    </w:p>
    <w:p>
      <w:pPr>
        <w:pStyle w:val="12"/>
        <w:spacing w:before="120"/>
        <w:ind w:left="0" w:right="34"/>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2.此表可增加，偏离内容填写“正偏离”、“负偏离”或“无偏离”。</w:t>
      </w:r>
    </w:p>
    <w:p>
      <w:pPr>
        <w:pStyle w:val="12"/>
        <w:spacing w:before="120"/>
        <w:ind w:left="0" w:right="34"/>
        <w:jc w:val="both"/>
        <w:rPr>
          <w:rFonts w:hint="eastAsia" w:ascii="仿宋" w:hAnsi="仿宋" w:eastAsia="仿宋" w:cs="仿宋"/>
          <w:bCs/>
          <w:color w:val="auto"/>
          <w:sz w:val="24"/>
          <w:szCs w:val="24"/>
          <w:highlight w:val="none"/>
        </w:rPr>
      </w:pPr>
    </w:p>
    <w:p>
      <w:pPr>
        <w:pStyle w:val="16"/>
        <w:rPr>
          <w:rFonts w:hint="eastAsia" w:ascii="仿宋" w:hAnsi="仿宋" w:eastAsia="仿宋" w:cs="仿宋"/>
          <w:color w:val="auto"/>
          <w:sz w:val="24"/>
          <w:szCs w:val="24"/>
          <w:highlight w:val="none"/>
        </w:rPr>
      </w:pPr>
    </w:p>
    <w:p>
      <w:pPr>
        <w:spacing w:line="48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keepNext/>
        <w:keepLines/>
        <w:widowControl/>
        <w:tabs>
          <w:tab w:val="left" w:pos="720"/>
        </w:tabs>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2、服务偏离表</w:t>
      </w:r>
    </w:p>
    <w:p>
      <w:pPr>
        <w:jc w:val="center"/>
        <w:rPr>
          <w:rFonts w:hint="eastAsia"/>
          <w:highlight w:val="none"/>
        </w:rPr>
      </w:pPr>
      <w:r>
        <w:rPr>
          <w:rFonts w:hint="eastAsia" w:ascii="仿宋" w:hAnsi="仿宋" w:eastAsia="仿宋" w:cs="仿宋"/>
          <w:bCs/>
          <w:color w:val="auto"/>
          <w:sz w:val="24"/>
          <w:szCs w:val="24"/>
          <w:highlight w:val="none"/>
        </w:rPr>
        <w:t>（格式自拟，可参考偏离表形式或文字形式表述）</w:t>
      </w:r>
    </w:p>
    <w:tbl>
      <w:tblPr>
        <w:tblStyle w:val="27"/>
        <w:tblW w:w="9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60"/>
        <w:gridCol w:w="2792"/>
        <w:gridCol w:w="2658"/>
        <w:gridCol w:w="2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0" w:hRule="atLeast"/>
          <w:jc w:val="center"/>
        </w:trPr>
        <w:tc>
          <w:tcPr>
            <w:tcW w:w="960"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2792"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磋商</w:t>
            </w:r>
            <w:r>
              <w:rPr>
                <w:rFonts w:hint="eastAsia" w:ascii="仿宋" w:hAnsi="仿宋" w:eastAsia="仿宋" w:cs="仿宋"/>
                <w:b/>
                <w:bCs/>
                <w:color w:val="auto"/>
                <w:sz w:val="24"/>
                <w:szCs w:val="24"/>
                <w:highlight w:val="none"/>
              </w:rPr>
              <w:t>文件</w:t>
            </w: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要求</w:t>
            </w:r>
          </w:p>
        </w:tc>
        <w:tc>
          <w:tcPr>
            <w:tcW w:w="2658"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响应</w:t>
            </w:r>
            <w:r>
              <w:rPr>
                <w:rFonts w:hint="eastAsia" w:ascii="仿宋" w:hAnsi="仿宋" w:eastAsia="仿宋" w:cs="仿宋"/>
                <w:b/>
                <w:bCs/>
                <w:color w:val="auto"/>
                <w:sz w:val="24"/>
                <w:szCs w:val="24"/>
                <w:highlight w:val="none"/>
              </w:rPr>
              <w:t>文件</w:t>
            </w: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响应</w:t>
            </w:r>
          </w:p>
        </w:tc>
        <w:tc>
          <w:tcPr>
            <w:tcW w:w="2628"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偏离情况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0"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bl>
    <w:p>
      <w:pPr>
        <w:spacing w:line="48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注：1、所有</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条款须列明偏离情况。对于有偏离的（包含正、负偏离）必须具体指出技术指标项目，无偏离条款须填写“无偏离”。正偏离需提供佐证材料并列明页码范围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视为有效</w:t>
      </w:r>
      <w:r>
        <w:rPr>
          <w:rFonts w:hint="eastAsia" w:ascii="仿宋" w:hAnsi="仿宋" w:eastAsia="仿宋" w:cs="仿宋"/>
          <w:color w:val="auto"/>
          <w:sz w:val="24"/>
          <w:szCs w:val="24"/>
          <w:highlight w:val="none"/>
          <w:lang w:eastAsia="zh-CN"/>
        </w:rPr>
        <w:t>。</w:t>
      </w:r>
    </w:p>
    <w:p>
      <w:pPr>
        <w:spacing w:line="480" w:lineRule="auto"/>
        <w:ind w:firstLine="3360" w:firstLineChars="1400"/>
        <w:rPr>
          <w:rFonts w:hint="eastAsia" w:ascii="仿宋" w:hAnsi="仿宋" w:eastAsia="仿宋" w:cs="仿宋"/>
          <w:color w:val="auto"/>
          <w:sz w:val="24"/>
          <w:szCs w:val="24"/>
          <w:highlight w:val="none"/>
        </w:rPr>
      </w:pPr>
    </w:p>
    <w:p>
      <w:pPr>
        <w:spacing w:line="48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keepNext/>
        <w:keepLines/>
        <w:widowControl/>
        <w:tabs>
          <w:tab w:val="left" w:pos="720"/>
        </w:tabs>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overflowPunct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资格证明文件</w:t>
      </w:r>
    </w:p>
    <w:p>
      <w:pPr>
        <w:overflowPunct w:val="0"/>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磋商供应商情况表</w:t>
      </w:r>
    </w:p>
    <w:tbl>
      <w:tblPr>
        <w:tblStyle w:val="27"/>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2764"/>
        <w:gridCol w:w="2265"/>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单位名称</w:t>
            </w:r>
          </w:p>
        </w:tc>
        <w:tc>
          <w:tcPr>
            <w:tcW w:w="6877" w:type="dxa"/>
            <w:gridSpan w:val="3"/>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统一社会信用代码</w:t>
            </w:r>
          </w:p>
        </w:tc>
        <w:tc>
          <w:tcPr>
            <w:tcW w:w="2764" w:type="dxa"/>
          </w:tcPr>
          <w:p>
            <w:pPr>
              <w:overflowPunct w:val="0"/>
              <w:spacing w:line="400" w:lineRule="atLeast"/>
              <w:jc w:val="center"/>
              <w:rPr>
                <w:rFonts w:hint="eastAsia" w:ascii="仿宋" w:hAnsi="仿宋" w:eastAsia="仿宋" w:cs="仿宋"/>
                <w:color w:val="auto"/>
                <w:sz w:val="24"/>
                <w:szCs w:val="24"/>
                <w:highlight w:val="none"/>
              </w:rPr>
            </w:pPr>
          </w:p>
        </w:tc>
        <w:tc>
          <w:tcPr>
            <w:tcW w:w="226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注册日期</w:t>
            </w:r>
          </w:p>
        </w:tc>
        <w:tc>
          <w:tcPr>
            <w:tcW w:w="1848" w:type="dxa"/>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营业地址</w:t>
            </w:r>
          </w:p>
        </w:tc>
        <w:tc>
          <w:tcPr>
            <w:tcW w:w="2764" w:type="dxa"/>
          </w:tcPr>
          <w:p>
            <w:pPr>
              <w:overflowPunct w:val="0"/>
              <w:spacing w:line="400" w:lineRule="atLeast"/>
              <w:jc w:val="center"/>
              <w:rPr>
                <w:rFonts w:hint="eastAsia" w:ascii="仿宋" w:hAnsi="仿宋" w:eastAsia="仿宋" w:cs="仿宋"/>
                <w:color w:val="auto"/>
                <w:sz w:val="24"/>
                <w:szCs w:val="24"/>
                <w:highlight w:val="none"/>
              </w:rPr>
            </w:pPr>
          </w:p>
        </w:tc>
        <w:tc>
          <w:tcPr>
            <w:tcW w:w="226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注册资金</w:t>
            </w:r>
          </w:p>
        </w:tc>
        <w:tc>
          <w:tcPr>
            <w:tcW w:w="1848" w:type="dxa"/>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c>
          <w:tcPr>
            <w:tcW w:w="2764" w:type="dxa"/>
          </w:tcPr>
          <w:p>
            <w:pPr>
              <w:overflowPunct w:val="0"/>
              <w:spacing w:line="400" w:lineRule="atLeast"/>
              <w:jc w:val="center"/>
              <w:rPr>
                <w:rFonts w:hint="eastAsia" w:ascii="仿宋" w:hAnsi="仿宋" w:eastAsia="仿宋" w:cs="仿宋"/>
                <w:color w:val="auto"/>
                <w:sz w:val="24"/>
                <w:szCs w:val="24"/>
                <w:highlight w:val="none"/>
              </w:rPr>
            </w:pPr>
          </w:p>
        </w:tc>
        <w:tc>
          <w:tcPr>
            <w:tcW w:w="2265" w:type="dxa"/>
            <w:vAlign w:val="top"/>
          </w:tcPr>
          <w:p>
            <w:pPr>
              <w:overflowPunct w:val="0"/>
              <w:spacing w:line="400" w:lineRule="atLeas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联系方式</w:t>
            </w:r>
          </w:p>
        </w:tc>
        <w:tc>
          <w:tcPr>
            <w:tcW w:w="1848" w:type="dxa"/>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授权代表人</w:t>
            </w:r>
          </w:p>
        </w:tc>
        <w:tc>
          <w:tcPr>
            <w:tcW w:w="2764" w:type="dxa"/>
          </w:tcPr>
          <w:p>
            <w:pPr>
              <w:overflowPunct w:val="0"/>
              <w:spacing w:line="400" w:lineRule="atLeast"/>
              <w:jc w:val="center"/>
              <w:rPr>
                <w:rFonts w:hint="eastAsia" w:ascii="仿宋" w:hAnsi="仿宋" w:eastAsia="仿宋" w:cs="仿宋"/>
                <w:color w:val="auto"/>
                <w:sz w:val="24"/>
                <w:szCs w:val="24"/>
                <w:highlight w:val="none"/>
              </w:rPr>
            </w:pPr>
          </w:p>
        </w:tc>
        <w:tc>
          <w:tcPr>
            <w:tcW w:w="2265" w:type="dxa"/>
            <w:vAlign w:val="top"/>
          </w:tcPr>
          <w:p>
            <w:pPr>
              <w:overflowPunct w:val="0"/>
              <w:spacing w:line="400" w:lineRule="atLeas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w:t>
            </w:r>
          </w:p>
        </w:tc>
        <w:tc>
          <w:tcPr>
            <w:tcW w:w="1848" w:type="dxa"/>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企业基本户开户行</w:t>
            </w:r>
          </w:p>
        </w:tc>
        <w:tc>
          <w:tcPr>
            <w:tcW w:w="6877" w:type="dxa"/>
            <w:gridSpan w:val="3"/>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55" w:type="dxa"/>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6877" w:type="dxa"/>
            <w:gridSpan w:val="3"/>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155" w:type="dxa"/>
            <w:vAlign w:val="center"/>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主要营业范围</w:t>
            </w:r>
          </w:p>
        </w:tc>
        <w:tc>
          <w:tcPr>
            <w:tcW w:w="6877" w:type="dxa"/>
            <w:gridSpan w:val="3"/>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155" w:type="dxa"/>
            <w:vAlign w:val="center"/>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企业概况</w:t>
            </w:r>
          </w:p>
        </w:tc>
        <w:tc>
          <w:tcPr>
            <w:tcW w:w="6877" w:type="dxa"/>
            <w:gridSpan w:val="3"/>
          </w:tcPr>
          <w:p>
            <w:pPr>
              <w:overflowPunct w:val="0"/>
              <w:spacing w:line="400" w:lineRule="atLeas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2155" w:type="dxa"/>
            <w:vAlign w:val="center"/>
          </w:tcPr>
          <w:p>
            <w:pPr>
              <w:overflowPunct w:val="0"/>
              <w:spacing w:line="40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877" w:type="dxa"/>
            <w:gridSpan w:val="3"/>
          </w:tcPr>
          <w:p>
            <w:pPr>
              <w:overflowPunct w:val="0"/>
              <w:spacing w:line="400" w:lineRule="atLeast"/>
              <w:jc w:val="center"/>
              <w:rPr>
                <w:rFonts w:hint="eastAsia" w:ascii="仿宋" w:hAnsi="仿宋" w:eastAsia="仿宋" w:cs="仿宋"/>
                <w:color w:val="auto"/>
                <w:sz w:val="24"/>
                <w:szCs w:val="24"/>
                <w:highlight w:val="none"/>
              </w:rPr>
            </w:pPr>
          </w:p>
        </w:tc>
      </w:tr>
    </w:tbl>
    <w:p>
      <w:pPr>
        <w:rPr>
          <w:rFonts w:hint="eastAsia" w:ascii="仿宋" w:hAnsi="仿宋" w:eastAsia="仿宋" w:cs="仿宋"/>
          <w:color w:val="auto"/>
          <w:sz w:val="22"/>
          <w:szCs w:val="28"/>
          <w:highlight w:val="none"/>
        </w:rPr>
      </w:pPr>
      <w:r>
        <w:rPr>
          <w:rFonts w:hint="eastAsia" w:ascii="仿宋" w:hAnsi="仿宋" w:eastAsia="仿宋" w:cs="仿宋"/>
          <w:color w:val="auto"/>
          <w:sz w:val="22"/>
          <w:szCs w:val="28"/>
          <w:highlight w:val="none"/>
        </w:rPr>
        <w:br w:type="page"/>
      </w:r>
    </w:p>
    <w:p>
      <w:pPr>
        <w:pStyle w:val="23"/>
        <w:shd w:val="clear" w:color="auto" w:fill="FFFFFF"/>
        <w:spacing w:beforeAutospacing="0" w:afterAutospacing="0" w:line="360" w:lineRule="auto"/>
        <w:ind w:firstLine="480" w:firstLineChars="200"/>
        <w:rPr>
          <w:rFonts w:ascii="仿宋" w:hAnsi="仿宋" w:eastAsia="仿宋" w:cs="仿宋"/>
          <w:highlight w:val="none"/>
        </w:rPr>
      </w:pPr>
      <w:r>
        <w:rPr>
          <w:rFonts w:hint="eastAsia" w:ascii="仿宋" w:hAnsi="仿宋" w:eastAsia="仿宋" w:cs="仿宋"/>
          <w:highlight w:val="none"/>
        </w:rPr>
        <w:t xml:space="preserve">1、具有独立承担民事责任能力的法人、其他组织或自然人，提供合法有效的统一社会信用代码营业执照；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2、财务状况报告：提供具有财务审计资质单位出具的（2020 年或 2021 年）年度财务报告或磋商前六个月内其基本账户银行出具的资信证明;其他组织和自然人提供银行出具的资信证明或财务报表；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3、社会保障资金缴纳证明：提供磋商截止时间前六个月内已缴存的任意时段的社会保障资金缴存单据或社保机构开具的社会保险参保缴费情况证明；依法不需要缴纳社会保障资金的应提供相关文件证明；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4、税收缴纳证明：提供磋商</w:t>
      </w:r>
      <w:r>
        <w:rPr>
          <w:rFonts w:hint="eastAsia" w:ascii="仿宋" w:hAnsi="仿宋" w:eastAsia="仿宋" w:cs="仿宋"/>
          <w:highlight w:val="none"/>
          <w:lang w:val="en-US" w:eastAsia="zh-CN"/>
        </w:rPr>
        <w:t>截</w:t>
      </w:r>
      <w:r>
        <w:rPr>
          <w:rFonts w:hint="eastAsia" w:ascii="仿宋" w:hAnsi="仿宋" w:eastAsia="仿宋" w:cs="仿宋"/>
          <w:highlight w:val="none"/>
        </w:rPr>
        <w:t xml:space="preserve">止时间前六个月内已缴纳任意时段完税凭证或税务机关开具的完税证明（任意税种）；其他组织提供磋商截止时间前六个月内缴纳税收的凭据；依法免税的应提供相关文件证明； </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5、提供具有履行本合同所必需的专业技术能力的声明；</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6、参加本次政府采购活动前3年内在经营活动中没有重大违纪，以及未被列入失信被执行人、重大税收违法案件当事人名单、政府采购严重违法失信行为记录名单的书面声明；</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7、法定代表人直接参加磋商的，须出具法人身份证,并与营业执照上信息一致；法定代表人授权代表参加磋商的，须出具法定代表人授权书及授权代表身份证； </w:t>
      </w:r>
    </w:p>
    <w:p>
      <w:pPr>
        <w:pStyle w:val="23"/>
        <w:shd w:val="clear" w:color="auto" w:fill="FFFFFF"/>
        <w:spacing w:beforeAutospacing="0" w:afterAutospacing="0" w:line="360" w:lineRule="auto"/>
        <w:ind w:firstLine="420"/>
        <w:rPr>
          <w:rFonts w:hint="eastAsia" w:ascii="仿宋" w:hAnsi="仿宋" w:eastAsia="仿宋" w:cs="仿宋"/>
          <w:highlight w:val="none"/>
        </w:rPr>
      </w:pPr>
      <w:r>
        <w:rPr>
          <w:rFonts w:hint="eastAsia" w:ascii="仿宋" w:hAnsi="仿宋" w:eastAsia="仿宋" w:cs="仿宋"/>
          <w:highlight w:val="none"/>
        </w:rPr>
        <w:t>8、磋商保证金缴纳凭证；</w:t>
      </w:r>
    </w:p>
    <w:p>
      <w:pPr>
        <w:pStyle w:val="23"/>
        <w:shd w:val="clear" w:color="auto" w:fill="FFFFFF"/>
        <w:spacing w:beforeAutospacing="0" w:afterAutospacing="0" w:line="360" w:lineRule="auto"/>
        <w:ind w:firstLine="420"/>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p>
    <w:p>
      <w:pPr>
        <w:pStyle w:val="23"/>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以代理机构现场查询为准）</w:t>
      </w:r>
    </w:p>
    <w:p>
      <w:pPr>
        <w:spacing w:line="46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备注：</w:t>
      </w:r>
    </w:p>
    <w:p>
      <w:pPr>
        <w:spacing w:line="4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1、所有资质证件的复印件必须加盖单位公章附在磋商响应文件中。</w:t>
      </w:r>
    </w:p>
    <w:p>
      <w:pPr>
        <w:spacing w:line="480" w:lineRule="auto"/>
        <w:rPr>
          <w:rFonts w:hint="eastAsia" w:ascii="仿宋" w:hAnsi="仿宋" w:eastAsia="仿宋" w:cs="仿宋"/>
          <w:color w:val="auto"/>
          <w:sz w:val="32"/>
          <w:szCs w:val="32"/>
          <w:highlight w:val="none"/>
        </w:rPr>
      </w:pPr>
      <w:r>
        <w:rPr>
          <w:rFonts w:hint="eastAsia" w:ascii="仿宋" w:hAnsi="仿宋" w:eastAsia="仿宋" w:cs="仿宋"/>
          <w:b/>
          <w:bCs/>
          <w:color w:val="auto"/>
          <w:sz w:val="24"/>
          <w:highlight w:val="none"/>
        </w:rPr>
        <w:t>2、上述资格证明文件为必备资格，缺项按无效</w:t>
      </w:r>
      <w:r>
        <w:rPr>
          <w:rFonts w:hint="eastAsia" w:ascii="仿宋" w:hAnsi="仿宋" w:eastAsia="仿宋" w:cs="仿宋"/>
          <w:b/>
          <w:bCs/>
          <w:color w:val="auto"/>
          <w:sz w:val="24"/>
          <w:highlight w:val="none"/>
          <w:lang w:val="en-US" w:eastAsia="zh-CN"/>
        </w:rPr>
        <w:t>响应</w:t>
      </w:r>
      <w:r>
        <w:rPr>
          <w:rFonts w:hint="eastAsia" w:ascii="仿宋" w:hAnsi="仿宋" w:eastAsia="仿宋" w:cs="仿宋"/>
          <w:b/>
          <w:bCs/>
          <w:color w:val="auto"/>
          <w:sz w:val="24"/>
          <w:highlight w:val="none"/>
        </w:rPr>
        <w:t>处理。</w:t>
      </w:r>
      <w:r>
        <w:rPr>
          <w:rFonts w:hint="eastAsia" w:ascii="仿宋" w:hAnsi="仿宋" w:eastAsia="仿宋" w:cs="仿宋"/>
          <w:i w:val="0"/>
          <w:caps w:val="0"/>
          <w:color w:val="auto"/>
          <w:spacing w:val="0"/>
          <w:kern w:val="0"/>
          <w:sz w:val="24"/>
          <w:szCs w:val="24"/>
          <w:highlight w:val="none"/>
          <w:shd w:val="clear" w:fill="FFFFFF"/>
          <w:lang w:val="en-US" w:eastAsia="zh-CN" w:bidi="ar-SA"/>
        </w:rPr>
        <w:t>；</w:t>
      </w:r>
      <w:r>
        <w:rPr>
          <w:rFonts w:hint="eastAsia" w:ascii="仿宋" w:hAnsi="仿宋" w:eastAsia="仿宋" w:cs="仿宋"/>
          <w:color w:val="auto"/>
          <w:kern w:val="0"/>
          <w:sz w:val="24"/>
          <w:szCs w:val="24"/>
          <w:highlight w:val="none"/>
        </w:rPr>
        <w:t>　　　　　</w:t>
      </w:r>
      <w:r>
        <w:rPr>
          <w:rFonts w:hint="eastAsia" w:ascii="仿宋" w:hAnsi="仿宋" w:eastAsia="仿宋" w:cs="仿宋"/>
          <w:b/>
          <w:bCs/>
          <w:color w:val="auto"/>
          <w:sz w:val="24"/>
          <w:szCs w:val="24"/>
          <w:highlight w:val="none"/>
        </w:rPr>
        <w:br w:type="page"/>
      </w:r>
      <w:bookmarkEnd w:id="88"/>
      <w:bookmarkEnd w:id="89"/>
      <w:bookmarkEnd w:id="90"/>
      <w:bookmarkEnd w:id="91"/>
      <w:r>
        <w:rPr>
          <w:rFonts w:hint="eastAsia" w:ascii="仿宋" w:hAnsi="仿宋" w:eastAsia="仿宋" w:cs="仿宋"/>
          <w:b/>
          <w:bCs/>
          <w:color w:val="auto"/>
          <w:sz w:val="32"/>
          <w:szCs w:val="32"/>
          <w:highlight w:val="none"/>
        </w:rPr>
        <w:t>附件1：</w:t>
      </w:r>
    </w:p>
    <w:p>
      <w:pPr>
        <w:widowControl/>
        <w:spacing w:line="360" w:lineRule="auto"/>
        <w:ind w:left="1"/>
        <w:jc w:val="center"/>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参加政府采购活动前3年内在经营活动中没有重大违法纪录的书面声明</w:t>
      </w:r>
    </w:p>
    <w:p>
      <w:pPr>
        <w:widowControl/>
        <w:spacing w:line="360" w:lineRule="auto"/>
        <w:ind w:left="1"/>
        <w:jc w:val="center"/>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（格式）</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u w:val="single"/>
          <w:shd w:val="clear" w:color="auto" w:fill="FFFFFF"/>
        </w:rPr>
      </w:pPr>
      <w:r>
        <w:rPr>
          <w:rFonts w:hint="eastAsia" w:ascii="仿宋" w:hAnsi="仿宋" w:eastAsia="仿宋" w:cs="仿宋"/>
          <w:color w:val="auto"/>
          <w:sz w:val="24"/>
          <w:szCs w:val="24"/>
          <w:highlight w:val="none"/>
          <w:u w:val="single"/>
          <w:shd w:val="clear" w:color="auto" w:fill="FFFFFF"/>
        </w:rPr>
        <w:t xml:space="preserve">      （采购人）           ：</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我方作为项目名称</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（项目编号：</w:t>
      </w:r>
      <w:r>
        <w:rPr>
          <w:rFonts w:hint="eastAsia" w:ascii="仿宋" w:hAnsi="仿宋" w:eastAsia="仿宋" w:cs="仿宋"/>
          <w:i/>
          <w:iCs/>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）的投标人，在此郑重声明：</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1、在参加本次政府采购活动前3年内的经营活动中</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 xml:space="preserve">（填“没有”或“有”）重大违法记录。投标人在参加政府采购活动前3年内因违法经营被禁止在一定期限内参加政府采购活动，期限届满的，可以参加政府采购活动，但应提供期限届满的证明材料。 </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2、我方</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（填“未被列入”或“被列入”）失信被执行人名单。</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3、我方</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 xml:space="preserve">（填“未被列入”或“被列入”）重大税收违法案件当事人名单。 </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4、我方</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 xml:space="preserve">（填“未被列入”或“被列入”）政府采购严重违法失信行为记录名单。 </w:t>
      </w:r>
    </w:p>
    <w:p>
      <w:pPr>
        <w:pStyle w:val="23"/>
        <w:keepNext w:val="0"/>
        <w:keepLines w:val="0"/>
        <w:pageBreakBefore w:val="0"/>
        <w:kinsoku/>
        <w:wordWrap w:val="0"/>
        <w:topLinePunct w:val="0"/>
        <w:autoSpaceDE/>
        <w:autoSpaceDN/>
        <w:bidi w:val="0"/>
        <w:adjustRightInd/>
        <w:snapToGrid/>
        <w:spacing w:before="0" w:beforeAutospacing="0" w:after="0" w:afterAutospacing="0" w:line="56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 xml:space="preserve">如有不实，我方将无条件地退出本项目的采购活动，并遵照《政府采购法》有关“提供虚假材料的规定”接受处罚。 </w:t>
      </w:r>
    </w:p>
    <w:p>
      <w:pPr>
        <w:keepNext w:val="0"/>
        <w:keepLines w:val="0"/>
        <w:pageBreakBefore w:val="0"/>
        <w:widowControl w:val="0"/>
        <w:kinsoku/>
        <w:wordWrap/>
        <w:overflowPunct w:val="0"/>
        <w:topLinePunct w:val="0"/>
        <w:autoSpaceDE/>
        <w:autoSpaceDN/>
        <w:bidi w:val="0"/>
        <w:adjustRightInd/>
        <w:snapToGrid/>
        <w:spacing w:line="560" w:lineRule="exact"/>
        <w:ind w:firstLine="170"/>
        <w:textAlignment w:val="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特此声明</w:t>
      </w:r>
    </w:p>
    <w:p>
      <w:pPr>
        <w:pStyle w:val="10"/>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640" w:firstLineChars="11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160" w:firstLineChars="9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160" w:firstLineChars="9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160" w:firstLineChars="9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spacing w:line="360" w:lineRule="auto"/>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附件2：</w:t>
      </w:r>
    </w:p>
    <w:p>
      <w:pPr>
        <w:spacing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拒绝商业贿赂承诺书</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为响应党中央、国务院关于治理政府采购领域商业贿赂行为的号召，我公司在此庄严承诺：</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1、在参与政府采购活动中遵纪守法、诚信经营、公平竞标。</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2、不向政府采购人、采购代理机构和政府采购评审专家进行任何形式的商业贿赂以谋取交易机会。</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3、不向政府采购代理机构和采购人提供虚假资质证明文件或采用虚假应标方式参与政府采购市场竞争并谋取中标、成交。</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4、不采取“围标、陪标”等商业欺诈手段获得政府采购订单。</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5、不采取不正当手段诋毁、排挤其他供应商。</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6、不在提供商品和服务时“偷梁换柱、以次充好”损害采购人的合法权益。</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7、不与采购人、采购代理机构、政府采购评审专家或其它供应商恶意串通，进行质疑和投诉，维护政府采购市场秩序。</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rPr>
        <w:t>8、尊重和接受政府采购监督管理部门的监督和政府采购代理机构招标采购要求，承担因违约行为给采购人造成的损失。</w:t>
      </w:r>
    </w:p>
    <w:p>
      <w:pPr>
        <w:keepNext w:val="0"/>
        <w:keepLines w:val="0"/>
        <w:pageBreakBefore w:val="0"/>
        <w:widowControl w:val="0"/>
        <w:kinsoku/>
        <w:wordWrap/>
        <w:overflowPunct w:val="0"/>
        <w:topLinePunct w:val="0"/>
        <w:autoSpaceDE/>
        <w:autoSpaceDN/>
        <w:bidi w:val="0"/>
        <w:adjustRightInd/>
        <w:snapToGrid/>
        <w:spacing w:line="560" w:lineRule="exact"/>
        <w:ind w:firstLine="496"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pacing w:val="4"/>
          <w:sz w:val="24"/>
          <w:szCs w:val="24"/>
          <w:highlight w:val="none"/>
        </w:rPr>
        <w:t>9、不发生其他有悖于政府采购公开、公平、公正和诚信原则的行为。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707" w:firstLineChars="1128"/>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tabs>
          <w:tab w:val="left" w:pos="-180"/>
        </w:tabs>
        <w:ind w:right="204" w:rightChars="85"/>
        <w:rPr>
          <w:rFonts w:hint="eastAsia" w:ascii="仿宋" w:hAnsi="仿宋" w:eastAsia="仿宋" w:cs="仿宋"/>
          <w:color w:val="auto"/>
          <w:sz w:val="24"/>
          <w:szCs w:val="24"/>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spacing w:line="360" w:lineRule="auto"/>
        <w:jc w:val="both"/>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附件</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lang w:eastAsia="zh-CN"/>
        </w:rPr>
        <w:t>：</w:t>
      </w:r>
    </w:p>
    <w:p>
      <w:pPr>
        <w:adjustRightInd w:val="0"/>
        <w:snapToGrid w:val="0"/>
        <w:spacing w:line="360" w:lineRule="auto"/>
        <w:jc w:val="center"/>
        <w:rPr>
          <w:rFonts w:hint="eastAsia" w:ascii="仿宋" w:hAnsi="仿宋" w:eastAsia="仿宋" w:cs="仿宋"/>
          <w:b/>
          <w:color w:val="auto"/>
          <w:sz w:val="28"/>
          <w:szCs w:val="28"/>
          <w:highlight w:val="none"/>
        </w:rPr>
      </w:pPr>
      <w:bookmarkStart w:id="114" w:name="_Toc28871_WPSOffice_Level3"/>
      <w:bookmarkStart w:id="115" w:name="_Toc18229_WPSOffice_Level2"/>
      <w:bookmarkStart w:id="116" w:name="_Toc29320_WPSOffice_Level2"/>
      <w:r>
        <w:rPr>
          <w:rFonts w:hint="eastAsia" w:ascii="仿宋" w:hAnsi="仿宋" w:eastAsia="仿宋" w:cs="仿宋"/>
          <w:b/>
          <w:color w:val="auto"/>
          <w:sz w:val="28"/>
          <w:szCs w:val="28"/>
          <w:highlight w:val="none"/>
        </w:rPr>
        <w:t>履行合同所必需的设备和专业技术能力的说明及承诺</w:t>
      </w:r>
      <w:bookmarkEnd w:id="114"/>
      <w:bookmarkEnd w:id="115"/>
      <w:bookmarkEnd w:id="116"/>
    </w:p>
    <w:p>
      <w:pPr>
        <w:pStyle w:val="13"/>
        <w:adjustRightInd w:val="0"/>
        <w:snapToGrid w:val="0"/>
        <w:spacing w:line="720" w:lineRule="exact"/>
        <w:jc w:val="center"/>
        <w:rPr>
          <w:rFonts w:hint="eastAsia" w:ascii="仿宋" w:hAnsi="仿宋" w:eastAsia="仿宋" w:cs="仿宋"/>
          <w:b/>
          <w:color w:val="auto"/>
          <w:sz w:val="44"/>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color w:val="auto"/>
          <w:spacing w:val="4"/>
          <w:sz w:val="24"/>
          <w:szCs w:val="24"/>
          <w:highlight w:val="none"/>
          <w:u w:val="single"/>
        </w:rPr>
      </w:pPr>
      <w:r>
        <w:rPr>
          <w:rFonts w:hint="eastAsia" w:ascii="仿宋" w:hAnsi="仿宋" w:eastAsia="仿宋" w:cs="仿宋"/>
          <w:color w:val="auto"/>
          <w:spacing w:val="4"/>
          <w:sz w:val="24"/>
          <w:szCs w:val="24"/>
          <w:highlight w:val="none"/>
          <w:u w:val="single"/>
        </w:rPr>
        <w:t xml:space="preserve">     （采购人名称）    ：</w:t>
      </w:r>
    </w:p>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u w:val="single"/>
        </w:rPr>
        <w:t xml:space="preserve">      （供应商名称）    </w:t>
      </w:r>
      <w:r>
        <w:rPr>
          <w:rFonts w:hint="eastAsia" w:ascii="仿宋" w:hAnsi="仿宋" w:eastAsia="仿宋" w:cs="仿宋"/>
          <w:color w:val="auto"/>
          <w:spacing w:val="4"/>
          <w:sz w:val="24"/>
          <w:szCs w:val="24"/>
          <w:highlight w:val="none"/>
        </w:rPr>
        <w:t xml:space="preserve"> 于</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年</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月</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日在中华人民共和国境内</w:t>
      </w:r>
      <w:r>
        <w:rPr>
          <w:rFonts w:hint="eastAsia" w:ascii="仿宋" w:hAnsi="仿宋" w:eastAsia="仿宋" w:cs="仿宋"/>
          <w:color w:val="auto"/>
          <w:spacing w:val="4"/>
          <w:sz w:val="24"/>
          <w:szCs w:val="24"/>
          <w:highlight w:val="none"/>
          <w:u w:val="single"/>
        </w:rPr>
        <w:t xml:space="preserve">               （详细注册地址）     </w:t>
      </w:r>
      <w:r>
        <w:rPr>
          <w:rFonts w:hint="eastAsia" w:ascii="仿宋" w:hAnsi="仿宋" w:eastAsia="仿宋" w:cs="仿宋"/>
          <w:color w:val="auto"/>
          <w:spacing w:val="4"/>
          <w:sz w:val="24"/>
          <w:szCs w:val="24"/>
          <w:highlight w:val="none"/>
        </w:rPr>
        <w:t>合法注册并经营，公司主营业务为</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，营业（生产经营）面积为</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 xml:space="preserve"> ，现有员工数量为</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，其中与履行本合同相关的专业技术人员有（</w:t>
      </w:r>
      <w:r>
        <w:rPr>
          <w:rFonts w:hint="eastAsia" w:ascii="仿宋" w:hAnsi="仿宋" w:eastAsia="仿宋" w:cs="仿宋"/>
          <w:color w:val="auto"/>
          <w:spacing w:val="4"/>
          <w:sz w:val="24"/>
          <w:szCs w:val="24"/>
          <w:highlight w:val="none"/>
          <w:u w:val="single"/>
        </w:rPr>
        <w:t xml:space="preserve">             专业能力、数量        </w:t>
      </w:r>
      <w:r>
        <w:rPr>
          <w:rFonts w:hint="eastAsia" w:ascii="仿宋" w:hAnsi="仿宋" w:eastAsia="仿宋" w:cs="仿宋"/>
          <w:color w:val="auto"/>
          <w:spacing w:val="4"/>
          <w:sz w:val="24"/>
          <w:szCs w:val="24"/>
          <w:highlight w:val="none"/>
        </w:rPr>
        <w:t>），本公司郑重承诺，具有履行本合同所必需的设备和专业技术能力。</w:t>
      </w:r>
    </w:p>
    <w:p>
      <w:pPr>
        <w:pStyle w:val="13"/>
        <w:adjustRightInd w:val="0"/>
        <w:snapToGrid w:val="0"/>
        <w:spacing w:line="720" w:lineRule="exact"/>
        <w:rPr>
          <w:rFonts w:hint="eastAsia" w:ascii="仿宋" w:hAnsi="仿宋" w:eastAsia="仿宋" w:cs="仿宋"/>
          <w:color w:val="auto"/>
          <w:spacing w:val="4"/>
          <w:sz w:val="24"/>
          <w:szCs w:val="24"/>
          <w:highlight w:val="none"/>
        </w:rPr>
      </w:pPr>
    </w:p>
    <w:p>
      <w:pPr>
        <w:pStyle w:val="13"/>
        <w:adjustRightInd w:val="0"/>
        <w:snapToGrid w:val="0"/>
        <w:spacing w:line="720" w:lineRule="exact"/>
        <w:rPr>
          <w:rFonts w:hint="eastAsia" w:ascii="仿宋" w:hAnsi="仿宋" w:eastAsia="仿宋" w:cs="仿宋"/>
          <w:color w:val="auto"/>
          <w:spacing w:val="4"/>
          <w:sz w:val="24"/>
          <w:szCs w:val="24"/>
          <w:highlight w:val="none"/>
        </w:rPr>
      </w:pPr>
    </w:p>
    <w:p>
      <w:pPr>
        <w:pStyle w:val="13"/>
        <w:adjustRightInd w:val="0"/>
        <w:snapToGrid w:val="0"/>
        <w:spacing w:line="720" w:lineRule="exact"/>
        <w:rPr>
          <w:rFonts w:hint="eastAsia" w:ascii="仿宋" w:hAnsi="仿宋" w:eastAsia="仿宋" w:cs="仿宋"/>
          <w:color w:val="auto"/>
          <w:spacing w:val="4"/>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707" w:firstLineChars="11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707" w:firstLineChars="1128"/>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wordWrap/>
        <w:overflowPunct/>
        <w:topLinePunct w:val="0"/>
        <w:autoSpaceDE/>
        <w:autoSpaceDN/>
        <w:bidi w:val="0"/>
        <w:spacing w:line="360" w:lineRule="auto"/>
        <w:jc w:val="left"/>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color w:val="auto"/>
          <w:sz w:val="28"/>
          <w:szCs w:val="28"/>
          <w:highlight w:val="none"/>
        </w:rPr>
        <w:br w:type="page"/>
      </w:r>
      <w:r>
        <w:rPr>
          <w:rFonts w:hint="eastAsia" w:ascii="仿宋" w:hAnsi="仿宋" w:eastAsia="仿宋" w:cs="仿宋"/>
          <w:b/>
          <w:bCs/>
          <w:color w:val="auto"/>
          <w:sz w:val="32"/>
          <w:szCs w:val="32"/>
          <w:highlight w:val="none"/>
        </w:rPr>
        <w:t>附件</w:t>
      </w:r>
      <w:r>
        <w:rPr>
          <w:rFonts w:hint="eastAsia" w:ascii="仿宋" w:hAnsi="仿宋" w:eastAsia="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w:t>
      </w:r>
    </w:p>
    <w:p>
      <w:pPr>
        <w:pStyle w:val="6"/>
        <w:jc w:val="center"/>
        <w:rPr>
          <w:rFonts w:hint="eastAsia" w:ascii="仿宋" w:hAnsi="仿宋" w:eastAsia="仿宋" w:cs="仿宋"/>
          <w:sz w:val="32"/>
          <w:szCs w:val="32"/>
          <w:highlight w:val="none"/>
        </w:rPr>
      </w:pPr>
      <w:bookmarkStart w:id="117" w:name="_Toc61531865"/>
      <w:bookmarkStart w:id="118" w:name="OLE_LINK14"/>
      <w:bookmarkStart w:id="119" w:name="OLE_LINK13"/>
      <w:r>
        <w:rPr>
          <w:rFonts w:hint="eastAsia" w:ascii="仿宋" w:hAnsi="仿宋" w:eastAsia="仿宋" w:cs="仿宋"/>
          <w:sz w:val="32"/>
          <w:szCs w:val="32"/>
          <w:highlight w:val="none"/>
        </w:rPr>
        <w:t>中小企业声明函(服务)</w:t>
      </w:r>
      <w:bookmarkEnd w:id="117"/>
      <w:bookmarkStart w:id="122" w:name="_GoBack"/>
      <w:bookmarkEnd w:id="122"/>
    </w:p>
    <w:p>
      <w:pPr>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（注：符合中小企业划型标准的企业请提供本函，不符合的不提供本函）</w:t>
      </w:r>
    </w:p>
    <w:p>
      <w:pPr>
        <w:rPr>
          <w:rFonts w:hint="eastAsia" w:ascii="仿宋" w:hAnsi="仿宋" w:eastAsia="仿宋" w:cs="仿宋"/>
          <w:color w:val="333333"/>
          <w:kern w:val="0"/>
          <w:sz w:val="28"/>
          <w:szCs w:val="28"/>
          <w:highlight w:val="none"/>
        </w:rPr>
      </w:pP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本公司(联合体)郑重声明，根据《政府采购促进中小企业发展管理办法》(财库(2020)46号)的规定，本公司(联合体)参加</w:t>
      </w:r>
      <w:r>
        <w:rPr>
          <w:rFonts w:hint="eastAsia" w:ascii="仿宋" w:hAnsi="仿宋" w:eastAsia="仿宋" w:cs="仿宋"/>
          <w:color w:val="333333"/>
          <w:kern w:val="0"/>
          <w:sz w:val="24"/>
          <w:szCs w:val="24"/>
          <w:highlight w:val="none"/>
          <w:u w:val="single"/>
        </w:rPr>
        <w:t xml:space="preserve">  (单位名称) </w:t>
      </w:r>
      <w:r>
        <w:rPr>
          <w:rFonts w:hint="eastAsia" w:ascii="仿宋" w:hAnsi="仿宋" w:eastAsia="仿宋" w:cs="仿宋"/>
          <w:color w:val="333333"/>
          <w:kern w:val="0"/>
          <w:sz w:val="24"/>
          <w:szCs w:val="24"/>
          <w:highlight w:val="none"/>
        </w:rPr>
        <w:t xml:space="preserve"> 的</w:t>
      </w:r>
      <w:r>
        <w:rPr>
          <w:rFonts w:hint="eastAsia" w:ascii="仿宋" w:hAnsi="仿宋" w:eastAsia="仿宋" w:cs="仿宋"/>
          <w:color w:val="333333"/>
          <w:kern w:val="0"/>
          <w:sz w:val="24"/>
          <w:szCs w:val="24"/>
          <w:highlight w:val="none"/>
          <w:u w:val="single"/>
        </w:rPr>
        <w:t xml:space="preserve"> (项目名称) 采购</w:t>
      </w:r>
      <w:r>
        <w:rPr>
          <w:rFonts w:hint="eastAsia" w:ascii="仿宋" w:hAnsi="仿宋" w:eastAsia="仿宋" w:cs="仿宋"/>
          <w:color w:val="333333"/>
          <w:kern w:val="0"/>
          <w:sz w:val="24"/>
          <w:szCs w:val="24"/>
          <w:highlight w:val="none"/>
        </w:rPr>
        <w:t>活动，服务全部由符合政策要求的中小企业承接。相关企业(含联合体中的中小企业、签订分包意向协议的中小企业)的具体情况如下：</w:t>
      </w:r>
    </w:p>
    <w:p>
      <w:pPr>
        <w:numPr>
          <w:ilvl w:val="0"/>
          <w:numId w:val="9"/>
        </w:numPr>
        <w:spacing w:line="560" w:lineRule="exact"/>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u w:val="single"/>
        </w:rPr>
        <w:t xml:space="preserve"> (标的名称) </w:t>
      </w:r>
      <w:r>
        <w:rPr>
          <w:rFonts w:hint="eastAsia" w:ascii="仿宋" w:hAnsi="仿宋" w:eastAsia="仿宋" w:cs="仿宋"/>
          <w:color w:val="333333"/>
          <w:kern w:val="0"/>
          <w:sz w:val="24"/>
          <w:szCs w:val="24"/>
          <w:highlight w:val="none"/>
        </w:rPr>
        <w:t>，属于</w:t>
      </w:r>
      <w:r>
        <w:rPr>
          <w:rFonts w:hint="eastAsia" w:ascii="仿宋" w:hAnsi="仿宋" w:eastAsia="仿宋" w:cs="仿宋"/>
          <w:color w:val="333333"/>
          <w:kern w:val="0"/>
          <w:sz w:val="24"/>
          <w:szCs w:val="24"/>
          <w:highlight w:val="none"/>
          <w:u w:val="single"/>
        </w:rPr>
        <w:t xml:space="preserve"> (采购文件中明的所属行业) </w:t>
      </w:r>
      <w:r>
        <w:rPr>
          <w:rFonts w:hint="eastAsia" w:ascii="仿宋" w:hAnsi="仿宋" w:eastAsia="仿宋" w:cs="仿宋"/>
          <w:color w:val="333333"/>
          <w:kern w:val="0"/>
          <w:sz w:val="24"/>
          <w:szCs w:val="24"/>
          <w:highlight w:val="none"/>
        </w:rPr>
        <w:t>；承建(承接)企业为</w:t>
      </w:r>
      <w:r>
        <w:rPr>
          <w:rFonts w:hint="eastAsia" w:ascii="仿宋" w:hAnsi="仿宋" w:eastAsia="仿宋" w:cs="仿宋"/>
          <w:color w:val="333333"/>
          <w:kern w:val="0"/>
          <w:sz w:val="24"/>
          <w:szCs w:val="24"/>
          <w:highlight w:val="none"/>
          <w:u w:val="single"/>
        </w:rPr>
        <w:t xml:space="preserve"> (企业名称) </w:t>
      </w:r>
      <w:r>
        <w:rPr>
          <w:rFonts w:hint="eastAsia" w:ascii="仿宋" w:hAnsi="仿宋" w:eastAsia="仿宋" w:cs="仿宋"/>
          <w:color w:val="333333"/>
          <w:kern w:val="0"/>
          <w:sz w:val="24"/>
          <w:szCs w:val="24"/>
          <w:highlight w:val="none"/>
        </w:rPr>
        <w:t>，从业人员</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人，营业收入为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万元，资产总额为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万元，属于</w:t>
      </w:r>
      <w:r>
        <w:rPr>
          <w:rFonts w:hint="eastAsia" w:ascii="仿宋" w:hAnsi="仿宋" w:eastAsia="仿宋" w:cs="仿宋"/>
          <w:color w:val="333333"/>
          <w:kern w:val="0"/>
          <w:sz w:val="24"/>
          <w:szCs w:val="24"/>
          <w:highlight w:val="none"/>
          <w:u w:val="single"/>
        </w:rPr>
        <w:t xml:space="preserve"> (中型企必、小型企业、微型企业) </w:t>
      </w:r>
      <w:r>
        <w:rPr>
          <w:rFonts w:hint="eastAsia" w:ascii="仿宋" w:hAnsi="仿宋" w:eastAsia="仿宋" w:cs="仿宋"/>
          <w:color w:val="333333"/>
          <w:kern w:val="0"/>
          <w:sz w:val="24"/>
          <w:szCs w:val="24"/>
          <w:highlight w:val="none"/>
        </w:rPr>
        <w:t>；</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 xml:space="preserve">2. </w:t>
      </w:r>
      <w:r>
        <w:rPr>
          <w:rFonts w:hint="eastAsia" w:ascii="仿宋" w:hAnsi="仿宋" w:eastAsia="仿宋" w:cs="仿宋"/>
          <w:color w:val="333333"/>
          <w:kern w:val="0"/>
          <w:sz w:val="24"/>
          <w:szCs w:val="24"/>
          <w:highlight w:val="none"/>
          <w:u w:val="single"/>
        </w:rPr>
        <w:t xml:space="preserve"> (标的名称) </w:t>
      </w:r>
      <w:r>
        <w:rPr>
          <w:rFonts w:hint="eastAsia" w:ascii="仿宋" w:hAnsi="仿宋" w:eastAsia="仿宋" w:cs="仿宋"/>
          <w:color w:val="333333"/>
          <w:kern w:val="0"/>
          <w:sz w:val="24"/>
          <w:szCs w:val="24"/>
          <w:highlight w:val="none"/>
        </w:rPr>
        <w:t>，属于</w:t>
      </w:r>
      <w:r>
        <w:rPr>
          <w:rFonts w:hint="eastAsia" w:ascii="仿宋" w:hAnsi="仿宋" w:eastAsia="仿宋" w:cs="仿宋"/>
          <w:color w:val="333333"/>
          <w:kern w:val="0"/>
          <w:sz w:val="24"/>
          <w:szCs w:val="24"/>
          <w:highlight w:val="none"/>
          <w:u w:val="single"/>
        </w:rPr>
        <w:t xml:space="preserve"> (采购文件中明的所属行业) </w:t>
      </w:r>
      <w:r>
        <w:rPr>
          <w:rFonts w:hint="eastAsia" w:ascii="仿宋" w:hAnsi="仿宋" w:eastAsia="仿宋" w:cs="仿宋"/>
          <w:color w:val="333333"/>
          <w:kern w:val="0"/>
          <w:sz w:val="24"/>
          <w:szCs w:val="24"/>
          <w:highlight w:val="none"/>
        </w:rPr>
        <w:t>；承建(承接)企业为</w:t>
      </w:r>
      <w:r>
        <w:rPr>
          <w:rFonts w:hint="eastAsia" w:ascii="仿宋" w:hAnsi="仿宋" w:eastAsia="仿宋" w:cs="仿宋"/>
          <w:color w:val="333333"/>
          <w:kern w:val="0"/>
          <w:sz w:val="24"/>
          <w:szCs w:val="24"/>
          <w:highlight w:val="none"/>
          <w:u w:val="single"/>
        </w:rPr>
        <w:t xml:space="preserve"> (企业名称) </w:t>
      </w:r>
      <w:r>
        <w:rPr>
          <w:rFonts w:hint="eastAsia" w:ascii="仿宋" w:hAnsi="仿宋" w:eastAsia="仿宋" w:cs="仿宋"/>
          <w:color w:val="333333"/>
          <w:kern w:val="0"/>
          <w:sz w:val="24"/>
          <w:szCs w:val="24"/>
          <w:highlight w:val="none"/>
        </w:rPr>
        <w:t>，从业人员</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人，营业收入为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万元，资产总额为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万元，属于</w:t>
      </w:r>
      <w:r>
        <w:rPr>
          <w:rFonts w:hint="eastAsia" w:ascii="仿宋" w:hAnsi="仿宋" w:eastAsia="仿宋" w:cs="仿宋"/>
          <w:color w:val="333333"/>
          <w:kern w:val="0"/>
          <w:sz w:val="24"/>
          <w:szCs w:val="24"/>
          <w:highlight w:val="none"/>
          <w:u w:val="single"/>
        </w:rPr>
        <w:t xml:space="preserve"> (中型企必、小型企业、微型企业) </w:t>
      </w:r>
      <w:r>
        <w:rPr>
          <w:rFonts w:hint="eastAsia" w:ascii="仿宋" w:hAnsi="仿宋" w:eastAsia="仿宋" w:cs="仿宋"/>
          <w:color w:val="333333"/>
          <w:kern w:val="0"/>
          <w:sz w:val="24"/>
          <w:szCs w:val="24"/>
          <w:highlight w:val="none"/>
        </w:rPr>
        <w:t>；</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本企业对上述声明内容的真实性负责。如有虚假，将依法承担相应责任。</w:t>
      </w:r>
    </w:p>
    <w:p>
      <w:pPr>
        <w:spacing w:line="560" w:lineRule="exact"/>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 xml:space="preserve">                                  </w:t>
      </w:r>
    </w:p>
    <w:p>
      <w:pPr>
        <w:spacing w:line="560" w:lineRule="exact"/>
        <w:ind w:firstLine="4200" w:firstLineChars="175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企业名称(盖章):</w:t>
      </w:r>
    </w:p>
    <w:p>
      <w:pPr>
        <w:spacing w:line="560" w:lineRule="exact"/>
        <w:ind w:firstLine="4320" w:firstLineChars="18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日期：</w:t>
      </w:r>
    </w:p>
    <w:p>
      <w:pPr>
        <w:spacing w:line="560" w:lineRule="exact"/>
        <w:ind w:firstLine="5040" w:firstLineChars="1800"/>
        <w:rPr>
          <w:rFonts w:hint="eastAsia" w:ascii="仿宋" w:hAnsi="仿宋" w:eastAsia="仿宋" w:cs="仿宋"/>
          <w:color w:val="333333"/>
          <w:kern w:val="0"/>
          <w:sz w:val="28"/>
          <w:szCs w:val="28"/>
          <w:highlight w:val="none"/>
        </w:rPr>
      </w:pPr>
    </w:p>
    <w:p>
      <w:pPr>
        <w:rPr>
          <w:rFonts w:hint="eastAsia" w:ascii="仿宋" w:hAnsi="仿宋" w:eastAsia="仿宋" w:cs="仿宋"/>
          <w:color w:val="333333"/>
          <w:kern w:val="0"/>
          <w:sz w:val="28"/>
          <w:szCs w:val="28"/>
          <w:highlight w:val="none"/>
          <w:u w:val="single"/>
        </w:rPr>
      </w:pPr>
      <w:r>
        <w:rPr>
          <w:rFonts w:hint="eastAsia" w:ascii="仿宋" w:hAnsi="仿宋" w:eastAsia="仿宋" w:cs="仿宋"/>
          <w:color w:val="333333"/>
          <w:kern w:val="0"/>
          <w:sz w:val="28"/>
          <w:szCs w:val="28"/>
          <w:highlight w:val="none"/>
        </w:rPr>
        <w:t xml:space="preserve"> </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xml:space="preserve">            </w:t>
      </w:r>
    </w:p>
    <w:p>
      <w:pPr>
        <w:spacing w:line="500" w:lineRule="exact"/>
        <w:rPr>
          <w:rFonts w:hint="eastAsia" w:ascii="仿宋" w:hAnsi="仿宋" w:eastAsia="仿宋" w:cs="仿宋"/>
          <w:sz w:val="28"/>
          <w:szCs w:val="28"/>
          <w:highlight w:val="none"/>
        </w:rPr>
      </w:pPr>
      <w:r>
        <w:rPr>
          <w:rFonts w:hint="eastAsia" w:ascii="仿宋" w:hAnsi="仿宋" w:eastAsia="仿宋" w:cs="仿宋"/>
          <w:color w:val="333333"/>
          <w:kern w:val="0"/>
          <w:sz w:val="22"/>
          <w:szCs w:val="22"/>
          <w:highlight w:val="none"/>
        </w:rPr>
        <w:t xml:space="preserve">（从业人员、营业收入、资产总额填报上一年度数据，无上一年度数据的新成立企业可不填报） </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keepNext w:val="0"/>
        <w:keepLines w:val="0"/>
        <w:pageBreakBefore w:val="0"/>
        <w:widowControl w:val="0"/>
        <w:kinsoku/>
        <w:wordWrap/>
        <w:overflowPunct/>
        <w:topLinePunct w:val="0"/>
        <w:autoSpaceDE/>
        <w:autoSpaceDN/>
        <w:bidi w:val="0"/>
        <w:spacing w:line="360" w:lineRule="auto"/>
        <w:jc w:val="left"/>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附件</w:t>
      </w: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pacing w:val="6"/>
          <w:sz w:val="36"/>
          <w:szCs w:val="36"/>
          <w:highlight w:val="none"/>
        </w:rPr>
      </w:pPr>
      <w:r>
        <w:rPr>
          <w:rFonts w:hint="eastAsia" w:ascii="仿宋" w:hAnsi="仿宋" w:eastAsia="仿宋" w:cs="仿宋"/>
          <w:b/>
          <w:color w:val="auto"/>
          <w:spacing w:val="6"/>
          <w:sz w:val="36"/>
          <w:szCs w:val="36"/>
          <w:highlight w:val="none"/>
        </w:rPr>
        <w:t>残疾人福利性单位声明函</w:t>
      </w:r>
    </w:p>
    <w:p>
      <w:pPr>
        <w:pStyle w:val="10"/>
        <w:keepNext w:val="0"/>
        <w:keepLines w:val="0"/>
        <w:pageBreakBefore w:val="0"/>
        <w:widowControl w:val="0"/>
        <w:kinsoku/>
        <w:wordWrap/>
        <w:overflowPunct/>
        <w:topLinePunct w:val="0"/>
        <w:autoSpaceDE/>
        <w:autoSpaceDN/>
        <w:bidi w:val="0"/>
        <w:adjustRightInd/>
        <w:snapToGrid/>
        <w:spacing w:line="360" w:lineRule="auto"/>
        <w:ind w:firstLine="964" w:firstLineChars="4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（注：符合</w:t>
      </w:r>
      <w:r>
        <w:rPr>
          <w:rFonts w:hint="eastAsia" w:ascii="仿宋" w:hAnsi="仿宋" w:eastAsia="仿宋" w:cs="仿宋"/>
          <w:b/>
          <w:bCs/>
          <w:color w:val="auto"/>
          <w:sz w:val="24"/>
          <w:szCs w:val="24"/>
          <w:highlight w:val="none"/>
          <w:lang w:val="en-US" w:eastAsia="zh-CN"/>
        </w:rPr>
        <w:t>残疾人福利性</w:t>
      </w:r>
      <w:r>
        <w:rPr>
          <w:rFonts w:hint="eastAsia" w:ascii="仿宋" w:hAnsi="仿宋" w:eastAsia="仿宋" w:cs="仿宋"/>
          <w:b/>
          <w:bCs/>
          <w:color w:val="auto"/>
          <w:sz w:val="24"/>
          <w:szCs w:val="24"/>
          <w:highlight w:val="none"/>
        </w:rPr>
        <w:t>的企业请提供本函，不符合的不提供本函）</w:t>
      </w:r>
    </w:p>
    <w:bookmarkEnd w:id="118"/>
    <w:bookmarkEnd w:id="119"/>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szCs w:val="24"/>
          <w:highlight w:val="none"/>
        </w:rPr>
        <w:t>〔2017〕 141</w:t>
      </w:r>
      <w:r>
        <w:rPr>
          <w:rFonts w:hint="eastAsia" w:ascii="仿宋" w:hAnsi="仿宋" w:eastAsia="仿宋" w:cs="仿宋"/>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438" w:leftChars="599" w:firstLine="2740" w:firstLineChars="1142"/>
        <w:textAlignment w:val="auto"/>
        <w:rPr>
          <w:rFonts w:hint="eastAsia" w:ascii="仿宋" w:hAnsi="仿宋" w:eastAsia="仿宋" w:cs="仿宋"/>
          <w:color w:val="auto"/>
          <w:kern w:val="0"/>
          <w:sz w:val="24"/>
          <w:szCs w:val="20"/>
          <w:highlight w:val="none"/>
          <w:u w:val="single"/>
        </w:rPr>
      </w:pPr>
      <w:r>
        <w:rPr>
          <w:rFonts w:hint="eastAsia" w:ascii="仿宋" w:hAnsi="仿宋" w:eastAsia="仿宋" w:cs="仿宋"/>
          <w:color w:val="auto"/>
          <w:kern w:val="0"/>
          <w:sz w:val="24"/>
          <w:szCs w:val="20"/>
          <w:highlight w:val="none"/>
        </w:rPr>
        <w:t>残疾人福利性单位（盖公章）：</w:t>
      </w:r>
      <w:r>
        <w:rPr>
          <w:rFonts w:hint="eastAsia" w:ascii="仿宋" w:hAnsi="仿宋" w:eastAsia="仿宋" w:cs="仿宋"/>
          <w:color w:val="auto"/>
          <w:kern w:val="0"/>
          <w:sz w:val="24"/>
          <w:szCs w:val="2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438" w:leftChars="599" w:firstLine="2740" w:firstLineChars="1142"/>
        <w:textAlignment w:val="auto"/>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4"/>
          <w:highlight w:val="none"/>
        </w:rPr>
        <w:t xml:space="preserve">法定代表人或授权代表（签字）:  </w:t>
      </w:r>
      <w:r>
        <w:rPr>
          <w:rFonts w:hint="eastAsia" w:ascii="仿宋" w:hAnsi="仿宋" w:eastAsia="仿宋" w:cs="仿宋"/>
          <w:color w:val="auto"/>
          <w:kern w:val="0"/>
          <w:sz w:val="24"/>
          <w:szCs w:val="20"/>
          <w:highlight w:val="none"/>
          <w:u w:val="single"/>
        </w:rPr>
        <w:t xml:space="preserve">             </w:t>
      </w:r>
      <w:r>
        <w:rPr>
          <w:rFonts w:hint="eastAsia" w:ascii="仿宋" w:hAnsi="仿宋" w:eastAsia="仿宋" w:cs="仿宋"/>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080" w:firstLineChars="1700"/>
        <w:textAlignment w:val="auto"/>
        <w:rPr>
          <w:rFonts w:hint="eastAsia" w:ascii="仿宋" w:hAnsi="仿宋" w:eastAsia="仿宋" w:cs="仿宋"/>
          <w:color w:val="auto"/>
          <w:kern w:val="0"/>
          <w:sz w:val="24"/>
          <w:szCs w:val="20"/>
          <w:highlight w:val="none"/>
          <w:u w:val="single"/>
        </w:rPr>
      </w:pPr>
      <w:r>
        <w:rPr>
          <w:rFonts w:hint="eastAsia" w:ascii="仿宋" w:hAnsi="仿宋" w:eastAsia="仿宋" w:cs="仿宋"/>
          <w:color w:val="auto"/>
          <w:kern w:val="0"/>
          <w:sz w:val="24"/>
          <w:szCs w:val="20"/>
          <w:highlight w:val="none"/>
        </w:rPr>
        <w:t>日</w:t>
      </w:r>
      <w:r>
        <w:rPr>
          <w:rFonts w:hint="eastAsia" w:ascii="仿宋" w:hAnsi="仿宋" w:eastAsia="仿宋" w:cs="仿宋"/>
          <w:color w:val="auto"/>
          <w:kern w:val="0"/>
          <w:sz w:val="24"/>
          <w:szCs w:val="20"/>
          <w:highlight w:val="none"/>
          <w:lang w:val="en-US" w:eastAsia="zh-CN"/>
        </w:rPr>
        <w:t xml:space="preserve">        </w:t>
      </w:r>
      <w:r>
        <w:rPr>
          <w:rFonts w:hint="eastAsia" w:ascii="仿宋" w:hAnsi="仿宋" w:eastAsia="仿宋" w:cs="仿宋"/>
          <w:color w:val="auto"/>
          <w:kern w:val="0"/>
          <w:sz w:val="24"/>
          <w:szCs w:val="20"/>
          <w:highlight w:val="none"/>
        </w:rPr>
        <w:t xml:space="preserve">  期：</w:t>
      </w:r>
      <w:r>
        <w:rPr>
          <w:rFonts w:hint="eastAsia" w:ascii="仿宋" w:hAnsi="仿宋" w:eastAsia="仿宋" w:cs="仿宋"/>
          <w:color w:val="auto"/>
          <w:kern w:val="0"/>
          <w:sz w:val="24"/>
          <w:szCs w:val="20"/>
          <w:highlight w:val="none"/>
          <w:u w:val="single"/>
        </w:rPr>
        <w:t xml:space="preserve">                             </w:t>
      </w:r>
    </w:p>
    <w:p>
      <w:pPr>
        <w:spacing w:line="336" w:lineRule="auto"/>
        <w:ind w:firstLine="640" w:firstLineChars="200"/>
        <w:rPr>
          <w:rFonts w:hint="eastAsia" w:ascii="仿宋" w:hAnsi="仿宋" w:eastAsia="仿宋" w:cs="仿宋"/>
          <w:color w:val="auto"/>
          <w:sz w:val="32"/>
          <w:szCs w:val="32"/>
          <w:highlight w:val="none"/>
        </w:rPr>
      </w:pPr>
    </w:p>
    <w:p>
      <w:pPr>
        <w:pStyle w:val="5"/>
        <w:rPr>
          <w:rFonts w:hint="eastAsia" w:ascii="仿宋" w:hAnsi="仿宋" w:eastAsia="仿宋" w:cs="仿宋"/>
          <w:color w:val="auto"/>
          <w:sz w:val="32"/>
          <w:szCs w:val="32"/>
          <w:highlight w:val="none"/>
        </w:rPr>
      </w:pPr>
    </w:p>
    <w:p>
      <w:pPr>
        <w:pStyle w:val="5"/>
        <w:rPr>
          <w:rFonts w:hint="eastAsia" w:ascii="仿宋" w:hAnsi="仿宋" w:eastAsia="仿宋" w:cs="仿宋"/>
          <w:color w:val="auto"/>
          <w:sz w:val="32"/>
          <w:szCs w:val="32"/>
          <w:highlight w:val="none"/>
        </w:rPr>
      </w:pPr>
    </w:p>
    <w:p>
      <w:pPr>
        <w:pStyle w:val="5"/>
        <w:rPr>
          <w:rFonts w:hint="eastAsia" w:ascii="仿宋" w:hAnsi="仿宋" w:eastAsia="仿宋" w:cs="仿宋"/>
          <w:color w:val="auto"/>
          <w:sz w:val="32"/>
          <w:szCs w:val="32"/>
          <w:highlight w:val="none"/>
        </w:rPr>
      </w:pPr>
    </w:p>
    <w:p>
      <w:pPr>
        <w:spacing w:line="336" w:lineRule="auto"/>
        <w:ind w:firstLine="480" w:firstLineChars="200"/>
        <w:rPr>
          <w:rFonts w:hint="eastAsia" w:ascii="仿宋" w:hAnsi="仿宋" w:eastAsia="仿宋" w:cs="仿宋"/>
          <w:color w:val="auto"/>
          <w:sz w:val="32"/>
          <w:szCs w:val="32"/>
          <w:highlight w:val="none"/>
        </w:rPr>
      </w:pPr>
      <w:r>
        <w:rPr>
          <w:rFonts w:hint="eastAsia" w:ascii="仿宋" w:hAnsi="仿宋" w:eastAsia="仿宋" w:cs="仿宋"/>
          <w:color w:val="auto"/>
          <w:sz w:val="24"/>
          <w:szCs w:val="24"/>
          <w:highlight w:val="none"/>
        </w:rPr>
        <w:t>备注：1.填写前请认真阅读《财政部 民政部 中国残疾人联合会关于促进残疾人就业政府采购政采的通知》(财库〔2017〕141号)相关规定。</w:t>
      </w:r>
    </w:p>
    <w:p>
      <w:pPr>
        <w:pStyle w:val="10"/>
        <w:rPr>
          <w:rFonts w:hint="eastAsia" w:ascii="仿宋" w:hAnsi="仿宋" w:eastAsia="仿宋" w:cs="仿宋"/>
          <w:color w:val="auto"/>
          <w:sz w:val="24"/>
          <w:szCs w:val="24"/>
          <w:highlight w:val="none"/>
        </w:rPr>
      </w:pPr>
    </w:p>
    <w:p>
      <w:pP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br w:type="page"/>
      </w:r>
    </w:p>
    <w:p>
      <w:pPr>
        <w:bidi w:val="0"/>
        <w:jc w:val="center"/>
        <w:rPr>
          <w:rFonts w:hint="eastAsia" w:ascii="仿宋" w:hAnsi="仿宋" w:eastAsia="仿宋" w:cs="仿宋"/>
          <w:b/>
          <w:bCs/>
          <w:color w:val="auto"/>
          <w:sz w:val="32"/>
          <w:szCs w:val="32"/>
          <w:highlight w:val="none"/>
        </w:rPr>
      </w:pPr>
      <w:bookmarkStart w:id="120" w:name="_Toc5397"/>
      <w:bookmarkStart w:id="121" w:name="_Toc21488"/>
      <w:r>
        <w:rPr>
          <w:rFonts w:hint="eastAsia" w:ascii="仿宋" w:hAnsi="仿宋" w:eastAsia="仿宋" w:cs="仿宋"/>
          <w:b/>
          <w:bCs/>
          <w:color w:val="auto"/>
          <w:sz w:val="32"/>
          <w:szCs w:val="32"/>
          <w:highlight w:val="none"/>
          <w:lang w:val="en-US" w:eastAsia="zh-CN"/>
        </w:rPr>
        <w:t>九</w:t>
      </w:r>
      <w:r>
        <w:rPr>
          <w:rFonts w:hint="eastAsia" w:ascii="仿宋" w:hAnsi="仿宋" w:eastAsia="仿宋" w:cs="仿宋"/>
          <w:b/>
          <w:bCs/>
          <w:color w:val="auto"/>
          <w:sz w:val="32"/>
          <w:szCs w:val="32"/>
          <w:highlight w:val="none"/>
        </w:rPr>
        <w:t>、其他资料</w:t>
      </w:r>
      <w:bookmarkEnd w:id="120"/>
      <w:bookmarkEnd w:id="121"/>
    </w:p>
    <w:p>
      <w:pPr>
        <w:pStyle w:val="12"/>
        <w:keepNext w:val="0"/>
        <w:keepLines w:val="0"/>
        <w:pageBreakBefore w:val="0"/>
        <w:widowControl w:val="0"/>
        <w:kinsoku/>
        <w:wordWrap/>
        <w:overflowPunct/>
        <w:topLinePunct w:val="0"/>
        <w:autoSpaceDE/>
        <w:autoSpaceDN/>
        <w:bidi w:val="0"/>
        <w:snapToGrid/>
        <w:spacing w:before="120" w:line="500" w:lineRule="exact"/>
        <w:ind w:left="0" w:right="34" w:firstLine="480" w:firstLineChars="2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凡</w:t>
      </w:r>
      <w:r>
        <w:rPr>
          <w:rFonts w:hint="eastAsia" w:ascii="仿宋" w:hAnsi="仿宋" w:eastAsia="仿宋" w:cs="仿宋"/>
          <w:bCs/>
          <w:color w:val="auto"/>
          <w:sz w:val="24"/>
          <w:szCs w:val="24"/>
          <w:highlight w:val="none"/>
        </w:rPr>
        <w:t>满足政府采购相关优惠政策的供应商自行根据相关政策规定提供声明或证明材料，如供应商不符合要求无需提供。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 xml:space="preserve">《政府采购促进中小企业发展管理办法》的通知--财库〔2020〕46号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 xml:space="preserve">财政部司法部关于政府采购支持监狱企业发展有关问题的通知--财库[2014]68号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 xml:space="preserve">《关于促进残疾人就业政府采购政策的通知》（财库[2017]141号）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《财政部 国务院扶贫办关于运用政府采购政策支持脱贫攻坚的通知》（财库〔2019〕27号）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 xml:space="preserve">《财政部 发展改革委 生态环境部 市场监管总局关于调整优化节能产品 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 xml:space="preserve">《节能产品政府采购实施意见》--（财库[2004]185号）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 xml:space="preserve">《环境标志产品政府采购实施的意见》--财库[2006]90号 </w:t>
      </w:r>
    </w:p>
    <w:p>
      <w:pPr>
        <w:rPr>
          <w:rFonts w:hint="eastAsia"/>
          <w:highlight w:val="none"/>
        </w:rPr>
      </w:pPr>
    </w:p>
    <w:sectPr>
      <w:pgSz w:w="11906" w:h="16838"/>
      <w:pgMar w:top="1440" w:right="1060" w:bottom="1440" w:left="1389" w:header="850" w:footer="992" w:gutter="0"/>
      <w:pgNumType w:fmt="numberInDash"/>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Grande">
    <w:altName w:val="Courier New"/>
    <w:panose1 w:val="00000000000000000000"/>
    <w:charset w:val="00"/>
    <w:family w:val="auto"/>
    <w:pitch w:val="default"/>
    <w:sig w:usb0="00000000" w:usb1="00000000" w:usb2="00000000" w:usb3="00000000" w:csb0="000001BF" w:csb1="00000000"/>
  </w:font>
  <w:font w:name="Adobe 仿宋 Std R">
    <w:altName w:val="仿宋"/>
    <w:panose1 w:val="020204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1"/>
      </w:pBdr>
      <w:tabs>
        <w:tab w:val="center" w:pos="4685"/>
      </w:tabs>
      <w:jc w:val="left"/>
      <w:rPr>
        <w:rFonts w:hint="eastAsia" w:eastAsia="宋体"/>
        <w:lang w:eastAsia="zh-CN"/>
      </w:rPr>
    </w:pPr>
    <w:r>
      <w:rPr>
        <w:rFonts w:hint="eastAsia"/>
      </w:rPr>
      <w:t xml:space="preserve">陕西德仁招标有限公司 </w:t>
    </w:r>
    <w:r>
      <w:rPr>
        <w:rFonts w:hint="eastAsia"/>
      </w:rPr>
      <w:tab/>
    </w:r>
    <w:r>
      <w:rPr>
        <w:rFonts w:hint="eastAsia"/>
      </w:rPr>
      <w:t xml:space="preserve">西安市高新区沣惠南路华晶商务广场B座1幢2301室  </w:t>
    </w:r>
    <w:r>
      <w:rPr>
        <w:rFonts w:hint="eastAsia"/>
        <w:lang w:eastAsia="zh-CN"/>
      </w:rPr>
      <w:t>029-85565073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1"/>
      </w:pBdr>
      <w:tabs>
        <w:tab w:val="center" w:pos="4685"/>
      </w:tabs>
      <w:jc w:val="left"/>
      <w:rPr>
        <w:rFonts w:ascii="仿宋" w:hAnsi="仿宋" w:eastAsia="仿宋" w:cs="仿宋"/>
        <w:sz w:val="21"/>
        <w:szCs w:val="18"/>
      </w:rPr>
    </w:pPr>
    <w:r>
      <w:rPr>
        <w:rFonts w:ascii="仿宋" w:hAnsi="仿宋" w:eastAsia="仿宋" w:cs="仿宋"/>
        <w:sz w:val="21"/>
        <w:szCs w:val="18"/>
      </w:rPr>
      <mc:AlternateContent>
        <mc:Choice Requires="wps">
          <w:drawing>
            <wp:anchor distT="0" distB="0" distL="114300" distR="114300" simplePos="0" relativeHeight="251660288" behindDoc="0" locked="0" layoutInCell="1" allowOverlap="1">
              <wp:simplePos x="0" y="0"/>
              <wp:positionH relativeFrom="margin">
                <wp:posOffset>2646680</wp:posOffset>
              </wp:positionH>
              <wp:positionV relativeFrom="paragraph">
                <wp:posOffset>238760</wp:posOffset>
              </wp:positionV>
              <wp:extent cx="471170" cy="250825"/>
              <wp:effectExtent l="0" t="0" r="0" b="0"/>
              <wp:wrapNone/>
              <wp:docPr id="4" name="4100"/>
              <wp:cNvGraphicFramePr/>
              <a:graphic xmlns:a="http://schemas.openxmlformats.org/drawingml/2006/main">
                <a:graphicData uri="http://schemas.microsoft.com/office/word/2010/wordprocessingShape">
                  <wps:wsp>
                    <wps:cNvSpPr txBox="1"/>
                    <wps:spPr>
                      <a:xfrm>
                        <a:off x="0" y="0"/>
                        <a:ext cx="471170" cy="250825"/>
                      </a:xfrm>
                      <a:prstGeom prst="rect">
                        <a:avLst/>
                      </a:prstGeom>
                      <a:noFill/>
                      <a:ln w="6350">
                        <a:noFill/>
                      </a:ln>
                      <a:effectLst/>
                    </wps:spPr>
                    <wps:txbx>
                      <w:txbxContent>
                        <w:p>
                          <w:pPr>
                            <w:pStyle w:val="16"/>
                            <w:jc w:val="both"/>
                            <w:rPr>
                              <w:rFonts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rPr>
                            <w:t>- 77 -</w:t>
                          </w:r>
                          <w:r>
                            <w:rPr>
                              <w:rFonts w:hint="eastAsia" w:ascii="仿宋" w:hAnsi="仿宋" w:eastAsia="仿宋" w:cs="仿宋"/>
                              <w:sz w:val="21"/>
                              <w:szCs w:val="21"/>
                            </w:rPr>
                            <w:fldChar w:fldCharType="end"/>
                          </w:r>
                        </w:p>
                      </w:txbxContent>
                    </wps:txbx>
                    <wps:bodyPr lIns="0" tIns="0" rIns="0" bIns="0" upright="1"/>
                  </wps:wsp>
                </a:graphicData>
              </a:graphic>
            </wp:anchor>
          </w:drawing>
        </mc:Choice>
        <mc:Fallback>
          <w:pict>
            <v:shape id="4100" o:spid="_x0000_s1026" o:spt="202" type="#_x0000_t202" style="position:absolute;left:0pt;margin-left:208.4pt;margin-top:18.8pt;height:19.75pt;width:37.1pt;mso-position-horizontal-relative:margin;z-index:251660288;mso-width-relative:page;mso-height-relative:page;" filled="f" stroked="f" coordsize="21600,21600" o:gfxdata="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E5QoNcAAAAJAQAADwAAAAAAAAABACAAAAAiAAAAZHJzL2Rvd25yZXYueG1sUEsBAhQAFAAAAAgA&#10;h07iQJT0WEO0AQAAgQMAAA4AAAAAAAAAAQAgAAAAJgEAAGRycy9lMm9Eb2MueG1sUEsFBgAAAAAG&#10;AAYAWQEAAEwFAAAAAA==&#10;">
              <v:fill on="f" focussize="0,0"/>
              <v:stroke on="f" weight="0.5pt"/>
              <v:imagedata o:title=""/>
              <o:lock v:ext="edit" aspectratio="f"/>
              <v:textbox inset="0mm,0mm,0mm,0mm">
                <w:txbxContent>
                  <w:p>
                    <w:pPr>
                      <w:pStyle w:val="16"/>
                      <w:jc w:val="both"/>
                      <w:rPr>
                        <w:rFonts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rPr>
                      <w:t>- 77 -</w:t>
                    </w:r>
                    <w:r>
                      <w:rPr>
                        <w:rFonts w:hint="eastAsia" w:ascii="仿宋" w:hAnsi="仿宋" w:eastAsia="仿宋" w:cs="仿宋"/>
                        <w:sz w:val="21"/>
                        <w:szCs w:val="21"/>
                      </w:rPr>
                      <w:fldChar w:fldCharType="end"/>
                    </w:r>
                  </w:p>
                </w:txbxContent>
              </v:textbox>
            </v:shape>
          </w:pict>
        </mc:Fallback>
      </mc:AlternateContent>
    </w:r>
    <w:r>
      <w:rPr>
        <w:rFonts w:hint="eastAsia" w:ascii="仿宋" w:hAnsi="仿宋" w:eastAsia="仿宋" w:cs="仿宋"/>
        <w:sz w:val="21"/>
        <w:szCs w:val="18"/>
      </w:rPr>
      <w:t xml:space="preserve">陕西德仁招标有限公司 </w:t>
    </w:r>
    <w:r>
      <w:rPr>
        <w:rFonts w:hint="eastAsia" w:ascii="仿宋" w:hAnsi="仿宋" w:eastAsia="仿宋" w:cs="仿宋"/>
        <w:sz w:val="21"/>
        <w:szCs w:val="18"/>
      </w:rPr>
      <w:tab/>
    </w:r>
    <w:r>
      <w:rPr>
        <w:rFonts w:hint="eastAsia" w:ascii="仿宋" w:hAnsi="仿宋" w:eastAsia="仿宋" w:cs="仿宋"/>
        <w:sz w:val="21"/>
        <w:szCs w:val="18"/>
      </w:rPr>
      <w:t xml:space="preserve">    西安市沣惠南路华晶商务广场B座1幢2301室      </w:t>
    </w:r>
    <w:r>
      <w:rPr>
        <w:rFonts w:hint="eastAsia" w:ascii="仿宋" w:hAnsi="仿宋" w:eastAsia="仿宋" w:cs="仿宋"/>
        <w:i w:val="0"/>
        <w:iCs w:val="0"/>
        <w:caps w:val="0"/>
        <w:color w:val="333333"/>
        <w:spacing w:val="0"/>
        <w:sz w:val="24"/>
        <w:szCs w:val="24"/>
        <w:highlight w:val="none"/>
        <w:shd w:val="clear" w:color="auto" w:fill="FFFFFF"/>
      </w:rPr>
      <w:t>029-85565073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fldChar w:fldCharType="begin"/>
    </w:r>
    <w:r>
      <w:rPr>
        <w:rStyle w:val="31"/>
      </w:rPr>
      <w:instrText xml:space="preserve">PAGE  </w:instrText>
    </w:r>
    <w:r>
      <w:fldChar w:fldCharType="separate"/>
    </w:r>
    <w:r>
      <w:rPr>
        <w:rStyle w:val="31"/>
      </w:rPr>
      <w:t>1</w:t>
    </w:r>
    <w:r>
      <w:fldChar w:fldCharType="end"/>
    </w:r>
  </w:p>
  <w:p>
    <w:pPr>
      <w:pStyle w:val="1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spacing w:before="100" w:beforeAutospacing="1" w:after="100" w:afterAutospacing="1"/>
      <w:jc w:val="left"/>
      <w:rPr>
        <w:rFonts w:hint="default" w:ascii="仿宋" w:hAnsi="仿宋" w:eastAsia="仿宋" w:cs="仿宋"/>
        <w:i w:val="0"/>
        <w:caps w:val="0"/>
        <w:color w:val="auto"/>
        <w:spacing w:val="0"/>
        <w:sz w:val="21"/>
        <w:szCs w:val="21"/>
        <w:highlight w:val="none"/>
        <w:shd w:val="clear" w:fill="FFFFFF"/>
        <w:lang w:val="en-US" w:eastAsia="zh-CN"/>
      </w:rPr>
    </w:pPr>
    <w:r>
      <w:rPr>
        <w:rFonts w:hint="eastAsia" w:ascii="仿宋" w:hAnsi="仿宋" w:eastAsia="仿宋" w:cs="仿宋"/>
        <w:sz w:val="21"/>
        <w:szCs w:val="21"/>
        <w:lang w:eastAsia="zh-CN"/>
      </w:rPr>
      <w:t>陕西省工业和信息化厅2022年“一带一路”汽车产业发展国际论坛项目</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竞争性磋商文件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2A1E1B"/>
    <w:multiLevelType w:val="singleLevel"/>
    <w:tmpl w:val="A12A1E1B"/>
    <w:lvl w:ilvl="0" w:tentative="0">
      <w:start w:val="1"/>
      <w:numFmt w:val="chineseCounting"/>
      <w:suff w:val="nothing"/>
      <w:lvlText w:val="%1、"/>
      <w:lvlJc w:val="left"/>
      <w:rPr>
        <w:rFonts w:hint="eastAsia"/>
      </w:rPr>
    </w:lvl>
  </w:abstractNum>
  <w:abstractNum w:abstractNumId="1">
    <w:nsid w:val="C111D952"/>
    <w:multiLevelType w:val="singleLevel"/>
    <w:tmpl w:val="C111D952"/>
    <w:lvl w:ilvl="0" w:tentative="0">
      <w:start w:val="1"/>
      <w:numFmt w:val="decimal"/>
      <w:lvlText w:val="%1)"/>
      <w:lvlJc w:val="left"/>
      <w:pPr>
        <w:ind w:left="425" w:hanging="425"/>
      </w:pPr>
      <w:rPr>
        <w:rFonts w:hint="default"/>
      </w:rPr>
    </w:lvl>
  </w:abstractNum>
  <w:abstractNum w:abstractNumId="2">
    <w:nsid w:val="E5F76844"/>
    <w:multiLevelType w:val="singleLevel"/>
    <w:tmpl w:val="E5F76844"/>
    <w:lvl w:ilvl="0" w:tentative="0">
      <w:start w:val="1"/>
      <w:numFmt w:val="decimal"/>
      <w:lvlText w:val="%1)"/>
      <w:lvlJc w:val="left"/>
      <w:pPr>
        <w:ind w:left="425" w:hanging="425"/>
      </w:pPr>
      <w:rPr>
        <w:rFonts w:hint="default"/>
      </w:rPr>
    </w:lvl>
  </w:abstractNum>
  <w:abstractNum w:abstractNumId="3">
    <w:nsid w:val="0000000A"/>
    <w:multiLevelType w:val="singleLevel"/>
    <w:tmpl w:val="0000000A"/>
    <w:lvl w:ilvl="0" w:tentative="0">
      <w:start w:val="1"/>
      <w:numFmt w:val="chineseCounting"/>
      <w:suff w:val="nothing"/>
      <w:lvlText w:val="%1、"/>
      <w:lvlJc w:val="left"/>
      <w:pPr>
        <w:ind w:left="0" w:firstLine="420"/>
      </w:pPr>
      <w:rPr>
        <w:rFonts w:hint="eastAsia"/>
      </w:rPr>
    </w:lvl>
  </w:abstractNum>
  <w:abstractNum w:abstractNumId="4">
    <w:nsid w:val="2F1853BA"/>
    <w:multiLevelType w:val="singleLevel"/>
    <w:tmpl w:val="2F1853BA"/>
    <w:lvl w:ilvl="0" w:tentative="0">
      <w:start w:val="3"/>
      <w:numFmt w:val="chineseCounting"/>
      <w:suff w:val="space"/>
      <w:lvlText w:val="第%1章"/>
      <w:lvlJc w:val="left"/>
      <w:rPr>
        <w:rFonts w:hint="eastAsia"/>
      </w:rPr>
    </w:lvl>
  </w:abstractNum>
  <w:abstractNum w:abstractNumId="5">
    <w:nsid w:val="3EC96E55"/>
    <w:multiLevelType w:val="multilevel"/>
    <w:tmpl w:val="3EC96E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2973A80"/>
    <w:multiLevelType w:val="multilevel"/>
    <w:tmpl w:val="52973A8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isLgl/>
      <w:lvlText w:val="%1.%2"/>
      <w:lvlJc w:val="left"/>
      <w:pPr>
        <w:tabs>
          <w:tab w:val="left" w:pos="851"/>
        </w:tabs>
        <w:ind w:left="0" w:firstLine="0"/>
      </w:pPr>
    </w:lvl>
    <w:lvl w:ilvl="2" w:tentative="0">
      <w:start w:val="1"/>
      <w:numFmt w:val="decimal"/>
      <w:pStyle w:val="83"/>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abstractNum w:abstractNumId="8">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7"/>
  </w:num>
  <w:num w:numId="2">
    <w:abstractNumId w:val="6"/>
  </w:num>
  <w:num w:numId="3">
    <w:abstractNumId w:val="2"/>
  </w:num>
  <w:num w:numId="4">
    <w:abstractNumId w:val="4"/>
  </w:num>
  <w:num w:numId="5">
    <w:abstractNumId w:val="1"/>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21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mEwODUxZTlhY2U2ZTM0OTI0ZDY1ZmQzYTAyZjYifQ=="/>
  </w:docVars>
  <w:rsids>
    <w:rsidRoot w:val="00BE678D"/>
    <w:rsid w:val="00043A0D"/>
    <w:rsid w:val="00045B6E"/>
    <w:rsid w:val="000603FA"/>
    <w:rsid w:val="000638A2"/>
    <w:rsid w:val="00065903"/>
    <w:rsid w:val="00081C0A"/>
    <w:rsid w:val="00097497"/>
    <w:rsid w:val="000A1623"/>
    <w:rsid w:val="000A3DD3"/>
    <w:rsid w:val="000C5BA5"/>
    <w:rsid w:val="00116A4C"/>
    <w:rsid w:val="001332DA"/>
    <w:rsid w:val="0013754F"/>
    <w:rsid w:val="0017228C"/>
    <w:rsid w:val="001869C2"/>
    <w:rsid w:val="001957A3"/>
    <w:rsid w:val="001B077F"/>
    <w:rsid w:val="001C1793"/>
    <w:rsid w:val="001C537A"/>
    <w:rsid w:val="001C5604"/>
    <w:rsid w:val="001C6B15"/>
    <w:rsid w:val="001E2635"/>
    <w:rsid w:val="001E7A82"/>
    <w:rsid w:val="001F0C83"/>
    <w:rsid w:val="001F42FB"/>
    <w:rsid w:val="0021773E"/>
    <w:rsid w:val="00217B7F"/>
    <w:rsid w:val="00220C72"/>
    <w:rsid w:val="0022429E"/>
    <w:rsid w:val="0027456F"/>
    <w:rsid w:val="0028148D"/>
    <w:rsid w:val="002A7CF0"/>
    <w:rsid w:val="002B4B28"/>
    <w:rsid w:val="002D30FB"/>
    <w:rsid w:val="002E0086"/>
    <w:rsid w:val="002E3966"/>
    <w:rsid w:val="002E64F8"/>
    <w:rsid w:val="0030690A"/>
    <w:rsid w:val="0033327C"/>
    <w:rsid w:val="00362517"/>
    <w:rsid w:val="00380DE0"/>
    <w:rsid w:val="003B6127"/>
    <w:rsid w:val="00406165"/>
    <w:rsid w:val="004135EA"/>
    <w:rsid w:val="00417FCE"/>
    <w:rsid w:val="004432F6"/>
    <w:rsid w:val="00445A69"/>
    <w:rsid w:val="004477EC"/>
    <w:rsid w:val="00453A4D"/>
    <w:rsid w:val="00461338"/>
    <w:rsid w:val="00463C9F"/>
    <w:rsid w:val="0047751D"/>
    <w:rsid w:val="004A4125"/>
    <w:rsid w:val="004E0BD4"/>
    <w:rsid w:val="004E7EF1"/>
    <w:rsid w:val="00501C25"/>
    <w:rsid w:val="00506A7A"/>
    <w:rsid w:val="00513252"/>
    <w:rsid w:val="005226FA"/>
    <w:rsid w:val="00527C1F"/>
    <w:rsid w:val="00545E85"/>
    <w:rsid w:val="00557973"/>
    <w:rsid w:val="0057555D"/>
    <w:rsid w:val="00590C4C"/>
    <w:rsid w:val="00611CF1"/>
    <w:rsid w:val="006245C7"/>
    <w:rsid w:val="006564BF"/>
    <w:rsid w:val="00657D99"/>
    <w:rsid w:val="00662882"/>
    <w:rsid w:val="0067029A"/>
    <w:rsid w:val="00694149"/>
    <w:rsid w:val="006B7F3A"/>
    <w:rsid w:val="00723B28"/>
    <w:rsid w:val="00735671"/>
    <w:rsid w:val="0076040A"/>
    <w:rsid w:val="00777C69"/>
    <w:rsid w:val="0079374D"/>
    <w:rsid w:val="007B74D1"/>
    <w:rsid w:val="007B7E0B"/>
    <w:rsid w:val="007C4B31"/>
    <w:rsid w:val="007F3F46"/>
    <w:rsid w:val="007F527C"/>
    <w:rsid w:val="00801859"/>
    <w:rsid w:val="008021D5"/>
    <w:rsid w:val="00823FAB"/>
    <w:rsid w:val="0084226B"/>
    <w:rsid w:val="008511F4"/>
    <w:rsid w:val="00863FB7"/>
    <w:rsid w:val="00876267"/>
    <w:rsid w:val="008B10E9"/>
    <w:rsid w:val="008C0751"/>
    <w:rsid w:val="008F275F"/>
    <w:rsid w:val="009126A7"/>
    <w:rsid w:val="00956B2D"/>
    <w:rsid w:val="0096308E"/>
    <w:rsid w:val="009927F3"/>
    <w:rsid w:val="009A144B"/>
    <w:rsid w:val="009F2933"/>
    <w:rsid w:val="009F70E2"/>
    <w:rsid w:val="00A002E6"/>
    <w:rsid w:val="00A10043"/>
    <w:rsid w:val="00A66BCB"/>
    <w:rsid w:val="00A764EE"/>
    <w:rsid w:val="00AB124C"/>
    <w:rsid w:val="00AB4FC8"/>
    <w:rsid w:val="00B6188F"/>
    <w:rsid w:val="00B719B3"/>
    <w:rsid w:val="00BA025B"/>
    <w:rsid w:val="00BA514C"/>
    <w:rsid w:val="00BA7350"/>
    <w:rsid w:val="00BB142F"/>
    <w:rsid w:val="00BB6F64"/>
    <w:rsid w:val="00BD5B2C"/>
    <w:rsid w:val="00BE0CF2"/>
    <w:rsid w:val="00BE678D"/>
    <w:rsid w:val="00BF552B"/>
    <w:rsid w:val="00BF779E"/>
    <w:rsid w:val="00C0521C"/>
    <w:rsid w:val="00CD6D09"/>
    <w:rsid w:val="00CD7136"/>
    <w:rsid w:val="00D0131F"/>
    <w:rsid w:val="00D2725C"/>
    <w:rsid w:val="00D44584"/>
    <w:rsid w:val="00D83D23"/>
    <w:rsid w:val="00DD2551"/>
    <w:rsid w:val="00DE2005"/>
    <w:rsid w:val="00DE66FD"/>
    <w:rsid w:val="00DF5EF5"/>
    <w:rsid w:val="00E0176B"/>
    <w:rsid w:val="00E35798"/>
    <w:rsid w:val="00E465C0"/>
    <w:rsid w:val="00E6049B"/>
    <w:rsid w:val="00E84589"/>
    <w:rsid w:val="00E935CE"/>
    <w:rsid w:val="00E96FDA"/>
    <w:rsid w:val="00EC1593"/>
    <w:rsid w:val="00EC75E0"/>
    <w:rsid w:val="00F305B0"/>
    <w:rsid w:val="00F43F53"/>
    <w:rsid w:val="00F6122D"/>
    <w:rsid w:val="00F83CE9"/>
    <w:rsid w:val="00F876E7"/>
    <w:rsid w:val="00FC5E29"/>
    <w:rsid w:val="00FE6836"/>
    <w:rsid w:val="01B46F2C"/>
    <w:rsid w:val="02066D67"/>
    <w:rsid w:val="02AB73DD"/>
    <w:rsid w:val="02BD5294"/>
    <w:rsid w:val="02C66169"/>
    <w:rsid w:val="039E22F4"/>
    <w:rsid w:val="051E6132"/>
    <w:rsid w:val="056D58A2"/>
    <w:rsid w:val="05932C6E"/>
    <w:rsid w:val="05B6269C"/>
    <w:rsid w:val="06583168"/>
    <w:rsid w:val="065F1A39"/>
    <w:rsid w:val="06B878D4"/>
    <w:rsid w:val="071B5892"/>
    <w:rsid w:val="078E032C"/>
    <w:rsid w:val="07A237BB"/>
    <w:rsid w:val="087C7181"/>
    <w:rsid w:val="08D315F8"/>
    <w:rsid w:val="093322E7"/>
    <w:rsid w:val="09533E4E"/>
    <w:rsid w:val="09B32C87"/>
    <w:rsid w:val="09D70F07"/>
    <w:rsid w:val="09E01ABF"/>
    <w:rsid w:val="09E02E6F"/>
    <w:rsid w:val="0A03249E"/>
    <w:rsid w:val="0A03574F"/>
    <w:rsid w:val="0A0B19A8"/>
    <w:rsid w:val="0A2637BC"/>
    <w:rsid w:val="0A4B74A5"/>
    <w:rsid w:val="0A825B11"/>
    <w:rsid w:val="0ACD76E7"/>
    <w:rsid w:val="0B9D7606"/>
    <w:rsid w:val="0BB137ED"/>
    <w:rsid w:val="0C443F60"/>
    <w:rsid w:val="0CC32696"/>
    <w:rsid w:val="0CDB5F8D"/>
    <w:rsid w:val="0D1F2030"/>
    <w:rsid w:val="0D1F3617"/>
    <w:rsid w:val="0D7830CD"/>
    <w:rsid w:val="0E9C375D"/>
    <w:rsid w:val="0EA00BF8"/>
    <w:rsid w:val="0EC71F0D"/>
    <w:rsid w:val="0F6016B2"/>
    <w:rsid w:val="10025A51"/>
    <w:rsid w:val="10755AE8"/>
    <w:rsid w:val="10862995"/>
    <w:rsid w:val="10CB4116"/>
    <w:rsid w:val="10D4477D"/>
    <w:rsid w:val="10F437D3"/>
    <w:rsid w:val="111E7A3F"/>
    <w:rsid w:val="117D028D"/>
    <w:rsid w:val="117F6C7E"/>
    <w:rsid w:val="11BF02AB"/>
    <w:rsid w:val="126F44AE"/>
    <w:rsid w:val="12AF63E3"/>
    <w:rsid w:val="12BD2907"/>
    <w:rsid w:val="136B4277"/>
    <w:rsid w:val="144E7D68"/>
    <w:rsid w:val="14814BAE"/>
    <w:rsid w:val="14AE4E9E"/>
    <w:rsid w:val="14BC12D4"/>
    <w:rsid w:val="14E2746C"/>
    <w:rsid w:val="15364DB8"/>
    <w:rsid w:val="155213EE"/>
    <w:rsid w:val="1570612F"/>
    <w:rsid w:val="15C37496"/>
    <w:rsid w:val="16C04AD8"/>
    <w:rsid w:val="17031836"/>
    <w:rsid w:val="172059C3"/>
    <w:rsid w:val="173575C8"/>
    <w:rsid w:val="17B43FAD"/>
    <w:rsid w:val="17E36735"/>
    <w:rsid w:val="17EB056B"/>
    <w:rsid w:val="18237858"/>
    <w:rsid w:val="18573033"/>
    <w:rsid w:val="19035052"/>
    <w:rsid w:val="195B3A93"/>
    <w:rsid w:val="195B4159"/>
    <w:rsid w:val="19995302"/>
    <w:rsid w:val="19A93B5C"/>
    <w:rsid w:val="1A2357DA"/>
    <w:rsid w:val="1B1F6520"/>
    <w:rsid w:val="1B387CCD"/>
    <w:rsid w:val="1B457073"/>
    <w:rsid w:val="1BAA7C5C"/>
    <w:rsid w:val="1BCA1590"/>
    <w:rsid w:val="1BDF5DD7"/>
    <w:rsid w:val="1C1E3E82"/>
    <w:rsid w:val="1C676ADD"/>
    <w:rsid w:val="1C956CC3"/>
    <w:rsid w:val="1CA67C4D"/>
    <w:rsid w:val="1CA85E46"/>
    <w:rsid w:val="1CB752FE"/>
    <w:rsid w:val="1CDE025F"/>
    <w:rsid w:val="1D0272F8"/>
    <w:rsid w:val="1DF519D4"/>
    <w:rsid w:val="1EB773B0"/>
    <w:rsid w:val="1ED33FFC"/>
    <w:rsid w:val="1EFF6B48"/>
    <w:rsid w:val="1F025B67"/>
    <w:rsid w:val="1F975C85"/>
    <w:rsid w:val="1FB12E34"/>
    <w:rsid w:val="203748DC"/>
    <w:rsid w:val="205310CF"/>
    <w:rsid w:val="205552D0"/>
    <w:rsid w:val="21204F2B"/>
    <w:rsid w:val="22934AD2"/>
    <w:rsid w:val="22AF0D33"/>
    <w:rsid w:val="23637330"/>
    <w:rsid w:val="23B33533"/>
    <w:rsid w:val="23D0369C"/>
    <w:rsid w:val="24853FA4"/>
    <w:rsid w:val="24EB0296"/>
    <w:rsid w:val="255268D8"/>
    <w:rsid w:val="258A0126"/>
    <w:rsid w:val="25A10C0E"/>
    <w:rsid w:val="2684068A"/>
    <w:rsid w:val="269310DE"/>
    <w:rsid w:val="26C51C72"/>
    <w:rsid w:val="26DF6C4D"/>
    <w:rsid w:val="27BB660B"/>
    <w:rsid w:val="27CA50AA"/>
    <w:rsid w:val="289B4D50"/>
    <w:rsid w:val="289F69A7"/>
    <w:rsid w:val="28C373E1"/>
    <w:rsid w:val="28DB6270"/>
    <w:rsid w:val="291D0C4F"/>
    <w:rsid w:val="2926733A"/>
    <w:rsid w:val="29490736"/>
    <w:rsid w:val="29743B7F"/>
    <w:rsid w:val="29CD5E3B"/>
    <w:rsid w:val="29FE7327"/>
    <w:rsid w:val="2A3B0D29"/>
    <w:rsid w:val="2AE94167"/>
    <w:rsid w:val="2B6155BE"/>
    <w:rsid w:val="2BB26467"/>
    <w:rsid w:val="2BC34250"/>
    <w:rsid w:val="2BC370D8"/>
    <w:rsid w:val="2D0F2711"/>
    <w:rsid w:val="2D2875D8"/>
    <w:rsid w:val="2D7175D5"/>
    <w:rsid w:val="2D91543B"/>
    <w:rsid w:val="2DB81892"/>
    <w:rsid w:val="2DDF4554"/>
    <w:rsid w:val="2DFF5C18"/>
    <w:rsid w:val="2E3E638D"/>
    <w:rsid w:val="2E766669"/>
    <w:rsid w:val="2EB75DE0"/>
    <w:rsid w:val="2EC00056"/>
    <w:rsid w:val="2FA15DE1"/>
    <w:rsid w:val="2FB90FDC"/>
    <w:rsid w:val="2FDEE2C7"/>
    <w:rsid w:val="303A2D32"/>
    <w:rsid w:val="306A72EA"/>
    <w:rsid w:val="308C7C42"/>
    <w:rsid w:val="30FB252D"/>
    <w:rsid w:val="310C3CE5"/>
    <w:rsid w:val="31B3122F"/>
    <w:rsid w:val="32454A35"/>
    <w:rsid w:val="32C2710D"/>
    <w:rsid w:val="32F61C22"/>
    <w:rsid w:val="33347A0A"/>
    <w:rsid w:val="33400A6D"/>
    <w:rsid w:val="334360CE"/>
    <w:rsid w:val="3390106E"/>
    <w:rsid w:val="33B5389C"/>
    <w:rsid w:val="343B6932"/>
    <w:rsid w:val="344D7405"/>
    <w:rsid w:val="34CD0436"/>
    <w:rsid w:val="352F0DCA"/>
    <w:rsid w:val="35531DB4"/>
    <w:rsid w:val="355BB90B"/>
    <w:rsid w:val="35747DC3"/>
    <w:rsid w:val="35A6254C"/>
    <w:rsid w:val="35E714A8"/>
    <w:rsid w:val="37054AD1"/>
    <w:rsid w:val="37783A7D"/>
    <w:rsid w:val="377D0476"/>
    <w:rsid w:val="37C337CD"/>
    <w:rsid w:val="37EB4243"/>
    <w:rsid w:val="38621C2D"/>
    <w:rsid w:val="386237C7"/>
    <w:rsid w:val="387845C4"/>
    <w:rsid w:val="38D51E80"/>
    <w:rsid w:val="38E16B12"/>
    <w:rsid w:val="394813E6"/>
    <w:rsid w:val="3A29074D"/>
    <w:rsid w:val="3A5C05D3"/>
    <w:rsid w:val="3ABE69A4"/>
    <w:rsid w:val="3AC04519"/>
    <w:rsid w:val="3BAE6679"/>
    <w:rsid w:val="3C071709"/>
    <w:rsid w:val="3C395EF0"/>
    <w:rsid w:val="3C6A6BB7"/>
    <w:rsid w:val="3C83772A"/>
    <w:rsid w:val="3D0D40C6"/>
    <w:rsid w:val="3D3F727B"/>
    <w:rsid w:val="3D626168"/>
    <w:rsid w:val="3DC7164A"/>
    <w:rsid w:val="3E7C15E5"/>
    <w:rsid w:val="3E8B4D5B"/>
    <w:rsid w:val="3E8C2F03"/>
    <w:rsid w:val="3E9042A5"/>
    <w:rsid w:val="3EBE53BD"/>
    <w:rsid w:val="3F8F587F"/>
    <w:rsid w:val="40A02CD3"/>
    <w:rsid w:val="40A5751C"/>
    <w:rsid w:val="40C727F3"/>
    <w:rsid w:val="40E67048"/>
    <w:rsid w:val="411E57CA"/>
    <w:rsid w:val="41237074"/>
    <w:rsid w:val="416A07BB"/>
    <w:rsid w:val="41807C8E"/>
    <w:rsid w:val="41A31E73"/>
    <w:rsid w:val="41CE5A5E"/>
    <w:rsid w:val="42214965"/>
    <w:rsid w:val="425F0891"/>
    <w:rsid w:val="42795A04"/>
    <w:rsid w:val="43374E41"/>
    <w:rsid w:val="438235F5"/>
    <w:rsid w:val="43AA1D1C"/>
    <w:rsid w:val="44D60EA3"/>
    <w:rsid w:val="450E3C7D"/>
    <w:rsid w:val="451156D2"/>
    <w:rsid w:val="454D4B6C"/>
    <w:rsid w:val="458C5803"/>
    <w:rsid w:val="466A1778"/>
    <w:rsid w:val="46C45F14"/>
    <w:rsid w:val="46F1491E"/>
    <w:rsid w:val="473F6AAA"/>
    <w:rsid w:val="47982EBF"/>
    <w:rsid w:val="479B32AB"/>
    <w:rsid w:val="47D53006"/>
    <w:rsid w:val="47FD283F"/>
    <w:rsid w:val="485340A8"/>
    <w:rsid w:val="48BE0390"/>
    <w:rsid w:val="490C3F55"/>
    <w:rsid w:val="490C74F2"/>
    <w:rsid w:val="49252778"/>
    <w:rsid w:val="49513C1C"/>
    <w:rsid w:val="4951766D"/>
    <w:rsid w:val="49A14B2D"/>
    <w:rsid w:val="49CA2650"/>
    <w:rsid w:val="49CE0084"/>
    <w:rsid w:val="4A5072FE"/>
    <w:rsid w:val="4A51301D"/>
    <w:rsid w:val="4A641D7C"/>
    <w:rsid w:val="4AE20B8A"/>
    <w:rsid w:val="4B0227AD"/>
    <w:rsid w:val="4B0C5871"/>
    <w:rsid w:val="4B28767C"/>
    <w:rsid w:val="4B660F61"/>
    <w:rsid w:val="4B9A4BBC"/>
    <w:rsid w:val="4BAB2A37"/>
    <w:rsid w:val="4BE72CF3"/>
    <w:rsid w:val="4BFF47E7"/>
    <w:rsid w:val="4C2B3187"/>
    <w:rsid w:val="4CCD784F"/>
    <w:rsid w:val="4D00037B"/>
    <w:rsid w:val="4D1C5778"/>
    <w:rsid w:val="4D6421A1"/>
    <w:rsid w:val="4DE73FAF"/>
    <w:rsid w:val="4DF96402"/>
    <w:rsid w:val="4E755319"/>
    <w:rsid w:val="4E8F4547"/>
    <w:rsid w:val="4EA019FE"/>
    <w:rsid w:val="4EB629ED"/>
    <w:rsid w:val="4EDB5B27"/>
    <w:rsid w:val="4EE25A25"/>
    <w:rsid w:val="4F527C52"/>
    <w:rsid w:val="4F631A95"/>
    <w:rsid w:val="4F9CB9D4"/>
    <w:rsid w:val="501B25C1"/>
    <w:rsid w:val="50282405"/>
    <w:rsid w:val="51384EF6"/>
    <w:rsid w:val="515B45AE"/>
    <w:rsid w:val="515E041A"/>
    <w:rsid w:val="51BB5A4E"/>
    <w:rsid w:val="51E74F62"/>
    <w:rsid w:val="52477FB9"/>
    <w:rsid w:val="5270749E"/>
    <w:rsid w:val="52813798"/>
    <w:rsid w:val="52E7213A"/>
    <w:rsid w:val="53332CCF"/>
    <w:rsid w:val="533C7C39"/>
    <w:rsid w:val="53421DE6"/>
    <w:rsid w:val="53453E2E"/>
    <w:rsid w:val="53E0645B"/>
    <w:rsid w:val="53FB5528"/>
    <w:rsid w:val="54437915"/>
    <w:rsid w:val="548633EE"/>
    <w:rsid w:val="548F06A5"/>
    <w:rsid w:val="54F26070"/>
    <w:rsid w:val="551306D9"/>
    <w:rsid w:val="5579BBE4"/>
    <w:rsid w:val="55A0224B"/>
    <w:rsid w:val="55D24547"/>
    <w:rsid w:val="55D830B5"/>
    <w:rsid w:val="562C5FD5"/>
    <w:rsid w:val="566221A5"/>
    <w:rsid w:val="567930DF"/>
    <w:rsid w:val="567E55E0"/>
    <w:rsid w:val="5682378C"/>
    <w:rsid w:val="56923BF1"/>
    <w:rsid w:val="56D31D63"/>
    <w:rsid w:val="56F44ADB"/>
    <w:rsid w:val="56FB3045"/>
    <w:rsid w:val="570C40F4"/>
    <w:rsid w:val="57371AC5"/>
    <w:rsid w:val="57662601"/>
    <w:rsid w:val="581A28CF"/>
    <w:rsid w:val="58514C4F"/>
    <w:rsid w:val="58B67DDB"/>
    <w:rsid w:val="58E41529"/>
    <w:rsid w:val="59161131"/>
    <w:rsid w:val="5A1A42FD"/>
    <w:rsid w:val="5AB8771B"/>
    <w:rsid w:val="5B160A43"/>
    <w:rsid w:val="5B2A24B5"/>
    <w:rsid w:val="5B5A57CC"/>
    <w:rsid w:val="5B913620"/>
    <w:rsid w:val="5BFF784C"/>
    <w:rsid w:val="5BFFFAEC"/>
    <w:rsid w:val="5C0B6550"/>
    <w:rsid w:val="5D9958D6"/>
    <w:rsid w:val="5DAE23A7"/>
    <w:rsid w:val="5E59187D"/>
    <w:rsid w:val="5E683F93"/>
    <w:rsid w:val="5E7F1DF2"/>
    <w:rsid w:val="5E885D0C"/>
    <w:rsid w:val="5EFF1CDE"/>
    <w:rsid w:val="5F7D4C95"/>
    <w:rsid w:val="5F92022D"/>
    <w:rsid w:val="60096A5F"/>
    <w:rsid w:val="602867D3"/>
    <w:rsid w:val="608545AF"/>
    <w:rsid w:val="60C56AE9"/>
    <w:rsid w:val="60CA1CA6"/>
    <w:rsid w:val="60EC10DB"/>
    <w:rsid w:val="61774699"/>
    <w:rsid w:val="62127AB7"/>
    <w:rsid w:val="623854C9"/>
    <w:rsid w:val="628337CD"/>
    <w:rsid w:val="631D04A8"/>
    <w:rsid w:val="633E139F"/>
    <w:rsid w:val="63C9234B"/>
    <w:rsid w:val="63DC5FEA"/>
    <w:rsid w:val="64403B07"/>
    <w:rsid w:val="644D10C3"/>
    <w:rsid w:val="64943DD8"/>
    <w:rsid w:val="64B85521"/>
    <w:rsid w:val="6528077E"/>
    <w:rsid w:val="656C1129"/>
    <w:rsid w:val="658C7807"/>
    <w:rsid w:val="6598349C"/>
    <w:rsid w:val="65FF3EB1"/>
    <w:rsid w:val="66437A17"/>
    <w:rsid w:val="66E551E9"/>
    <w:rsid w:val="66F207E8"/>
    <w:rsid w:val="67A3598E"/>
    <w:rsid w:val="67BB6955"/>
    <w:rsid w:val="67C30A8C"/>
    <w:rsid w:val="67D9E9C4"/>
    <w:rsid w:val="67DDD805"/>
    <w:rsid w:val="67F93FF4"/>
    <w:rsid w:val="681F3672"/>
    <w:rsid w:val="6825519A"/>
    <w:rsid w:val="6871773A"/>
    <w:rsid w:val="68C22203"/>
    <w:rsid w:val="68F20A7E"/>
    <w:rsid w:val="6906520C"/>
    <w:rsid w:val="6A473329"/>
    <w:rsid w:val="6A935E99"/>
    <w:rsid w:val="6AC360AA"/>
    <w:rsid w:val="6B992D08"/>
    <w:rsid w:val="6BDE533F"/>
    <w:rsid w:val="6C4371D7"/>
    <w:rsid w:val="6C671883"/>
    <w:rsid w:val="6C69561B"/>
    <w:rsid w:val="6C714066"/>
    <w:rsid w:val="6C8B4963"/>
    <w:rsid w:val="6CB73081"/>
    <w:rsid w:val="6D031434"/>
    <w:rsid w:val="6D0443EC"/>
    <w:rsid w:val="6D2E7AC3"/>
    <w:rsid w:val="6D3B1643"/>
    <w:rsid w:val="6D4F6931"/>
    <w:rsid w:val="6D643657"/>
    <w:rsid w:val="6DEE0D89"/>
    <w:rsid w:val="6E392E75"/>
    <w:rsid w:val="6E9A03A3"/>
    <w:rsid w:val="6F0C4592"/>
    <w:rsid w:val="6F995010"/>
    <w:rsid w:val="6FA86524"/>
    <w:rsid w:val="6FAF8AEC"/>
    <w:rsid w:val="6FCA1EA2"/>
    <w:rsid w:val="6FD87E72"/>
    <w:rsid w:val="70315FC9"/>
    <w:rsid w:val="70720FFE"/>
    <w:rsid w:val="70995A07"/>
    <w:rsid w:val="7193764F"/>
    <w:rsid w:val="7259730A"/>
    <w:rsid w:val="72694F09"/>
    <w:rsid w:val="72A02886"/>
    <w:rsid w:val="73681127"/>
    <w:rsid w:val="738E58F8"/>
    <w:rsid w:val="73AB3572"/>
    <w:rsid w:val="73CD0678"/>
    <w:rsid w:val="751211BF"/>
    <w:rsid w:val="7581526D"/>
    <w:rsid w:val="75AD1C8E"/>
    <w:rsid w:val="76271592"/>
    <w:rsid w:val="762E19DD"/>
    <w:rsid w:val="76303784"/>
    <w:rsid w:val="76C174E4"/>
    <w:rsid w:val="777F70C2"/>
    <w:rsid w:val="77F60A8C"/>
    <w:rsid w:val="77FD4885"/>
    <w:rsid w:val="785F7751"/>
    <w:rsid w:val="786C3B6A"/>
    <w:rsid w:val="78C25DA2"/>
    <w:rsid w:val="78CB1AC5"/>
    <w:rsid w:val="78E77689"/>
    <w:rsid w:val="78FF2EBC"/>
    <w:rsid w:val="790170AD"/>
    <w:rsid w:val="79173FDF"/>
    <w:rsid w:val="793D0A2C"/>
    <w:rsid w:val="79436DD9"/>
    <w:rsid w:val="79AD92F8"/>
    <w:rsid w:val="79B06543"/>
    <w:rsid w:val="79BA1EB4"/>
    <w:rsid w:val="79BF63C4"/>
    <w:rsid w:val="79F322CA"/>
    <w:rsid w:val="79FD0ED6"/>
    <w:rsid w:val="7ABB7E4F"/>
    <w:rsid w:val="7AF43536"/>
    <w:rsid w:val="7B1B73AF"/>
    <w:rsid w:val="7B6968FC"/>
    <w:rsid w:val="7BA022B3"/>
    <w:rsid w:val="7BBDD5BF"/>
    <w:rsid w:val="7BC97A9E"/>
    <w:rsid w:val="7CDD2CBE"/>
    <w:rsid w:val="7D0C1497"/>
    <w:rsid w:val="7D871784"/>
    <w:rsid w:val="7D9964B3"/>
    <w:rsid w:val="7DD5318F"/>
    <w:rsid w:val="7DFD1245"/>
    <w:rsid w:val="7E272D5F"/>
    <w:rsid w:val="7E7D104F"/>
    <w:rsid w:val="7EB44517"/>
    <w:rsid w:val="7ED437E6"/>
    <w:rsid w:val="7EDCACBC"/>
    <w:rsid w:val="7EDFAA12"/>
    <w:rsid w:val="7F2FF4AC"/>
    <w:rsid w:val="7F3D603B"/>
    <w:rsid w:val="7FBC5E0B"/>
    <w:rsid w:val="87DF37AE"/>
    <w:rsid w:val="8FFD37E1"/>
    <w:rsid w:val="9773A3CF"/>
    <w:rsid w:val="AFFFE678"/>
    <w:rsid w:val="D3FF00F7"/>
    <w:rsid w:val="DBFD1F7E"/>
    <w:rsid w:val="DCD04481"/>
    <w:rsid w:val="DEB7976B"/>
    <w:rsid w:val="DFD73F13"/>
    <w:rsid w:val="E3CF56D4"/>
    <w:rsid w:val="E94605A0"/>
    <w:rsid w:val="EA9F0DE0"/>
    <w:rsid w:val="EDBBAF13"/>
    <w:rsid w:val="F5F76900"/>
    <w:rsid w:val="F8FF6AB0"/>
    <w:rsid w:val="F9DD57D7"/>
    <w:rsid w:val="F9DF7C3D"/>
    <w:rsid w:val="FA1DEB64"/>
    <w:rsid w:val="FB7F1C2F"/>
    <w:rsid w:val="FBD7A66F"/>
    <w:rsid w:val="FDEBD710"/>
    <w:rsid w:val="FDFDEB42"/>
    <w:rsid w:val="FFBF231C"/>
    <w:rsid w:val="FFFD5391"/>
    <w:rsid w:val="FFFDCF8A"/>
    <w:rsid w:val="FFFE2D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1"/>
    <w:qFormat/>
    <w:uiPriority w:val="0"/>
    <w:pPr>
      <w:keepNext/>
      <w:keepLines/>
      <w:spacing w:line="360" w:lineRule="auto"/>
      <w:jc w:val="center"/>
      <w:outlineLvl w:val="0"/>
    </w:pPr>
    <w:rPr>
      <w:b/>
      <w:bCs/>
      <w:kern w:val="44"/>
      <w:sz w:val="30"/>
      <w:szCs w:val="44"/>
    </w:rPr>
  </w:style>
  <w:style w:type="paragraph" w:styleId="4">
    <w:name w:val="heading 2"/>
    <w:basedOn w:val="1"/>
    <w:next w:val="5"/>
    <w:qFormat/>
    <w:uiPriority w:val="0"/>
    <w:pPr>
      <w:keepNext/>
      <w:keepLines/>
      <w:spacing w:line="360" w:lineRule="auto"/>
      <w:jc w:val="center"/>
      <w:outlineLvl w:val="1"/>
    </w:pPr>
    <w:rPr>
      <w:rFonts w:ascii="Arial" w:hAnsi="Arial"/>
      <w:b/>
      <w:bCs/>
      <w:sz w:val="28"/>
      <w:szCs w:val="32"/>
    </w:rPr>
  </w:style>
  <w:style w:type="paragraph" w:styleId="6">
    <w:name w:val="heading 3"/>
    <w:basedOn w:val="1"/>
    <w:next w:val="5"/>
    <w:qFormat/>
    <w:uiPriority w:val="0"/>
    <w:pPr>
      <w:keepNext/>
      <w:keepLines/>
      <w:spacing w:line="415" w:lineRule="auto"/>
      <w:outlineLvl w:val="2"/>
    </w:pPr>
    <w:rPr>
      <w:b/>
      <w:bCs/>
      <w:sz w:val="32"/>
      <w:szCs w:val="32"/>
    </w:rPr>
  </w:style>
  <w:style w:type="paragraph" w:styleId="7">
    <w:name w:val="heading 4"/>
    <w:basedOn w:val="1"/>
    <w:next w:val="1"/>
    <w:qFormat/>
    <w:uiPriority w:val="99"/>
    <w:pPr>
      <w:keepNext/>
      <w:keepLines/>
      <w:adjustRightInd w:val="0"/>
      <w:spacing w:before="280" w:after="290" w:line="376" w:lineRule="atLeast"/>
      <w:textAlignment w:val="baseline"/>
      <w:outlineLvl w:val="3"/>
    </w:pPr>
    <w:rPr>
      <w:rFonts w:ascii="Arial"/>
      <w:b/>
      <w:spacing w:val="20"/>
      <w:kern w:val="0"/>
      <w:sz w:val="20"/>
    </w:rPr>
  </w:style>
  <w:style w:type="paragraph" w:styleId="8">
    <w:name w:val="heading 6"/>
    <w:basedOn w:val="1"/>
    <w:next w:val="1"/>
    <w:link w:val="58"/>
    <w:qFormat/>
    <w:uiPriority w:val="99"/>
    <w:pPr>
      <w:keepNext/>
      <w:keepLines/>
      <w:spacing w:before="240" w:after="64" w:line="320" w:lineRule="auto"/>
      <w:outlineLvl w:val="5"/>
    </w:pPr>
    <w:rPr>
      <w:rFonts w:ascii="Calibri Light" w:hAnsi="Calibri Light"/>
      <w:b/>
      <w:bCs/>
      <w:sz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Calibri" w:hAnsi="Calibri"/>
      <w:szCs w:val="22"/>
    </w:rPr>
  </w:style>
  <w:style w:type="paragraph" w:styleId="5">
    <w:name w:val="Normal Indent"/>
    <w:basedOn w:val="1"/>
    <w:qFormat/>
    <w:uiPriority w:val="0"/>
    <w:pPr>
      <w:spacing w:line="300" w:lineRule="auto"/>
      <w:ind w:firstLine="420" w:firstLineChars="200"/>
    </w:pPr>
  </w:style>
  <w:style w:type="paragraph" w:styleId="9">
    <w:name w:val="annotation text"/>
    <w:basedOn w:val="1"/>
    <w:link w:val="62"/>
    <w:qFormat/>
    <w:uiPriority w:val="0"/>
    <w:pPr>
      <w:jc w:val="left"/>
    </w:pPr>
  </w:style>
  <w:style w:type="paragraph" w:styleId="10">
    <w:name w:val="Body Text"/>
    <w:basedOn w:val="1"/>
    <w:next w:val="1"/>
    <w:qFormat/>
    <w:uiPriority w:val="0"/>
    <w:rPr>
      <w:color w:val="993300"/>
      <w:sz w:val="24"/>
    </w:rPr>
  </w:style>
  <w:style w:type="paragraph" w:styleId="11">
    <w:name w:val="Body Text Indent"/>
    <w:basedOn w:val="1"/>
    <w:next w:val="1"/>
    <w:qFormat/>
    <w:uiPriority w:val="0"/>
    <w:pPr>
      <w:tabs>
        <w:tab w:val="left" w:pos="8640"/>
      </w:tabs>
      <w:ind w:firstLine="420"/>
    </w:pPr>
    <w:rPr>
      <w:rFonts w:ascii="楷体_GB2312" w:eastAsia="楷体_GB2312"/>
      <w:color w:val="000000"/>
      <w:sz w:val="28"/>
    </w:rPr>
  </w:style>
  <w:style w:type="paragraph" w:styleId="12">
    <w:name w:val="Block Text"/>
    <w:basedOn w:val="1"/>
    <w:qFormat/>
    <w:uiPriority w:val="0"/>
    <w:pPr>
      <w:adjustRightInd w:val="0"/>
      <w:ind w:left="420" w:right="33"/>
      <w:jc w:val="left"/>
      <w:textAlignment w:val="baseline"/>
    </w:pPr>
    <w:rPr>
      <w:kern w:val="0"/>
      <w:sz w:val="24"/>
    </w:rPr>
  </w:style>
  <w:style w:type="paragraph" w:styleId="13">
    <w:name w:val="Plain Text"/>
    <w:basedOn w:val="1"/>
    <w:link w:val="46"/>
    <w:qFormat/>
    <w:uiPriority w:val="99"/>
    <w:rPr>
      <w:rFonts w:ascii="宋体" w:hAnsi="Courier New" w:cs="Courier New"/>
      <w:szCs w:val="21"/>
    </w:rPr>
  </w:style>
  <w:style w:type="paragraph" w:styleId="14">
    <w:name w:val="Date"/>
    <w:basedOn w:val="1"/>
    <w:next w:val="1"/>
    <w:qFormat/>
    <w:uiPriority w:val="0"/>
    <w:rPr>
      <w:rFonts w:ascii="宋体"/>
      <w:sz w:val="24"/>
    </w:rPr>
  </w:style>
  <w:style w:type="paragraph" w:styleId="15">
    <w:name w:val="Balloon Text"/>
    <w:basedOn w:val="1"/>
    <w:link w:val="64"/>
    <w:qFormat/>
    <w:uiPriority w:val="0"/>
    <w:pPr>
      <w:spacing w:line="240" w:lineRule="auto"/>
    </w:pPr>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qFormat/>
    <w:uiPriority w:val="39"/>
  </w:style>
  <w:style w:type="paragraph" w:styleId="1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0">
    <w:name w:val="footnote text"/>
    <w:basedOn w:val="1"/>
    <w:qFormat/>
    <w:uiPriority w:val="0"/>
    <w:pPr>
      <w:adjustRightInd w:val="0"/>
      <w:snapToGrid w:val="0"/>
      <w:spacing w:line="420" w:lineRule="atLeast"/>
      <w:ind w:firstLine="454"/>
      <w:jc w:val="left"/>
      <w:textAlignment w:val="baseline"/>
    </w:pPr>
    <w:rPr>
      <w:kern w:val="0"/>
      <w:sz w:val="18"/>
    </w:rPr>
  </w:style>
  <w:style w:type="paragraph" w:styleId="21">
    <w:name w:val="toc 2"/>
    <w:basedOn w:val="1"/>
    <w:next w:val="1"/>
    <w:qFormat/>
    <w:uiPriority w:val="39"/>
    <w:pPr>
      <w:ind w:left="420" w:leftChars="200"/>
    </w:pPr>
  </w:style>
  <w:style w:type="paragraph" w:styleId="22">
    <w:name w:val="Body Text 2"/>
    <w:basedOn w:val="1"/>
    <w:qFormat/>
    <w:uiPriority w:val="0"/>
    <w:pPr>
      <w:spacing w:line="360" w:lineRule="auto"/>
    </w:pPr>
    <w:rPr>
      <w:rFonts w:ascii="等线" w:eastAsia="等线"/>
      <w:sz w:val="24"/>
      <w:u w:val="single"/>
    </w:rPr>
  </w:style>
  <w:style w:type="paragraph" w:styleId="23">
    <w:name w:val="Normal (Web)"/>
    <w:basedOn w:val="1"/>
    <w:qFormat/>
    <w:uiPriority w:val="0"/>
    <w:pPr>
      <w:widowControl/>
      <w:spacing w:beforeAutospacing="1" w:afterAutospacing="1" w:line="240" w:lineRule="auto"/>
      <w:jc w:val="left"/>
    </w:pPr>
    <w:rPr>
      <w:rFonts w:ascii="宋体" w:hAnsi="宋体" w:cs="宋体"/>
      <w:kern w:val="0"/>
      <w:sz w:val="24"/>
    </w:rPr>
  </w:style>
  <w:style w:type="paragraph" w:styleId="24">
    <w:name w:val="annotation subject"/>
    <w:basedOn w:val="9"/>
    <w:next w:val="9"/>
    <w:link w:val="63"/>
    <w:qFormat/>
    <w:uiPriority w:val="0"/>
    <w:rPr>
      <w:b/>
      <w:bCs/>
    </w:rPr>
  </w:style>
  <w:style w:type="paragraph" w:styleId="25">
    <w:name w:val="Body Text First Indent"/>
    <w:basedOn w:val="10"/>
    <w:next w:val="26"/>
    <w:qFormat/>
    <w:uiPriority w:val="99"/>
    <w:pPr>
      <w:ind w:firstLine="420" w:firstLineChars="100"/>
    </w:pPr>
  </w:style>
  <w:style w:type="paragraph" w:styleId="26">
    <w:name w:val="Body Text First Indent 2"/>
    <w:basedOn w:val="11"/>
    <w:next w:val="1"/>
    <w:qFormat/>
    <w:uiPriority w:val="0"/>
    <w:pPr>
      <w:ind w:firstLine="20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0"/>
    <w:rPr>
      <w:color w:val="555555"/>
      <w:u w:val="none"/>
    </w:rPr>
  </w:style>
  <w:style w:type="character" w:styleId="33">
    <w:name w:val="Emphasis"/>
    <w:basedOn w:val="29"/>
    <w:qFormat/>
    <w:uiPriority w:val="0"/>
  </w:style>
  <w:style w:type="character" w:styleId="34">
    <w:name w:val="HTML Definition"/>
    <w:basedOn w:val="29"/>
    <w:qFormat/>
    <w:uiPriority w:val="0"/>
    <w:rPr>
      <w:i/>
      <w:iCs/>
    </w:rPr>
  </w:style>
  <w:style w:type="character" w:styleId="35">
    <w:name w:val="Hyperlink"/>
    <w:basedOn w:val="29"/>
    <w:qFormat/>
    <w:uiPriority w:val="99"/>
    <w:rPr>
      <w:rFonts w:hint="eastAsia" w:ascii="宋体" w:hAnsi="宋体" w:eastAsia="宋体" w:cs="宋体"/>
      <w:color w:val="000000"/>
      <w:sz w:val="18"/>
      <w:szCs w:val="18"/>
      <w:u w:val="none"/>
    </w:rPr>
  </w:style>
  <w:style w:type="character" w:styleId="36">
    <w:name w:val="HTML Code"/>
    <w:basedOn w:val="29"/>
    <w:qFormat/>
    <w:uiPriority w:val="0"/>
    <w:rPr>
      <w:rFonts w:hint="default" w:ascii="Menlo" w:hAnsi="Menlo" w:eastAsia="Menlo" w:cs="Menlo"/>
      <w:color w:val="C7254E"/>
      <w:sz w:val="21"/>
      <w:szCs w:val="21"/>
      <w:shd w:val="clear" w:color="auto" w:fill="F9F2F4"/>
    </w:rPr>
  </w:style>
  <w:style w:type="character" w:styleId="37">
    <w:name w:val="annotation reference"/>
    <w:basedOn w:val="29"/>
    <w:qFormat/>
    <w:uiPriority w:val="0"/>
    <w:rPr>
      <w:sz w:val="21"/>
      <w:szCs w:val="21"/>
    </w:rPr>
  </w:style>
  <w:style w:type="character" w:styleId="38">
    <w:name w:val="footnote reference"/>
    <w:basedOn w:val="29"/>
    <w:qFormat/>
    <w:uiPriority w:val="0"/>
    <w:rPr>
      <w:vertAlign w:val="superscript"/>
    </w:rPr>
  </w:style>
  <w:style w:type="character" w:styleId="39">
    <w:name w:val="HTML Keyboard"/>
    <w:basedOn w:val="29"/>
    <w:qFormat/>
    <w:uiPriority w:val="0"/>
    <w:rPr>
      <w:rFonts w:ascii="Menlo" w:hAnsi="Menlo" w:eastAsia="Menlo" w:cs="Menlo"/>
      <w:color w:val="FFFFFF"/>
      <w:sz w:val="21"/>
      <w:szCs w:val="21"/>
      <w:shd w:val="clear" w:color="auto" w:fill="333333"/>
    </w:rPr>
  </w:style>
  <w:style w:type="character" w:styleId="40">
    <w:name w:val="HTML Sample"/>
    <w:basedOn w:val="29"/>
    <w:qFormat/>
    <w:uiPriority w:val="0"/>
    <w:rPr>
      <w:rFonts w:hint="default" w:ascii="Menlo" w:hAnsi="Menlo" w:eastAsia="Menlo" w:cs="Menlo"/>
      <w:sz w:val="21"/>
      <w:szCs w:val="21"/>
    </w:rPr>
  </w:style>
  <w:style w:type="character" w:customStyle="1" w:styleId="41">
    <w:name w:val="标题 1 Char"/>
    <w:link w:val="3"/>
    <w:qFormat/>
    <w:uiPriority w:val="0"/>
    <w:rPr>
      <w:b/>
      <w:bCs/>
      <w:kern w:val="44"/>
      <w:sz w:val="30"/>
      <w:szCs w:val="44"/>
    </w:rPr>
  </w:style>
  <w:style w:type="paragraph" w:customStyle="1" w:styleId="42">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3">
    <w:name w:val="方案正文"/>
    <w:basedOn w:val="1"/>
    <w:qFormat/>
    <w:uiPriority w:val="0"/>
    <w:pPr>
      <w:widowControl/>
      <w:spacing w:line="360" w:lineRule="auto"/>
      <w:ind w:firstLine="504"/>
      <w:jc w:val="left"/>
    </w:pPr>
    <w:rPr>
      <w:rFonts w:ascii="宋体" w:hAnsi="宋体"/>
      <w:kern w:val="0"/>
      <w:sz w:val="24"/>
      <w:szCs w:val="28"/>
    </w:rPr>
  </w:style>
  <w:style w:type="paragraph" w:customStyle="1" w:styleId="44">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45">
    <w:name w:val="List Paragraph"/>
    <w:basedOn w:val="1"/>
    <w:qFormat/>
    <w:uiPriority w:val="34"/>
    <w:pPr>
      <w:ind w:firstLine="420" w:firstLineChars="200"/>
    </w:pPr>
  </w:style>
  <w:style w:type="character" w:customStyle="1" w:styleId="46">
    <w:name w:val="纯文本 Char"/>
    <w:link w:val="13"/>
    <w:qFormat/>
    <w:uiPriority w:val="99"/>
    <w:rPr>
      <w:rFonts w:ascii="宋体" w:hAnsi="Courier New" w:cs="Courier New"/>
      <w:kern w:val="2"/>
      <w:sz w:val="21"/>
      <w:szCs w:val="21"/>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9">
    <w:name w:val="hour_am"/>
    <w:basedOn w:val="29"/>
    <w:qFormat/>
    <w:uiPriority w:val="0"/>
  </w:style>
  <w:style w:type="character" w:customStyle="1" w:styleId="50">
    <w:name w:val="old"/>
    <w:basedOn w:val="29"/>
    <w:qFormat/>
    <w:uiPriority w:val="0"/>
    <w:rPr>
      <w:color w:val="999999"/>
    </w:rPr>
  </w:style>
  <w:style w:type="character" w:customStyle="1" w:styleId="51">
    <w:name w:val="tmpztreemove_arrow"/>
    <w:basedOn w:val="29"/>
    <w:qFormat/>
    <w:uiPriority w:val="0"/>
    <w:rPr>
      <w:shd w:val="clear" w:color="auto" w:fill="FFFFFF"/>
    </w:rPr>
  </w:style>
  <w:style w:type="character" w:customStyle="1" w:styleId="52">
    <w:name w:val="hover3"/>
    <w:basedOn w:val="29"/>
    <w:qFormat/>
    <w:uiPriority w:val="0"/>
    <w:rPr>
      <w:shd w:val="clear" w:color="auto" w:fill="EEEEEE"/>
    </w:rPr>
  </w:style>
  <w:style w:type="character" w:customStyle="1" w:styleId="53">
    <w:name w:val="glyphicon4"/>
    <w:basedOn w:val="29"/>
    <w:qFormat/>
    <w:uiPriority w:val="0"/>
  </w:style>
  <w:style w:type="character" w:customStyle="1" w:styleId="54">
    <w:name w:val="hour_pm"/>
    <w:basedOn w:val="29"/>
    <w:qFormat/>
    <w:uiPriority w:val="0"/>
  </w:style>
  <w:style w:type="character" w:customStyle="1" w:styleId="55">
    <w:name w:val="button"/>
    <w:basedOn w:val="29"/>
    <w:qFormat/>
    <w:uiPriority w:val="0"/>
  </w:style>
  <w:style w:type="paragraph" w:customStyle="1" w:styleId="56">
    <w:name w:val="样式1"/>
    <w:basedOn w:val="1"/>
    <w:qFormat/>
    <w:uiPriority w:val="0"/>
    <w:pPr>
      <w:adjustRightInd w:val="0"/>
      <w:textAlignment w:val="baseline"/>
    </w:pPr>
    <w:rPr>
      <w:rFonts w:ascii="宋体" w:hAnsi="宋体"/>
      <w:kern w:val="0"/>
      <w:szCs w:val="21"/>
    </w:rPr>
  </w:style>
  <w:style w:type="character" w:customStyle="1" w:styleId="57">
    <w:name w:val="indent"/>
    <w:basedOn w:val="29"/>
    <w:qFormat/>
    <w:uiPriority w:val="0"/>
  </w:style>
  <w:style w:type="character" w:customStyle="1" w:styleId="58">
    <w:name w:val="标题 6 Char"/>
    <w:basedOn w:val="29"/>
    <w:link w:val="8"/>
    <w:qFormat/>
    <w:uiPriority w:val="99"/>
    <w:rPr>
      <w:rFonts w:ascii="Calibri Light" w:hAnsi="Calibri Light"/>
      <w:b/>
      <w:bCs/>
      <w:kern w:val="2"/>
      <w:sz w:val="24"/>
      <w:szCs w:val="24"/>
    </w:rPr>
  </w:style>
  <w:style w:type="paragraph" w:customStyle="1" w:styleId="59">
    <w:name w:val="my-正文"/>
    <w:basedOn w:val="1"/>
    <w:qFormat/>
    <w:uiPriority w:val="0"/>
    <w:pPr>
      <w:spacing w:line="360" w:lineRule="auto"/>
    </w:pPr>
    <w:rPr>
      <w:rFonts w:ascii="宋体" w:hAnsi="宋体"/>
      <w:sz w:val="24"/>
      <w:lang w:val="zh-CN"/>
    </w:rPr>
  </w:style>
  <w:style w:type="paragraph" w:customStyle="1" w:styleId="60">
    <w:name w:val="样式 首行缩进:  2 字符"/>
    <w:basedOn w:val="1"/>
    <w:qFormat/>
    <w:uiPriority w:val="0"/>
    <w:pPr>
      <w:spacing w:line="400" w:lineRule="exact"/>
      <w:ind w:firstLine="200" w:firstLineChars="200"/>
    </w:pPr>
    <w:rPr>
      <w:rFonts w:cs="宋体"/>
    </w:rPr>
  </w:style>
  <w:style w:type="paragraph" w:customStyle="1" w:styleId="61">
    <w:name w:val="p1"/>
    <w:basedOn w:val="1"/>
    <w:qFormat/>
    <w:uiPriority w:val="0"/>
    <w:pPr>
      <w:widowControl/>
    </w:pPr>
    <w:rPr>
      <w:rFonts w:ascii="Lucida Grande" w:hAnsi="Lucida Grande" w:cs="Lucida Grande"/>
      <w:color w:val="323333"/>
      <w:kern w:val="0"/>
      <w:szCs w:val="21"/>
    </w:rPr>
  </w:style>
  <w:style w:type="character" w:customStyle="1" w:styleId="62">
    <w:name w:val="批注文字 Char"/>
    <w:basedOn w:val="29"/>
    <w:link w:val="9"/>
    <w:qFormat/>
    <w:uiPriority w:val="0"/>
    <w:rPr>
      <w:kern w:val="2"/>
      <w:sz w:val="21"/>
      <w:szCs w:val="24"/>
    </w:rPr>
  </w:style>
  <w:style w:type="character" w:customStyle="1" w:styleId="63">
    <w:name w:val="批注主题 Char"/>
    <w:basedOn w:val="62"/>
    <w:link w:val="24"/>
    <w:qFormat/>
    <w:uiPriority w:val="0"/>
    <w:rPr>
      <w:b/>
      <w:bCs/>
      <w:kern w:val="2"/>
      <w:sz w:val="21"/>
      <w:szCs w:val="24"/>
    </w:rPr>
  </w:style>
  <w:style w:type="character" w:customStyle="1" w:styleId="64">
    <w:name w:val="批注框文本 Char"/>
    <w:basedOn w:val="29"/>
    <w:link w:val="15"/>
    <w:qFormat/>
    <w:uiPriority w:val="0"/>
    <w:rPr>
      <w:kern w:val="2"/>
      <w:sz w:val="18"/>
      <w:szCs w:val="18"/>
    </w:rPr>
  </w:style>
  <w:style w:type="paragraph" w:customStyle="1" w:styleId="65">
    <w:name w:val="title1"/>
    <w:basedOn w:val="1"/>
    <w:qFormat/>
    <w:uiPriority w:val="0"/>
    <w:pPr>
      <w:spacing w:before="150"/>
      <w:jc w:val="left"/>
    </w:pPr>
    <w:rPr>
      <w:b/>
      <w:kern w:val="0"/>
      <w:sz w:val="22"/>
      <w:szCs w:val="22"/>
    </w:rPr>
  </w:style>
  <w:style w:type="character" w:customStyle="1" w:styleId="66">
    <w:name w:val="标题 1 Char Char"/>
    <w:qFormat/>
    <w:uiPriority w:val="0"/>
    <w:rPr>
      <w:rFonts w:eastAsia="宋体"/>
      <w:b/>
      <w:spacing w:val="-2"/>
      <w:sz w:val="24"/>
      <w:lang w:val="en-US" w:eastAsia="zh-CN" w:bidi="ar-SA"/>
    </w:rPr>
  </w:style>
  <w:style w:type="character" w:customStyle="1" w:styleId="67">
    <w:name w:val="apple-converted-space"/>
    <w:basedOn w:val="29"/>
    <w:qFormat/>
    <w:uiPriority w:val="0"/>
  </w:style>
  <w:style w:type="character" w:customStyle="1" w:styleId="68">
    <w:name w:val="font71"/>
    <w:basedOn w:val="29"/>
    <w:qFormat/>
    <w:uiPriority w:val="0"/>
    <w:rPr>
      <w:rFonts w:hint="default" w:ascii="Times New Roman" w:hAnsi="Times New Roman" w:cs="Times New Roman"/>
      <w:b/>
      <w:color w:val="000000"/>
      <w:sz w:val="21"/>
      <w:szCs w:val="21"/>
      <w:u w:val="none"/>
    </w:rPr>
  </w:style>
  <w:style w:type="character" w:customStyle="1" w:styleId="69">
    <w:name w:val="font101"/>
    <w:basedOn w:val="29"/>
    <w:qFormat/>
    <w:uiPriority w:val="0"/>
    <w:rPr>
      <w:rFonts w:hint="default" w:ascii="Times New Roman" w:hAnsi="Times New Roman" w:cs="Times New Roman"/>
      <w:color w:val="333333"/>
      <w:sz w:val="21"/>
      <w:szCs w:val="21"/>
      <w:u w:val="none"/>
    </w:rPr>
  </w:style>
  <w:style w:type="paragraph" w:customStyle="1" w:styleId="70">
    <w:name w:val="y"/>
    <w:basedOn w:val="1"/>
    <w:qFormat/>
    <w:uiPriority w:val="0"/>
    <w:pPr>
      <w:spacing w:line="360" w:lineRule="auto"/>
      <w:ind w:firstLine="480" w:firstLineChars="200"/>
    </w:pPr>
    <w:rPr>
      <w:rFonts w:ascii="宋体" w:hAnsi="宋体"/>
      <w:sz w:val="24"/>
    </w:rPr>
  </w:style>
  <w:style w:type="paragraph" w:customStyle="1" w:styleId="71">
    <w:name w:val="p18"/>
    <w:basedOn w:val="1"/>
    <w:qFormat/>
    <w:uiPriority w:val="0"/>
    <w:pPr>
      <w:widowControl/>
      <w:spacing w:line="360" w:lineRule="auto"/>
      <w:ind w:firstLine="420"/>
    </w:pPr>
    <w:rPr>
      <w:rFonts w:ascii="Arial" w:hAnsi="Arial" w:eastAsia="Adobe 仿宋 Std R" w:cs="Arial"/>
      <w:kern w:val="0"/>
    </w:rPr>
  </w:style>
  <w:style w:type="paragraph" w:customStyle="1" w:styleId="72">
    <w:name w:val="p17"/>
    <w:basedOn w:val="1"/>
    <w:qFormat/>
    <w:uiPriority w:val="0"/>
    <w:pPr>
      <w:widowControl/>
      <w:ind w:firstLine="420"/>
    </w:pPr>
    <w:rPr>
      <w:kern w:val="0"/>
      <w:szCs w:val="21"/>
    </w:rPr>
  </w:style>
  <w:style w:type="paragraph" w:customStyle="1" w:styleId="73">
    <w:name w:val="缩进正文"/>
    <w:qFormat/>
    <w:uiPriority w:val="0"/>
    <w:pPr>
      <w:spacing w:line="300" w:lineRule="auto"/>
      <w:ind w:firstLine="200" w:firstLineChars="200"/>
    </w:pPr>
    <w:rPr>
      <w:rFonts w:ascii="Times New Roman" w:hAnsi="Times New Roman" w:eastAsia="宋体" w:cs="Times New Roman"/>
      <w:sz w:val="28"/>
      <w:lang w:val="en-US" w:eastAsia="zh-CN" w:bidi="ar-SA"/>
    </w:rPr>
  </w:style>
  <w:style w:type="paragraph" w:customStyle="1" w:styleId="74">
    <w:name w:val="列出段落11"/>
    <w:basedOn w:val="1"/>
    <w:qFormat/>
    <w:uiPriority w:val="34"/>
    <w:pPr>
      <w:ind w:firstLine="420" w:firstLineChars="200"/>
    </w:pPr>
    <w:rPr>
      <w:rFonts w:ascii="Calibri" w:hAnsi="Calibri"/>
      <w:szCs w:val="22"/>
    </w:rPr>
  </w:style>
  <w:style w:type="paragraph" w:customStyle="1" w:styleId="75">
    <w:name w:val="Default"/>
    <w:qFormat/>
    <w:uiPriority w:val="99"/>
    <w:pPr>
      <w:widowControl w:val="0"/>
      <w:autoSpaceDE w:val="0"/>
      <w:autoSpaceDN w:val="0"/>
      <w:adjustRightInd w:val="0"/>
      <w:spacing w:after="200" w:line="360" w:lineRule="auto"/>
    </w:pPr>
    <w:rPr>
      <w:rFonts w:ascii="黑体" w:hAnsi="Calibri" w:eastAsia="黑体" w:cs="黑体"/>
      <w:color w:val="000000"/>
      <w:sz w:val="24"/>
      <w:szCs w:val="24"/>
      <w:lang w:val="en-US" w:eastAsia="en-US" w:bidi="ar-SA"/>
    </w:rPr>
  </w:style>
  <w:style w:type="paragraph" w:customStyle="1" w:styleId="76">
    <w:name w:val="正文自定"/>
    <w:basedOn w:val="1"/>
    <w:qFormat/>
    <w:uiPriority w:val="0"/>
    <w:pPr>
      <w:tabs>
        <w:tab w:val="left" w:pos="7665"/>
      </w:tabs>
      <w:spacing w:line="360" w:lineRule="auto"/>
      <w:ind w:firstLine="480" w:firstLineChars="200"/>
    </w:pPr>
    <w:rPr>
      <w:rFonts w:ascii="宋体" w:hAnsi="宋体"/>
      <w:sz w:val="24"/>
    </w:rPr>
  </w:style>
  <w:style w:type="character" w:customStyle="1" w:styleId="77">
    <w:name w:val="font21"/>
    <w:basedOn w:val="29"/>
    <w:qFormat/>
    <w:uiPriority w:val="0"/>
    <w:rPr>
      <w:rFonts w:hint="eastAsia" w:ascii="宋体" w:hAnsi="宋体" w:eastAsia="宋体" w:cs="宋体"/>
      <w:color w:val="000000"/>
      <w:sz w:val="22"/>
      <w:szCs w:val="22"/>
      <w:u w:val="none"/>
    </w:rPr>
  </w:style>
  <w:style w:type="character" w:customStyle="1" w:styleId="78">
    <w:name w:val="font01"/>
    <w:basedOn w:val="29"/>
    <w:qFormat/>
    <w:uiPriority w:val="0"/>
    <w:rPr>
      <w:rFonts w:hint="eastAsia" w:ascii="宋体" w:hAnsi="宋体" w:eastAsia="宋体" w:cs="宋体"/>
      <w:color w:val="000000"/>
      <w:sz w:val="22"/>
      <w:szCs w:val="22"/>
      <w:u w:val="none"/>
    </w:rPr>
  </w:style>
  <w:style w:type="character" w:customStyle="1" w:styleId="79">
    <w:name w:val="font31"/>
    <w:basedOn w:val="29"/>
    <w:qFormat/>
    <w:uiPriority w:val="0"/>
    <w:rPr>
      <w:rFonts w:hint="eastAsia" w:ascii="宋体" w:hAnsi="宋体" w:eastAsia="宋体" w:cs="宋体"/>
      <w:color w:val="000000"/>
      <w:sz w:val="21"/>
      <w:szCs w:val="21"/>
      <w:u w:val="none"/>
    </w:rPr>
  </w:style>
  <w:style w:type="character" w:customStyle="1" w:styleId="80">
    <w:name w:val="font41"/>
    <w:basedOn w:val="29"/>
    <w:qFormat/>
    <w:uiPriority w:val="0"/>
    <w:rPr>
      <w:rFonts w:hint="eastAsia" w:ascii="宋体" w:hAnsi="宋体" w:eastAsia="宋体" w:cs="宋体"/>
      <w:color w:val="000000"/>
      <w:sz w:val="21"/>
      <w:szCs w:val="21"/>
      <w:u w:val="none"/>
    </w:rPr>
  </w:style>
  <w:style w:type="paragraph" w:customStyle="1" w:styleId="81">
    <w:name w:val="目录"/>
    <w:basedOn w:val="1"/>
    <w:qFormat/>
    <w:uiPriority w:val="0"/>
    <w:pPr>
      <w:widowControl/>
      <w:jc w:val="center"/>
    </w:pPr>
    <w:rPr>
      <w:rFonts w:ascii="宋体"/>
      <w:b/>
      <w:kern w:val="0"/>
      <w:sz w:val="36"/>
    </w:rPr>
  </w:style>
  <w:style w:type="paragraph" w:customStyle="1" w:styleId="82">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83">
    <w:name w:val="正文 1.1.1"/>
    <w:basedOn w:val="1"/>
    <w:next w:val="1"/>
    <w:qFormat/>
    <w:uiPriority w:val="0"/>
    <w:pPr>
      <w:numPr>
        <w:ilvl w:val="2"/>
        <w:numId w:val="1"/>
      </w:numPr>
      <w:adjustRightInd w:val="0"/>
      <w:spacing w:line="360" w:lineRule="auto"/>
      <w:outlineLvl w:val="2"/>
    </w:pPr>
    <w:rPr>
      <w:rFonts w:hint="eastAsia" w:ascii="宋体" w:hAnsi="宋体"/>
      <w:color w:val="FF0000"/>
      <w:kern w:val="0"/>
      <w:sz w:val="28"/>
      <w:szCs w:val="21"/>
    </w:rPr>
  </w:style>
  <w:style w:type="paragraph" w:customStyle="1" w:styleId="84">
    <w:name w:val="title13"/>
    <w:basedOn w:val="1"/>
    <w:qFormat/>
    <w:uiPriority w:val="0"/>
    <w:pPr>
      <w:spacing w:before="150"/>
      <w:jc w:val="left"/>
    </w:pPr>
    <w:rPr>
      <w:b/>
      <w:bCs/>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28146</Words>
  <Characters>29685</Characters>
  <Lines>328</Lines>
  <Paragraphs>92</Paragraphs>
  <TotalTime>1</TotalTime>
  <ScaleCrop>false</ScaleCrop>
  <LinksUpToDate>false</LinksUpToDate>
  <CharactersWithSpaces>32099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2021-03-17T20:11:00Z</dcterms:created>
  <dc:creator>不言、不语</dc:creator>
  <cp:lastModifiedBy>晓 </cp:lastModifiedBy>
  <cp:lastPrinted>2022-05-17T01:10:00Z</cp:lastPrinted>
  <dcterms:modified xsi:type="dcterms:W3CDTF">2022-06-06T06:40:45Z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126C83A41BF54F1A8F46A4EC05BA4D0C</vt:lpwstr>
  </property>
</Properties>
</file>